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309EC" w14:textId="1B85CC74" w:rsidR="00F95935" w:rsidRPr="00391207" w:rsidRDefault="00F95935" w:rsidP="00217E30">
      <w:pPr>
        <w:pStyle w:val="Heading1"/>
        <w:rPr>
          <w:rFonts w:cs="Times New Roman"/>
          <w:szCs w:val="24"/>
        </w:rPr>
      </w:pPr>
      <w:r w:rsidRPr="00391207">
        <w:rPr>
          <w:rFonts w:cs="Times New Roman"/>
          <w:szCs w:val="24"/>
        </w:rPr>
        <w:t>Exploring Perceptions of Crime and Safety: An In-Depth Analysis of the 2017/2018 Crime Survey of England and Wales</w:t>
      </w:r>
    </w:p>
    <w:p w14:paraId="70E54DE7" w14:textId="171AE4AA" w:rsidR="00B0072C" w:rsidRPr="00391207" w:rsidRDefault="00B0072C" w:rsidP="00217E30">
      <w:pPr>
        <w:pStyle w:val="Heading1"/>
        <w:rPr>
          <w:rFonts w:cs="Times New Roman"/>
          <w:szCs w:val="24"/>
        </w:rPr>
      </w:pPr>
      <w:r w:rsidRPr="00391207">
        <w:rPr>
          <w:rFonts w:cs="Times New Roman"/>
          <w:szCs w:val="24"/>
        </w:rPr>
        <w:t>I. Introduction</w:t>
      </w:r>
    </w:p>
    <w:p w14:paraId="275D2007" w14:textId="77146E79" w:rsidR="00405522" w:rsidRPr="00391207" w:rsidRDefault="00A23F84" w:rsidP="000A2E36">
      <w:pPr>
        <w:spacing w:line="480" w:lineRule="auto"/>
        <w:ind w:firstLine="720"/>
        <w:rPr>
          <w:rFonts w:ascii="Times New Roman" w:hAnsi="Times New Roman" w:cs="Times New Roman"/>
          <w:sz w:val="24"/>
          <w:szCs w:val="24"/>
        </w:rPr>
      </w:pPr>
      <w:r w:rsidRPr="00391207">
        <w:rPr>
          <w:rFonts w:ascii="Times New Roman" w:hAnsi="Times New Roman" w:cs="Times New Roman"/>
          <w:sz w:val="24"/>
          <w:szCs w:val="24"/>
        </w:rPr>
        <w:t xml:space="preserve">Using univariate, bivariate, and descriptive analysis of the 2017–2018 Crime Survey for England and Wales dataset (Office for National Statistics, 2020), this research portfolio explores quantitative and qualitative analytic methodologies. </w:t>
      </w:r>
      <w:r w:rsidR="00073D5F" w:rsidRPr="00391207">
        <w:rPr>
          <w:rFonts w:ascii="Times New Roman" w:hAnsi="Times New Roman" w:cs="Times New Roman"/>
          <w:sz w:val="24"/>
          <w:szCs w:val="24"/>
        </w:rPr>
        <w:t>Quantitative data analysis provides valuable statistical summaries and insights that can inform conclusions and recommendations</w:t>
      </w:r>
      <w:r w:rsidR="00822BB6" w:rsidRPr="00391207">
        <w:rPr>
          <w:rFonts w:ascii="Times New Roman" w:hAnsi="Times New Roman" w:cs="Times New Roman"/>
          <w:sz w:val="24"/>
          <w:szCs w:val="24"/>
        </w:rPr>
        <w:t xml:space="preserve"> (search.proquest.com, n.d.)</w:t>
      </w:r>
      <w:r w:rsidR="00073D5F" w:rsidRPr="00391207">
        <w:rPr>
          <w:rFonts w:ascii="Times New Roman" w:hAnsi="Times New Roman" w:cs="Times New Roman"/>
          <w:sz w:val="24"/>
          <w:szCs w:val="24"/>
        </w:rPr>
        <w:t>. For this portfolio, analysis of the crime survey dataset will provide an understanding of public perceptions, attitudes, and experiences related to crime and policing in England and Wales. The analysis will generate frequency distributions, cross-tabulations, and descriptive statistics on key variables in the survey</w:t>
      </w:r>
      <w:r w:rsidR="00F174A6" w:rsidRPr="00391207">
        <w:rPr>
          <w:rFonts w:ascii="Times New Roman" w:hAnsi="Times New Roman" w:cs="Times New Roman"/>
          <w:sz w:val="24"/>
          <w:szCs w:val="24"/>
        </w:rPr>
        <w:t xml:space="preserve"> (Podesva and Sharma, 2014)</w:t>
      </w:r>
      <w:r w:rsidR="00073D5F" w:rsidRPr="00391207">
        <w:rPr>
          <w:rFonts w:ascii="Times New Roman" w:hAnsi="Times New Roman" w:cs="Times New Roman"/>
          <w:sz w:val="24"/>
          <w:szCs w:val="24"/>
        </w:rPr>
        <w:t>.</w:t>
      </w:r>
    </w:p>
    <w:p w14:paraId="65DF1589" w14:textId="48A84545" w:rsidR="006806C0" w:rsidRPr="00391207" w:rsidRDefault="006806C0" w:rsidP="000A2E36">
      <w:pPr>
        <w:spacing w:line="480" w:lineRule="auto"/>
        <w:ind w:firstLine="720"/>
        <w:rPr>
          <w:rFonts w:ascii="Times New Roman" w:hAnsi="Times New Roman" w:cs="Times New Roman"/>
          <w:sz w:val="24"/>
          <w:szCs w:val="24"/>
        </w:rPr>
      </w:pPr>
      <w:r w:rsidRPr="00391207">
        <w:rPr>
          <w:rFonts w:ascii="Times New Roman" w:hAnsi="Times New Roman" w:cs="Times New Roman"/>
          <w:sz w:val="24"/>
          <w:szCs w:val="24"/>
        </w:rPr>
        <w:t>By considering demographic factors and how they relate to outcome variables, it becomes possible to understand perceptual variations among groups. The quantitative analysis will ultimately assess the perceptions of fairness and effectiveness within the criminal justice system</w:t>
      </w:r>
      <w:r w:rsidR="003F5FFE" w:rsidRPr="00391207">
        <w:rPr>
          <w:rFonts w:ascii="Times New Roman" w:hAnsi="Times New Roman" w:cs="Times New Roman"/>
          <w:sz w:val="24"/>
          <w:szCs w:val="24"/>
        </w:rPr>
        <w:t xml:space="preserve"> (Bowers and Robinson, 2011)</w:t>
      </w:r>
      <w:r w:rsidRPr="00391207">
        <w:rPr>
          <w:rFonts w:ascii="Times New Roman" w:hAnsi="Times New Roman" w:cs="Times New Roman"/>
          <w:sz w:val="24"/>
          <w:szCs w:val="24"/>
        </w:rPr>
        <w:t>. This research employs the relevant quantitative methods to conduct analysis of rather complicated survey data and present those results in a meaningful fashion along with their explanations</w:t>
      </w:r>
      <w:r w:rsidR="00334BCE" w:rsidRPr="00391207">
        <w:rPr>
          <w:rFonts w:ascii="Times New Roman" w:hAnsi="Times New Roman" w:cs="Times New Roman"/>
          <w:sz w:val="24"/>
          <w:szCs w:val="24"/>
        </w:rPr>
        <w:t xml:space="preserve"> (Chiulli, 2018)</w:t>
      </w:r>
      <w:r w:rsidRPr="00391207">
        <w:rPr>
          <w:rFonts w:ascii="Times New Roman" w:hAnsi="Times New Roman" w:cs="Times New Roman"/>
          <w:sz w:val="24"/>
          <w:szCs w:val="24"/>
        </w:rPr>
        <w:t>.</w:t>
      </w:r>
    </w:p>
    <w:p w14:paraId="0E2BFB8A" w14:textId="782A3D27" w:rsidR="00B0072C" w:rsidRPr="00391207" w:rsidRDefault="00B0072C" w:rsidP="00217E30">
      <w:pPr>
        <w:pStyle w:val="Heading1"/>
        <w:rPr>
          <w:rFonts w:cs="Times New Roman"/>
          <w:szCs w:val="24"/>
        </w:rPr>
      </w:pPr>
      <w:r w:rsidRPr="00391207">
        <w:rPr>
          <w:rFonts w:cs="Times New Roman"/>
          <w:szCs w:val="24"/>
        </w:rPr>
        <w:t>II. Frequency Tables and Bar Charts for Categorical Demographic Variables</w:t>
      </w:r>
    </w:p>
    <w:p w14:paraId="0779032C" w14:textId="2A633FEC" w:rsidR="00E125EE" w:rsidRPr="00391207" w:rsidRDefault="00517125" w:rsidP="000A2E36">
      <w:pPr>
        <w:pStyle w:val="Heading2"/>
        <w:numPr>
          <w:ilvl w:val="0"/>
          <w:numId w:val="2"/>
        </w:numPr>
        <w:rPr>
          <w:rFonts w:cs="Times New Roman"/>
          <w:b w:val="0"/>
          <w:szCs w:val="24"/>
        </w:rPr>
      </w:pPr>
      <w:r w:rsidRPr="00391207">
        <w:rPr>
          <w:rFonts w:cs="Times New Roman"/>
          <w:szCs w:val="24"/>
        </w:rPr>
        <w:t>Sex</w:t>
      </w:r>
    </w:p>
    <w:p w14:paraId="49BF593F" w14:textId="42D2643C" w:rsidR="00517125" w:rsidRPr="00391207" w:rsidRDefault="004B330F" w:rsidP="000A2E36">
      <w:pPr>
        <w:spacing w:line="480" w:lineRule="auto"/>
        <w:ind w:firstLine="360"/>
        <w:rPr>
          <w:rFonts w:ascii="Times New Roman" w:hAnsi="Times New Roman" w:cs="Times New Roman"/>
          <w:sz w:val="24"/>
          <w:szCs w:val="24"/>
        </w:rPr>
      </w:pPr>
      <w:r w:rsidRPr="00391207">
        <w:rPr>
          <w:rFonts w:ascii="Times New Roman" w:hAnsi="Times New Roman" w:cs="Times New Roman"/>
          <w:sz w:val="24"/>
          <w:szCs w:val="24"/>
        </w:rPr>
        <w:t xml:space="preserve">The frequency table </w:t>
      </w:r>
      <w:r w:rsidR="007A424E" w:rsidRPr="00391207">
        <w:rPr>
          <w:rFonts w:ascii="Times New Roman" w:hAnsi="Times New Roman" w:cs="Times New Roman"/>
          <w:sz w:val="24"/>
          <w:szCs w:val="24"/>
        </w:rPr>
        <w:t xml:space="preserve">below </w:t>
      </w:r>
      <w:r w:rsidRPr="00391207">
        <w:rPr>
          <w:rFonts w:ascii="Times New Roman" w:hAnsi="Times New Roman" w:cs="Times New Roman"/>
          <w:sz w:val="24"/>
          <w:szCs w:val="24"/>
        </w:rPr>
        <w:t xml:space="preserve">depicts the distribution of survey respondents by sex. Of the total sample of 34,715 respondents, 16,180 (46.6%) were male and 18,535 (53.4%) were female. This indicates there were slightly more female respondents than male overall. The valid percent </w:t>
      </w:r>
      <w:r w:rsidRPr="00391207">
        <w:rPr>
          <w:rFonts w:ascii="Times New Roman" w:hAnsi="Times New Roman" w:cs="Times New Roman"/>
          <w:sz w:val="24"/>
          <w:szCs w:val="24"/>
        </w:rPr>
        <w:lastRenderedPageBreak/>
        <w:t xml:space="preserve">columns show the same percentages, confirming there were no missing values for this variable. The cumulative percent illustrates </w:t>
      </w:r>
      <w:r w:rsidR="00E47784" w:rsidRPr="00391207">
        <w:rPr>
          <w:rFonts w:ascii="Times New Roman" w:hAnsi="Times New Roman" w:cs="Times New Roman"/>
          <w:sz w:val="24"/>
          <w:szCs w:val="24"/>
        </w:rPr>
        <w:t>that males</w:t>
      </w:r>
      <w:r w:rsidRPr="00391207">
        <w:rPr>
          <w:rFonts w:ascii="Times New Roman" w:hAnsi="Times New Roman" w:cs="Times New Roman"/>
          <w:sz w:val="24"/>
          <w:szCs w:val="24"/>
        </w:rPr>
        <w:t xml:space="preserve"> comprised 46.6% of the sample, while females comprised the remaining 53.4%. </w:t>
      </w:r>
      <w:r w:rsidR="00EA5308" w:rsidRPr="00391207">
        <w:rPr>
          <w:rFonts w:ascii="Times New Roman" w:hAnsi="Times New Roman" w:cs="Times New Roman"/>
          <w:sz w:val="24"/>
          <w:szCs w:val="24"/>
        </w:rPr>
        <w:t>T</w:t>
      </w:r>
      <w:r w:rsidRPr="00391207">
        <w:rPr>
          <w:rFonts w:ascii="Times New Roman" w:hAnsi="Times New Roman" w:cs="Times New Roman"/>
          <w:sz w:val="24"/>
          <w:szCs w:val="24"/>
        </w:rPr>
        <w:t xml:space="preserve">he sample contains a slightly higher proportion of females than males, though both sexes are well represented with a relatively even split in this large nationwide survey. </w:t>
      </w:r>
    </w:p>
    <w:p w14:paraId="6C4FCD08" w14:textId="77777777" w:rsidR="007A424E" w:rsidRPr="00391207" w:rsidRDefault="007A424E" w:rsidP="000A2E36">
      <w:pPr>
        <w:spacing w:line="480" w:lineRule="auto"/>
        <w:ind w:firstLine="720"/>
        <w:jc w:val="center"/>
        <w:rPr>
          <w:rFonts w:ascii="Times New Roman" w:hAnsi="Times New Roman" w:cs="Times New Roman"/>
          <w:b/>
          <w:bCs/>
          <w:i/>
          <w:iCs/>
          <w:sz w:val="24"/>
          <w:szCs w:val="24"/>
        </w:rPr>
      </w:pPr>
      <w:r w:rsidRPr="00391207">
        <w:rPr>
          <w:rFonts w:ascii="Times New Roman" w:hAnsi="Times New Roman" w:cs="Times New Roman"/>
          <w:b/>
          <w:bCs/>
          <w:i/>
          <w:iCs/>
          <w:sz w:val="24"/>
          <w:szCs w:val="24"/>
        </w:rPr>
        <w:t>Table 1: Frequency table for sex</w:t>
      </w:r>
    </w:p>
    <w:tbl>
      <w:tblPr>
        <w:tblStyle w:val="GridTable6Colorful"/>
        <w:tblW w:w="5760" w:type="dxa"/>
        <w:jc w:val="center"/>
        <w:tblLook w:val="04A0" w:firstRow="1" w:lastRow="0" w:firstColumn="1" w:lastColumn="0" w:noHBand="0" w:noVBand="1"/>
      </w:tblPr>
      <w:tblGrid>
        <w:gridCol w:w="777"/>
        <w:gridCol w:w="923"/>
        <w:gridCol w:w="1229"/>
        <w:gridCol w:w="960"/>
        <w:gridCol w:w="960"/>
        <w:gridCol w:w="1336"/>
      </w:tblGrid>
      <w:tr w:rsidR="007A424E" w:rsidRPr="00391207" w14:paraId="6EC76E37" w14:textId="77777777" w:rsidTr="008013A5">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760" w:type="dxa"/>
            <w:gridSpan w:val="6"/>
            <w:hideMark/>
          </w:tcPr>
          <w:p w14:paraId="4C799149" w14:textId="77777777" w:rsidR="007A424E" w:rsidRPr="00391207" w:rsidRDefault="007A424E" w:rsidP="000A2E36">
            <w:pPr>
              <w:spacing w:line="480" w:lineRule="auto"/>
              <w:jc w:val="center"/>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Sex</w:t>
            </w:r>
          </w:p>
        </w:tc>
      </w:tr>
      <w:tr w:rsidR="007A424E" w:rsidRPr="00391207" w14:paraId="3C82ED55" w14:textId="77777777" w:rsidTr="008013A5">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1920" w:type="dxa"/>
            <w:gridSpan w:val="2"/>
            <w:hideMark/>
          </w:tcPr>
          <w:p w14:paraId="73DC25DE" w14:textId="77777777" w:rsidR="007A424E" w:rsidRPr="00391207" w:rsidRDefault="007A424E" w:rsidP="000A2E36">
            <w:pPr>
              <w:spacing w:line="480" w:lineRule="auto"/>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 </w:t>
            </w:r>
          </w:p>
        </w:tc>
        <w:tc>
          <w:tcPr>
            <w:tcW w:w="960" w:type="dxa"/>
            <w:hideMark/>
          </w:tcPr>
          <w:p w14:paraId="5FA5B972" w14:textId="77777777" w:rsidR="007A424E" w:rsidRPr="00391207" w:rsidRDefault="007A424E" w:rsidP="000A2E3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Frequency</w:t>
            </w:r>
          </w:p>
        </w:tc>
        <w:tc>
          <w:tcPr>
            <w:tcW w:w="960" w:type="dxa"/>
            <w:hideMark/>
          </w:tcPr>
          <w:p w14:paraId="73C837BB" w14:textId="77777777" w:rsidR="007A424E" w:rsidRPr="00391207" w:rsidRDefault="007A424E" w:rsidP="000A2E3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Percent</w:t>
            </w:r>
          </w:p>
        </w:tc>
        <w:tc>
          <w:tcPr>
            <w:tcW w:w="960" w:type="dxa"/>
            <w:hideMark/>
          </w:tcPr>
          <w:p w14:paraId="630F01A9" w14:textId="77777777" w:rsidR="007A424E" w:rsidRPr="00391207" w:rsidRDefault="007A424E" w:rsidP="000A2E3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Valid Percent</w:t>
            </w:r>
          </w:p>
        </w:tc>
        <w:tc>
          <w:tcPr>
            <w:tcW w:w="960" w:type="dxa"/>
            <w:hideMark/>
          </w:tcPr>
          <w:p w14:paraId="51BF8CA1" w14:textId="77777777" w:rsidR="007A424E" w:rsidRPr="00391207" w:rsidRDefault="007A424E" w:rsidP="000A2E3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Cumulative Percent</w:t>
            </w:r>
          </w:p>
        </w:tc>
      </w:tr>
      <w:tr w:rsidR="007A424E" w:rsidRPr="00391207" w14:paraId="529EED8F" w14:textId="77777777" w:rsidTr="008013A5">
        <w:trPr>
          <w:trHeight w:val="315"/>
          <w:jc w:val="center"/>
        </w:trPr>
        <w:tc>
          <w:tcPr>
            <w:cnfStyle w:val="001000000000" w:firstRow="0" w:lastRow="0" w:firstColumn="1" w:lastColumn="0" w:oddVBand="0" w:evenVBand="0" w:oddHBand="0" w:evenHBand="0" w:firstRowFirstColumn="0" w:firstRowLastColumn="0" w:lastRowFirstColumn="0" w:lastRowLastColumn="0"/>
            <w:tcW w:w="960" w:type="dxa"/>
            <w:vMerge w:val="restart"/>
            <w:hideMark/>
          </w:tcPr>
          <w:p w14:paraId="05D79E7D" w14:textId="77777777" w:rsidR="007A424E" w:rsidRPr="00391207" w:rsidRDefault="007A424E" w:rsidP="000A2E36">
            <w:pPr>
              <w:spacing w:line="480" w:lineRule="auto"/>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Valid</w:t>
            </w:r>
          </w:p>
        </w:tc>
        <w:tc>
          <w:tcPr>
            <w:tcW w:w="960" w:type="dxa"/>
            <w:hideMark/>
          </w:tcPr>
          <w:p w14:paraId="3BE7D543" w14:textId="77777777" w:rsidR="007A424E" w:rsidRPr="00391207" w:rsidRDefault="007A424E"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Male</w:t>
            </w:r>
          </w:p>
        </w:tc>
        <w:tc>
          <w:tcPr>
            <w:tcW w:w="960" w:type="dxa"/>
            <w:noWrap/>
            <w:hideMark/>
          </w:tcPr>
          <w:p w14:paraId="47ED397D" w14:textId="77777777" w:rsidR="007A424E" w:rsidRPr="00391207" w:rsidRDefault="007A424E"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16180</w:t>
            </w:r>
          </w:p>
        </w:tc>
        <w:tc>
          <w:tcPr>
            <w:tcW w:w="960" w:type="dxa"/>
            <w:noWrap/>
            <w:hideMark/>
          </w:tcPr>
          <w:p w14:paraId="72C35B8E" w14:textId="77777777" w:rsidR="007A424E" w:rsidRPr="00391207" w:rsidRDefault="007A424E"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46.6</w:t>
            </w:r>
          </w:p>
        </w:tc>
        <w:tc>
          <w:tcPr>
            <w:tcW w:w="960" w:type="dxa"/>
            <w:noWrap/>
            <w:hideMark/>
          </w:tcPr>
          <w:p w14:paraId="4B9C4D0C" w14:textId="77777777" w:rsidR="007A424E" w:rsidRPr="00391207" w:rsidRDefault="007A424E"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46.6</w:t>
            </w:r>
          </w:p>
        </w:tc>
        <w:tc>
          <w:tcPr>
            <w:tcW w:w="960" w:type="dxa"/>
            <w:noWrap/>
            <w:hideMark/>
          </w:tcPr>
          <w:p w14:paraId="4644A5F1" w14:textId="77777777" w:rsidR="007A424E" w:rsidRPr="00391207" w:rsidRDefault="007A424E"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46.6</w:t>
            </w:r>
          </w:p>
        </w:tc>
      </w:tr>
      <w:tr w:rsidR="00D03280" w:rsidRPr="00391207" w14:paraId="1BEC952D" w14:textId="77777777" w:rsidTr="008013A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14:paraId="360C6D14" w14:textId="77777777" w:rsidR="007A424E" w:rsidRPr="00391207" w:rsidRDefault="007A424E" w:rsidP="000A2E36">
            <w:pPr>
              <w:spacing w:line="480" w:lineRule="auto"/>
              <w:rPr>
                <w:rFonts w:ascii="Times New Roman" w:eastAsia="Times New Roman" w:hAnsi="Times New Roman" w:cs="Times New Roman"/>
                <w:color w:val="000000"/>
                <w:sz w:val="24"/>
                <w:szCs w:val="24"/>
              </w:rPr>
            </w:pPr>
          </w:p>
        </w:tc>
        <w:tc>
          <w:tcPr>
            <w:tcW w:w="960" w:type="dxa"/>
            <w:hideMark/>
          </w:tcPr>
          <w:p w14:paraId="15C161D9" w14:textId="77777777" w:rsidR="007A424E" w:rsidRPr="00391207" w:rsidRDefault="007A424E"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Female</w:t>
            </w:r>
          </w:p>
        </w:tc>
        <w:tc>
          <w:tcPr>
            <w:tcW w:w="960" w:type="dxa"/>
            <w:noWrap/>
            <w:hideMark/>
          </w:tcPr>
          <w:p w14:paraId="36D3838C" w14:textId="77777777" w:rsidR="007A424E" w:rsidRPr="00391207" w:rsidRDefault="007A424E"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18535</w:t>
            </w:r>
          </w:p>
        </w:tc>
        <w:tc>
          <w:tcPr>
            <w:tcW w:w="960" w:type="dxa"/>
            <w:noWrap/>
            <w:hideMark/>
          </w:tcPr>
          <w:p w14:paraId="6B6A50CC" w14:textId="77777777" w:rsidR="007A424E" w:rsidRPr="00391207" w:rsidRDefault="007A424E"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53.4</w:t>
            </w:r>
          </w:p>
        </w:tc>
        <w:tc>
          <w:tcPr>
            <w:tcW w:w="960" w:type="dxa"/>
            <w:noWrap/>
            <w:hideMark/>
          </w:tcPr>
          <w:p w14:paraId="68AA9220" w14:textId="77777777" w:rsidR="007A424E" w:rsidRPr="00391207" w:rsidRDefault="007A424E"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53.4</w:t>
            </w:r>
          </w:p>
        </w:tc>
        <w:tc>
          <w:tcPr>
            <w:tcW w:w="960" w:type="dxa"/>
            <w:noWrap/>
            <w:hideMark/>
          </w:tcPr>
          <w:p w14:paraId="72B4C4BE" w14:textId="77777777" w:rsidR="007A424E" w:rsidRPr="00391207" w:rsidRDefault="007A424E"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100.0</w:t>
            </w:r>
          </w:p>
        </w:tc>
      </w:tr>
      <w:tr w:rsidR="007A424E" w:rsidRPr="00391207" w14:paraId="6FC36D73" w14:textId="77777777" w:rsidTr="008013A5">
        <w:trPr>
          <w:trHeight w:val="315"/>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14:paraId="5E23A567" w14:textId="77777777" w:rsidR="007A424E" w:rsidRPr="00391207" w:rsidRDefault="007A424E" w:rsidP="000A2E36">
            <w:pPr>
              <w:spacing w:line="480" w:lineRule="auto"/>
              <w:rPr>
                <w:rFonts w:ascii="Times New Roman" w:eastAsia="Times New Roman" w:hAnsi="Times New Roman" w:cs="Times New Roman"/>
                <w:color w:val="000000"/>
                <w:sz w:val="24"/>
                <w:szCs w:val="24"/>
              </w:rPr>
            </w:pPr>
          </w:p>
        </w:tc>
        <w:tc>
          <w:tcPr>
            <w:tcW w:w="960" w:type="dxa"/>
            <w:hideMark/>
          </w:tcPr>
          <w:p w14:paraId="188D5A41" w14:textId="77777777" w:rsidR="007A424E" w:rsidRPr="00391207" w:rsidRDefault="007A424E"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Total</w:t>
            </w:r>
          </w:p>
        </w:tc>
        <w:tc>
          <w:tcPr>
            <w:tcW w:w="960" w:type="dxa"/>
            <w:noWrap/>
            <w:hideMark/>
          </w:tcPr>
          <w:p w14:paraId="01CC306E" w14:textId="77777777" w:rsidR="007A424E" w:rsidRPr="00391207" w:rsidRDefault="007A424E"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34715</w:t>
            </w:r>
          </w:p>
        </w:tc>
        <w:tc>
          <w:tcPr>
            <w:tcW w:w="960" w:type="dxa"/>
            <w:noWrap/>
            <w:hideMark/>
          </w:tcPr>
          <w:p w14:paraId="116AA403" w14:textId="77777777" w:rsidR="007A424E" w:rsidRPr="00391207" w:rsidRDefault="007A424E"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100.0</w:t>
            </w:r>
          </w:p>
        </w:tc>
        <w:tc>
          <w:tcPr>
            <w:tcW w:w="960" w:type="dxa"/>
            <w:noWrap/>
            <w:hideMark/>
          </w:tcPr>
          <w:p w14:paraId="4322B579" w14:textId="77777777" w:rsidR="007A424E" w:rsidRPr="00391207" w:rsidRDefault="007A424E"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100.0</w:t>
            </w:r>
          </w:p>
        </w:tc>
        <w:tc>
          <w:tcPr>
            <w:tcW w:w="960" w:type="dxa"/>
            <w:hideMark/>
          </w:tcPr>
          <w:p w14:paraId="2598BE26" w14:textId="77777777" w:rsidR="007A424E" w:rsidRPr="00391207" w:rsidRDefault="007A424E"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 </w:t>
            </w:r>
          </w:p>
        </w:tc>
      </w:tr>
    </w:tbl>
    <w:p w14:paraId="374AD714" w14:textId="77777777" w:rsidR="007A424E" w:rsidRPr="00391207" w:rsidRDefault="007A424E" w:rsidP="000A2E36">
      <w:pPr>
        <w:spacing w:line="480" w:lineRule="auto"/>
        <w:ind w:firstLine="720"/>
        <w:rPr>
          <w:rFonts w:ascii="Times New Roman" w:hAnsi="Times New Roman" w:cs="Times New Roman"/>
          <w:sz w:val="24"/>
          <w:szCs w:val="24"/>
        </w:rPr>
      </w:pPr>
    </w:p>
    <w:p w14:paraId="71759E1F" w14:textId="77777777" w:rsidR="007A424E" w:rsidRPr="00391207" w:rsidRDefault="007A424E" w:rsidP="000A2E36">
      <w:pPr>
        <w:spacing w:line="480" w:lineRule="auto"/>
        <w:ind w:firstLine="720"/>
        <w:jc w:val="center"/>
        <w:rPr>
          <w:rFonts w:ascii="Times New Roman" w:hAnsi="Times New Roman" w:cs="Times New Roman"/>
          <w:b/>
          <w:bCs/>
          <w:i/>
          <w:iCs/>
          <w:sz w:val="24"/>
          <w:szCs w:val="24"/>
        </w:rPr>
      </w:pPr>
      <w:r w:rsidRPr="00391207">
        <w:rPr>
          <w:rFonts w:ascii="Times New Roman" w:hAnsi="Times New Roman" w:cs="Times New Roman"/>
          <w:b/>
          <w:bCs/>
          <w:i/>
          <w:iCs/>
          <w:sz w:val="24"/>
          <w:szCs w:val="24"/>
        </w:rPr>
        <w:t>Chart 1: Frequency Distribution of sex</w:t>
      </w:r>
    </w:p>
    <w:p w14:paraId="246EE3C8" w14:textId="563E66DC" w:rsidR="007A424E" w:rsidRPr="00391207" w:rsidRDefault="007A424E" w:rsidP="004B78F0">
      <w:pPr>
        <w:autoSpaceDE w:val="0"/>
        <w:autoSpaceDN w:val="0"/>
        <w:adjustRightInd w:val="0"/>
        <w:spacing w:after="0" w:line="480" w:lineRule="auto"/>
        <w:jc w:val="center"/>
        <w:rPr>
          <w:rFonts w:ascii="Times New Roman" w:hAnsi="Times New Roman" w:cs="Times New Roman"/>
          <w:sz w:val="24"/>
          <w:szCs w:val="24"/>
        </w:rPr>
      </w:pPr>
      <w:r w:rsidRPr="00391207">
        <w:rPr>
          <w:rFonts w:ascii="Times New Roman" w:hAnsi="Times New Roman" w:cs="Times New Roman"/>
          <w:noProof/>
          <w:sz w:val="24"/>
          <w:szCs w:val="24"/>
        </w:rPr>
        <w:lastRenderedPageBreak/>
        <w:drawing>
          <wp:inline distT="0" distB="0" distL="0" distR="0" wp14:anchorId="5C18C525" wp14:editId="62561A06">
            <wp:extent cx="3823437" cy="30575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2674" cy="3072908"/>
                    </a:xfrm>
                    <a:prstGeom prst="rect">
                      <a:avLst/>
                    </a:prstGeom>
                    <a:noFill/>
                    <a:ln>
                      <a:noFill/>
                    </a:ln>
                  </pic:spPr>
                </pic:pic>
              </a:graphicData>
            </a:graphic>
          </wp:inline>
        </w:drawing>
      </w:r>
    </w:p>
    <w:p w14:paraId="5788D17A" w14:textId="48BE6365" w:rsidR="00517125" w:rsidRPr="00391207" w:rsidRDefault="00517125" w:rsidP="000A2E36">
      <w:pPr>
        <w:pStyle w:val="ListParagraph"/>
        <w:numPr>
          <w:ilvl w:val="0"/>
          <w:numId w:val="2"/>
        </w:numPr>
        <w:spacing w:line="480" w:lineRule="auto"/>
        <w:rPr>
          <w:rFonts w:ascii="Times New Roman" w:hAnsi="Times New Roman" w:cs="Times New Roman"/>
          <w:b/>
          <w:bCs/>
          <w:sz w:val="24"/>
          <w:szCs w:val="24"/>
        </w:rPr>
      </w:pPr>
      <w:r w:rsidRPr="00391207">
        <w:rPr>
          <w:rFonts w:ascii="Times New Roman" w:hAnsi="Times New Roman" w:cs="Times New Roman"/>
          <w:b/>
          <w:bCs/>
          <w:sz w:val="24"/>
          <w:szCs w:val="24"/>
        </w:rPr>
        <w:t>Marital Status</w:t>
      </w:r>
    </w:p>
    <w:p w14:paraId="3DBEE8CD" w14:textId="6F060145" w:rsidR="00004732" w:rsidRPr="00391207" w:rsidRDefault="0058316A" w:rsidP="000A2E36">
      <w:pPr>
        <w:spacing w:line="480" w:lineRule="auto"/>
        <w:ind w:firstLine="360"/>
        <w:rPr>
          <w:rFonts w:ascii="Times New Roman" w:hAnsi="Times New Roman" w:cs="Times New Roman"/>
          <w:sz w:val="24"/>
          <w:szCs w:val="24"/>
        </w:rPr>
      </w:pPr>
      <w:r w:rsidRPr="00391207">
        <w:rPr>
          <w:rFonts w:ascii="Times New Roman" w:hAnsi="Times New Roman" w:cs="Times New Roman"/>
          <w:sz w:val="24"/>
          <w:szCs w:val="24"/>
        </w:rPr>
        <w:t xml:space="preserve">The provided marital status frequency table shows that 15,880 respondents, or 45.8% of the sample, were married or in a civil partnership, making up the majority of the respondents. </w:t>
      </w:r>
      <w:r w:rsidR="00942715" w:rsidRPr="00391207">
        <w:rPr>
          <w:rFonts w:ascii="Times New Roman" w:hAnsi="Times New Roman" w:cs="Times New Roman"/>
          <w:sz w:val="24"/>
          <w:szCs w:val="24"/>
        </w:rPr>
        <w:t>The next biggest group was single respondents at 22.4%, followed by cohabiting at 10.3%. Smaller groups included divorced or legally dissolved partnerships (8.8%), widowed (9.7%), and separated (2.9%). Together, the married and cohabiting groups make up over half the sample at 56.2%. The cumulative percent shows the distribution across categories, with married respondents making up the first 45.8%, singles comprising the next 22.4%, and so on. Only 67 respondents (.2%) were missing data for marital status. Overall, the sample contains a diversity of marital statuses, reflecting the makeup of the wider population. Marital status is an important demographic factor that may influence perceptions and experiences related to crime and policing</w:t>
      </w:r>
      <w:r w:rsidR="0088568B">
        <w:rPr>
          <w:rFonts w:ascii="Times New Roman" w:hAnsi="Times New Roman" w:cs="Times New Roman"/>
          <w:sz w:val="24"/>
          <w:szCs w:val="24"/>
        </w:rPr>
        <w:t xml:space="preserve"> </w:t>
      </w:r>
      <w:r w:rsidR="0088568B">
        <w:t>(Boateng, 2016: 2891)</w:t>
      </w:r>
      <w:r w:rsidR="00942715" w:rsidRPr="00391207">
        <w:rPr>
          <w:rFonts w:ascii="Times New Roman" w:hAnsi="Times New Roman" w:cs="Times New Roman"/>
          <w:sz w:val="24"/>
          <w:szCs w:val="24"/>
        </w:rPr>
        <w:t>. Comparing across groups could reveal differing views or impacts by relationship status.</w:t>
      </w:r>
    </w:p>
    <w:p w14:paraId="1CAC92ED" w14:textId="288CAD68" w:rsidR="002A028F" w:rsidRPr="00391207" w:rsidRDefault="002A028F" w:rsidP="000A2E36">
      <w:pPr>
        <w:spacing w:line="480" w:lineRule="auto"/>
        <w:ind w:firstLine="360"/>
        <w:jc w:val="center"/>
        <w:rPr>
          <w:rFonts w:ascii="Times New Roman" w:hAnsi="Times New Roman" w:cs="Times New Roman"/>
          <w:b/>
          <w:bCs/>
          <w:i/>
          <w:iCs/>
          <w:sz w:val="24"/>
          <w:szCs w:val="24"/>
        </w:rPr>
      </w:pPr>
      <w:r w:rsidRPr="00391207">
        <w:rPr>
          <w:rFonts w:ascii="Times New Roman" w:hAnsi="Times New Roman" w:cs="Times New Roman"/>
          <w:b/>
          <w:bCs/>
          <w:i/>
          <w:iCs/>
          <w:sz w:val="24"/>
          <w:szCs w:val="24"/>
        </w:rPr>
        <w:t>Table 2: Marital status frequency table</w:t>
      </w:r>
    </w:p>
    <w:tbl>
      <w:tblPr>
        <w:tblStyle w:val="GridTable6Colorful"/>
        <w:tblW w:w="5760" w:type="dxa"/>
        <w:jc w:val="center"/>
        <w:tblLook w:val="04A0" w:firstRow="1" w:lastRow="0" w:firstColumn="1" w:lastColumn="0" w:noHBand="0" w:noVBand="1"/>
      </w:tblPr>
      <w:tblGrid>
        <w:gridCol w:w="1017"/>
        <w:gridCol w:w="1909"/>
        <w:gridCol w:w="1229"/>
        <w:gridCol w:w="936"/>
        <w:gridCol w:w="936"/>
        <w:gridCol w:w="1336"/>
      </w:tblGrid>
      <w:tr w:rsidR="00F90DA4" w:rsidRPr="00391207" w14:paraId="7A2BC64A" w14:textId="77777777" w:rsidTr="002A028F">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760" w:type="dxa"/>
            <w:gridSpan w:val="6"/>
            <w:hideMark/>
          </w:tcPr>
          <w:p w14:paraId="06F4D8BF" w14:textId="77777777" w:rsidR="00F90DA4" w:rsidRPr="00391207" w:rsidRDefault="00F90DA4" w:rsidP="000A2E36">
            <w:pPr>
              <w:spacing w:line="480" w:lineRule="auto"/>
              <w:jc w:val="center"/>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lastRenderedPageBreak/>
              <w:t>Marital status</w:t>
            </w:r>
          </w:p>
        </w:tc>
      </w:tr>
      <w:tr w:rsidR="00F90DA4" w:rsidRPr="00391207" w14:paraId="54002FDE" w14:textId="77777777" w:rsidTr="002A028F">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2199" w:type="dxa"/>
            <w:gridSpan w:val="2"/>
            <w:hideMark/>
          </w:tcPr>
          <w:p w14:paraId="7C62F9D8" w14:textId="77777777" w:rsidR="00F90DA4" w:rsidRPr="00391207" w:rsidRDefault="00F90DA4" w:rsidP="000A2E36">
            <w:pPr>
              <w:spacing w:line="480" w:lineRule="auto"/>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 </w:t>
            </w:r>
          </w:p>
        </w:tc>
        <w:tc>
          <w:tcPr>
            <w:tcW w:w="930" w:type="dxa"/>
            <w:hideMark/>
          </w:tcPr>
          <w:p w14:paraId="7C17C222" w14:textId="77777777" w:rsidR="00F90DA4" w:rsidRPr="00391207" w:rsidRDefault="00F90DA4" w:rsidP="000A2E3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Frequency</w:t>
            </w:r>
          </w:p>
        </w:tc>
        <w:tc>
          <w:tcPr>
            <w:tcW w:w="841" w:type="dxa"/>
            <w:hideMark/>
          </w:tcPr>
          <w:p w14:paraId="367F9D7F" w14:textId="77777777" w:rsidR="00F90DA4" w:rsidRPr="00391207" w:rsidRDefault="00F90DA4" w:rsidP="000A2E3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Percent</w:t>
            </w:r>
          </w:p>
        </w:tc>
        <w:tc>
          <w:tcPr>
            <w:tcW w:w="841" w:type="dxa"/>
            <w:hideMark/>
          </w:tcPr>
          <w:p w14:paraId="58C9D073" w14:textId="77777777" w:rsidR="00F90DA4" w:rsidRPr="00391207" w:rsidRDefault="00F90DA4" w:rsidP="000A2E3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Valid Percent</w:t>
            </w:r>
          </w:p>
        </w:tc>
        <w:tc>
          <w:tcPr>
            <w:tcW w:w="949" w:type="dxa"/>
            <w:hideMark/>
          </w:tcPr>
          <w:p w14:paraId="514EB846" w14:textId="77777777" w:rsidR="00F90DA4" w:rsidRPr="00391207" w:rsidRDefault="00F90DA4" w:rsidP="000A2E3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Cumulative Percent</w:t>
            </w:r>
          </w:p>
        </w:tc>
      </w:tr>
      <w:tr w:rsidR="00F90DA4" w:rsidRPr="00391207" w14:paraId="42D10A36" w14:textId="77777777" w:rsidTr="002A028F">
        <w:trPr>
          <w:trHeight w:val="735"/>
          <w:jc w:val="center"/>
        </w:trPr>
        <w:tc>
          <w:tcPr>
            <w:cnfStyle w:val="001000000000" w:firstRow="0" w:lastRow="0" w:firstColumn="1" w:lastColumn="0" w:oddVBand="0" w:evenVBand="0" w:oddHBand="0" w:evenHBand="0" w:firstRowFirstColumn="0" w:firstRowLastColumn="0" w:lastRowFirstColumn="0" w:lastRowLastColumn="0"/>
            <w:tcW w:w="838" w:type="dxa"/>
            <w:vMerge w:val="restart"/>
            <w:hideMark/>
          </w:tcPr>
          <w:p w14:paraId="26393AB5" w14:textId="77777777" w:rsidR="00F90DA4" w:rsidRPr="00391207" w:rsidRDefault="00F90DA4" w:rsidP="000A2E36">
            <w:pPr>
              <w:spacing w:line="480" w:lineRule="auto"/>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Valid</w:t>
            </w:r>
          </w:p>
        </w:tc>
        <w:tc>
          <w:tcPr>
            <w:tcW w:w="1361" w:type="dxa"/>
            <w:hideMark/>
          </w:tcPr>
          <w:p w14:paraId="7C8DEA2C" w14:textId="77777777" w:rsidR="00F90DA4" w:rsidRPr="00391207" w:rsidRDefault="00F90DA4"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Married/civil partnered</w:t>
            </w:r>
          </w:p>
        </w:tc>
        <w:tc>
          <w:tcPr>
            <w:tcW w:w="930" w:type="dxa"/>
            <w:noWrap/>
            <w:hideMark/>
          </w:tcPr>
          <w:p w14:paraId="6B5D9191" w14:textId="77777777" w:rsidR="00F90DA4" w:rsidRPr="00391207" w:rsidRDefault="00F90DA4"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15880</w:t>
            </w:r>
          </w:p>
        </w:tc>
        <w:tc>
          <w:tcPr>
            <w:tcW w:w="841" w:type="dxa"/>
            <w:noWrap/>
            <w:hideMark/>
          </w:tcPr>
          <w:p w14:paraId="7FA663FA" w14:textId="77777777" w:rsidR="00F90DA4" w:rsidRPr="00391207" w:rsidRDefault="00F90DA4"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45.7</w:t>
            </w:r>
          </w:p>
        </w:tc>
        <w:tc>
          <w:tcPr>
            <w:tcW w:w="841" w:type="dxa"/>
            <w:noWrap/>
            <w:hideMark/>
          </w:tcPr>
          <w:p w14:paraId="2D567B36" w14:textId="77777777" w:rsidR="00F90DA4" w:rsidRPr="00391207" w:rsidRDefault="00F90DA4"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45.8</w:t>
            </w:r>
          </w:p>
        </w:tc>
        <w:tc>
          <w:tcPr>
            <w:tcW w:w="949" w:type="dxa"/>
            <w:noWrap/>
            <w:hideMark/>
          </w:tcPr>
          <w:p w14:paraId="69C1972A" w14:textId="77777777" w:rsidR="00F90DA4" w:rsidRPr="00391207" w:rsidRDefault="00F90DA4"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45.8</w:t>
            </w:r>
          </w:p>
        </w:tc>
      </w:tr>
      <w:tr w:rsidR="00D03280" w:rsidRPr="00391207" w14:paraId="76E11713" w14:textId="77777777" w:rsidTr="002A028F">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838" w:type="dxa"/>
            <w:vMerge/>
            <w:hideMark/>
          </w:tcPr>
          <w:p w14:paraId="68819F4B" w14:textId="77777777" w:rsidR="00F90DA4" w:rsidRPr="00391207" w:rsidRDefault="00F90DA4" w:rsidP="000A2E36">
            <w:pPr>
              <w:spacing w:line="480" w:lineRule="auto"/>
              <w:rPr>
                <w:rFonts w:ascii="Times New Roman" w:eastAsia="Times New Roman" w:hAnsi="Times New Roman" w:cs="Times New Roman"/>
                <w:color w:val="000000"/>
                <w:sz w:val="24"/>
                <w:szCs w:val="24"/>
              </w:rPr>
            </w:pPr>
          </w:p>
        </w:tc>
        <w:tc>
          <w:tcPr>
            <w:tcW w:w="1361" w:type="dxa"/>
            <w:hideMark/>
          </w:tcPr>
          <w:p w14:paraId="4FC8ECBE" w14:textId="77777777" w:rsidR="00F90DA4" w:rsidRPr="00391207" w:rsidRDefault="00F90DA4"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Cohabiting</w:t>
            </w:r>
          </w:p>
        </w:tc>
        <w:tc>
          <w:tcPr>
            <w:tcW w:w="930" w:type="dxa"/>
            <w:noWrap/>
            <w:hideMark/>
          </w:tcPr>
          <w:p w14:paraId="6A2F0F76" w14:textId="77777777" w:rsidR="00F90DA4" w:rsidRPr="00391207" w:rsidRDefault="00F90DA4"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3578</w:t>
            </w:r>
          </w:p>
        </w:tc>
        <w:tc>
          <w:tcPr>
            <w:tcW w:w="841" w:type="dxa"/>
            <w:noWrap/>
            <w:hideMark/>
          </w:tcPr>
          <w:p w14:paraId="2A7104ED" w14:textId="77777777" w:rsidR="00F90DA4" w:rsidRPr="00391207" w:rsidRDefault="00F90DA4"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10.3</w:t>
            </w:r>
          </w:p>
        </w:tc>
        <w:tc>
          <w:tcPr>
            <w:tcW w:w="841" w:type="dxa"/>
            <w:noWrap/>
            <w:hideMark/>
          </w:tcPr>
          <w:p w14:paraId="4CD6B085" w14:textId="77777777" w:rsidR="00F90DA4" w:rsidRPr="00391207" w:rsidRDefault="00F90DA4"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10.3</w:t>
            </w:r>
          </w:p>
        </w:tc>
        <w:tc>
          <w:tcPr>
            <w:tcW w:w="949" w:type="dxa"/>
            <w:noWrap/>
            <w:hideMark/>
          </w:tcPr>
          <w:p w14:paraId="633EAF89" w14:textId="77777777" w:rsidR="00F90DA4" w:rsidRPr="00391207" w:rsidRDefault="00F90DA4"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56.2</w:t>
            </w:r>
          </w:p>
        </w:tc>
      </w:tr>
      <w:tr w:rsidR="00F90DA4" w:rsidRPr="00391207" w14:paraId="477600CA" w14:textId="77777777" w:rsidTr="002A028F">
        <w:trPr>
          <w:trHeight w:val="300"/>
          <w:jc w:val="center"/>
        </w:trPr>
        <w:tc>
          <w:tcPr>
            <w:cnfStyle w:val="001000000000" w:firstRow="0" w:lastRow="0" w:firstColumn="1" w:lastColumn="0" w:oddVBand="0" w:evenVBand="0" w:oddHBand="0" w:evenHBand="0" w:firstRowFirstColumn="0" w:firstRowLastColumn="0" w:lastRowFirstColumn="0" w:lastRowLastColumn="0"/>
            <w:tcW w:w="838" w:type="dxa"/>
            <w:vMerge/>
            <w:hideMark/>
          </w:tcPr>
          <w:p w14:paraId="343F1ADB" w14:textId="77777777" w:rsidR="00F90DA4" w:rsidRPr="00391207" w:rsidRDefault="00F90DA4" w:rsidP="000A2E36">
            <w:pPr>
              <w:spacing w:line="480" w:lineRule="auto"/>
              <w:rPr>
                <w:rFonts w:ascii="Times New Roman" w:eastAsia="Times New Roman" w:hAnsi="Times New Roman" w:cs="Times New Roman"/>
                <w:color w:val="000000"/>
                <w:sz w:val="24"/>
                <w:szCs w:val="24"/>
              </w:rPr>
            </w:pPr>
          </w:p>
        </w:tc>
        <w:tc>
          <w:tcPr>
            <w:tcW w:w="1361" w:type="dxa"/>
            <w:hideMark/>
          </w:tcPr>
          <w:p w14:paraId="73F60D36" w14:textId="77777777" w:rsidR="00F90DA4" w:rsidRPr="00391207" w:rsidRDefault="00F90DA4"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Single</w:t>
            </w:r>
          </w:p>
        </w:tc>
        <w:tc>
          <w:tcPr>
            <w:tcW w:w="930" w:type="dxa"/>
            <w:noWrap/>
            <w:hideMark/>
          </w:tcPr>
          <w:p w14:paraId="4165BFA9" w14:textId="77777777" w:rsidR="00F90DA4" w:rsidRPr="00391207" w:rsidRDefault="00F90DA4"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7765</w:t>
            </w:r>
          </w:p>
        </w:tc>
        <w:tc>
          <w:tcPr>
            <w:tcW w:w="841" w:type="dxa"/>
            <w:noWrap/>
            <w:hideMark/>
          </w:tcPr>
          <w:p w14:paraId="777697B9" w14:textId="77777777" w:rsidR="00F90DA4" w:rsidRPr="00391207" w:rsidRDefault="00F90DA4"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22.4</w:t>
            </w:r>
          </w:p>
        </w:tc>
        <w:tc>
          <w:tcPr>
            <w:tcW w:w="841" w:type="dxa"/>
            <w:noWrap/>
            <w:hideMark/>
          </w:tcPr>
          <w:p w14:paraId="1BA7928A" w14:textId="77777777" w:rsidR="00F90DA4" w:rsidRPr="00391207" w:rsidRDefault="00F90DA4"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22.4</w:t>
            </w:r>
          </w:p>
        </w:tc>
        <w:tc>
          <w:tcPr>
            <w:tcW w:w="949" w:type="dxa"/>
            <w:noWrap/>
            <w:hideMark/>
          </w:tcPr>
          <w:p w14:paraId="06AD7534" w14:textId="77777777" w:rsidR="00F90DA4" w:rsidRPr="00391207" w:rsidRDefault="00F90DA4"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78.6</w:t>
            </w:r>
          </w:p>
        </w:tc>
      </w:tr>
      <w:tr w:rsidR="00D03280" w:rsidRPr="00391207" w14:paraId="6F95F7A7" w14:textId="77777777" w:rsidTr="002A02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38" w:type="dxa"/>
            <w:vMerge/>
            <w:hideMark/>
          </w:tcPr>
          <w:p w14:paraId="1509285E" w14:textId="77777777" w:rsidR="00F90DA4" w:rsidRPr="00391207" w:rsidRDefault="00F90DA4" w:rsidP="000A2E36">
            <w:pPr>
              <w:spacing w:line="480" w:lineRule="auto"/>
              <w:rPr>
                <w:rFonts w:ascii="Times New Roman" w:eastAsia="Times New Roman" w:hAnsi="Times New Roman" w:cs="Times New Roman"/>
                <w:color w:val="000000"/>
                <w:sz w:val="24"/>
                <w:szCs w:val="24"/>
              </w:rPr>
            </w:pPr>
          </w:p>
        </w:tc>
        <w:tc>
          <w:tcPr>
            <w:tcW w:w="1361" w:type="dxa"/>
            <w:hideMark/>
          </w:tcPr>
          <w:p w14:paraId="1B5E4F9B" w14:textId="77777777" w:rsidR="00F90DA4" w:rsidRPr="00391207" w:rsidRDefault="00F90DA4"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Separated</w:t>
            </w:r>
          </w:p>
        </w:tc>
        <w:tc>
          <w:tcPr>
            <w:tcW w:w="930" w:type="dxa"/>
            <w:noWrap/>
            <w:hideMark/>
          </w:tcPr>
          <w:p w14:paraId="0C209C4B" w14:textId="77777777" w:rsidR="00F90DA4" w:rsidRPr="00391207" w:rsidRDefault="00F90DA4"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1005</w:t>
            </w:r>
          </w:p>
        </w:tc>
        <w:tc>
          <w:tcPr>
            <w:tcW w:w="841" w:type="dxa"/>
            <w:noWrap/>
            <w:hideMark/>
          </w:tcPr>
          <w:p w14:paraId="5A189873" w14:textId="77777777" w:rsidR="00F90DA4" w:rsidRPr="00391207" w:rsidRDefault="00F90DA4"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2.9</w:t>
            </w:r>
          </w:p>
        </w:tc>
        <w:tc>
          <w:tcPr>
            <w:tcW w:w="841" w:type="dxa"/>
            <w:noWrap/>
            <w:hideMark/>
          </w:tcPr>
          <w:p w14:paraId="7C9D5E3F" w14:textId="77777777" w:rsidR="00F90DA4" w:rsidRPr="00391207" w:rsidRDefault="00F90DA4"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2.9</w:t>
            </w:r>
          </w:p>
        </w:tc>
        <w:tc>
          <w:tcPr>
            <w:tcW w:w="949" w:type="dxa"/>
            <w:noWrap/>
            <w:hideMark/>
          </w:tcPr>
          <w:p w14:paraId="3C359B5C" w14:textId="77777777" w:rsidR="00F90DA4" w:rsidRPr="00391207" w:rsidRDefault="00F90DA4"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81.5</w:t>
            </w:r>
          </w:p>
        </w:tc>
      </w:tr>
      <w:tr w:rsidR="00F90DA4" w:rsidRPr="00391207" w14:paraId="50B4E22D" w14:textId="77777777" w:rsidTr="002A028F">
        <w:trPr>
          <w:trHeight w:val="1200"/>
          <w:jc w:val="center"/>
        </w:trPr>
        <w:tc>
          <w:tcPr>
            <w:cnfStyle w:val="001000000000" w:firstRow="0" w:lastRow="0" w:firstColumn="1" w:lastColumn="0" w:oddVBand="0" w:evenVBand="0" w:oddHBand="0" w:evenHBand="0" w:firstRowFirstColumn="0" w:firstRowLastColumn="0" w:lastRowFirstColumn="0" w:lastRowLastColumn="0"/>
            <w:tcW w:w="838" w:type="dxa"/>
            <w:vMerge/>
            <w:hideMark/>
          </w:tcPr>
          <w:p w14:paraId="674ABCB3" w14:textId="77777777" w:rsidR="00F90DA4" w:rsidRPr="00391207" w:rsidRDefault="00F90DA4" w:rsidP="000A2E36">
            <w:pPr>
              <w:spacing w:line="480" w:lineRule="auto"/>
              <w:rPr>
                <w:rFonts w:ascii="Times New Roman" w:eastAsia="Times New Roman" w:hAnsi="Times New Roman" w:cs="Times New Roman"/>
                <w:color w:val="000000"/>
                <w:sz w:val="24"/>
                <w:szCs w:val="24"/>
              </w:rPr>
            </w:pPr>
          </w:p>
        </w:tc>
        <w:tc>
          <w:tcPr>
            <w:tcW w:w="1361" w:type="dxa"/>
            <w:hideMark/>
          </w:tcPr>
          <w:p w14:paraId="393602C2" w14:textId="77777777" w:rsidR="00F90DA4" w:rsidRPr="00391207" w:rsidRDefault="00F90DA4"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Divorced/Legally dissolved partnership</w:t>
            </w:r>
          </w:p>
        </w:tc>
        <w:tc>
          <w:tcPr>
            <w:tcW w:w="930" w:type="dxa"/>
            <w:noWrap/>
            <w:hideMark/>
          </w:tcPr>
          <w:p w14:paraId="68149D3F" w14:textId="77777777" w:rsidR="00F90DA4" w:rsidRPr="00391207" w:rsidRDefault="00F90DA4"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3056</w:t>
            </w:r>
          </w:p>
        </w:tc>
        <w:tc>
          <w:tcPr>
            <w:tcW w:w="841" w:type="dxa"/>
            <w:noWrap/>
            <w:hideMark/>
          </w:tcPr>
          <w:p w14:paraId="79E172BE" w14:textId="77777777" w:rsidR="00F90DA4" w:rsidRPr="00391207" w:rsidRDefault="00F90DA4"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8.8</w:t>
            </w:r>
          </w:p>
        </w:tc>
        <w:tc>
          <w:tcPr>
            <w:tcW w:w="841" w:type="dxa"/>
            <w:noWrap/>
            <w:hideMark/>
          </w:tcPr>
          <w:p w14:paraId="58FBE2B3" w14:textId="77777777" w:rsidR="00F90DA4" w:rsidRPr="00391207" w:rsidRDefault="00F90DA4"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8.8</w:t>
            </w:r>
          </w:p>
        </w:tc>
        <w:tc>
          <w:tcPr>
            <w:tcW w:w="949" w:type="dxa"/>
            <w:noWrap/>
            <w:hideMark/>
          </w:tcPr>
          <w:p w14:paraId="5234DAA6" w14:textId="77777777" w:rsidR="00F90DA4" w:rsidRPr="00391207" w:rsidRDefault="00F90DA4"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90.3</w:t>
            </w:r>
          </w:p>
        </w:tc>
      </w:tr>
      <w:tr w:rsidR="00D03280" w:rsidRPr="00391207" w14:paraId="4E05008A" w14:textId="77777777" w:rsidTr="002A028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38" w:type="dxa"/>
            <w:vMerge/>
            <w:hideMark/>
          </w:tcPr>
          <w:p w14:paraId="4655CA50" w14:textId="77777777" w:rsidR="00F90DA4" w:rsidRPr="00391207" w:rsidRDefault="00F90DA4" w:rsidP="000A2E36">
            <w:pPr>
              <w:spacing w:line="480" w:lineRule="auto"/>
              <w:rPr>
                <w:rFonts w:ascii="Times New Roman" w:eastAsia="Times New Roman" w:hAnsi="Times New Roman" w:cs="Times New Roman"/>
                <w:color w:val="000000"/>
                <w:sz w:val="24"/>
                <w:szCs w:val="24"/>
              </w:rPr>
            </w:pPr>
          </w:p>
        </w:tc>
        <w:tc>
          <w:tcPr>
            <w:tcW w:w="1361" w:type="dxa"/>
            <w:hideMark/>
          </w:tcPr>
          <w:p w14:paraId="643F4377" w14:textId="77777777" w:rsidR="00F90DA4" w:rsidRPr="00391207" w:rsidRDefault="00F90DA4"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Widowed</w:t>
            </w:r>
          </w:p>
        </w:tc>
        <w:tc>
          <w:tcPr>
            <w:tcW w:w="930" w:type="dxa"/>
            <w:noWrap/>
            <w:hideMark/>
          </w:tcPr>
          <w:p w14:paraId="6A0C155A" w14:textId="77777777" w:rsidR="00F90DA4" w:rsidRPr="00391207" w:rsidRDefault="00F90DA4"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3364</w:t>
            </w:r>
          </w:p>
        </w:tc>
        <w:tc>
          <w:tcPr>
            <w:tcW w:w="841" w:type="dxa"/>
            <w:noWrap/>
            <w:hideMark/>
          </w:tcPr>
          <w:p w14:paraId="6C9C17D3" w14:textId="77777777" w:rsidR="00F90DA4" w:rsidRPr="00391207" w:rsidRDefault="00F90DA4"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9.7</w:t>
            </w:r>
          </w:p>
        </w:tc>
        <w:tc>
          <w:tcPr>
            <w:tcW w:w="841" w:type="dxa"/>
            <w:noWrap/>
            <w:hideMark/>
          </w:tcPr>
          <w:p w14:paraId="3B4AFCB4" w14:textId="77777777" w:rsidR="00F90DA4" w:rsidRPr="00391207" w:rsidRDefault="00F90DA4"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9.7</w:t>
            </w:r>
          </w:p>
        </w:tc>
        <w:tc>
          <w:tcPr>
            <w:tcW w:w="949" w:type="dxa"/>
            <w:noWrap/>
            <w:hideMark/>
          </w:tcPr>
          <w:p w14:paraId="46CD5364" w14:textId="77777777" w:rsidR="00F90DA4" w:rsidRPr="00391207" w:rsidRDefault="00F90DA4"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100.0</w:t>
            </w:r>
          </w:p>
        </w:tc>
      </w:tr>
      <w:tr w:rsidR="00F90DA4" w:rsidRPr="00391207" w14:paraId="74BA9C9F" w14:textId="77777777" w:rsidTr="002A028F">
        <w:trPr>
          <w:trHeight w:val="300"/>
          <w:jc w:val="center"/>
        </w:trPr>
        <w:tc>
          <w:tcPr>
            <w:cnfStyle w:val="001000000000" w:firstRow="0" w:lastRow="0" w:firstColumn="1" w:lastColumn="0" w:oddVBand="0" w:evenVBand="0" w:oddHBand="0" w:evenHBand="0" w:firstRowFirstColumn="0" w:firstRowLastColumn="0" w:lastRowFirstColumn="0" w:lastRowLastColumn="0"/>
            <w:tcW w:w="838" w:type="dxa"/>
            <w:vMerge/>
            <w:hideMark/>
          </w:tcPr>
          <w:p w14:paraId="30F28679" w14:textId="77777777" w:rsidR="00F90DA4" w:rsidRPr="00391207" w:rsidRDefault="00F90DA4" w:rsidP="000A2E36">
            <w:pPr>
              <w:spacing w:line="480" w:lineRule="auto"/>
              <w:rPr>
                <w:rFonts w:ascii="Times New Roman" w:eastAsia="Times New Roman" w:hAnsi="Times New Roman" w:cs="Times New Roman"/>
                <w:color w:val="000000"/>
                <w:sz w:val="24"/>
                <w:szCs w:val="24"/>
              </w:rPr>
            </w:pPr>
          </w:p>
        </w:tc>
        <w:tc>
          <w:tcPr>
            <w:tcW w:w="1361" w:type="dxa"/>
            <w:hideMark/>
          </w:tcPr>
          <w:p w14:paraId="631DAFB7" w14:textId="77777777" w:rsidR="00F90DA4" w:rsidRPr="00391207" w:rsidRDefault="00F90DA4"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Total</w:t>
            </w:r>
          </w:p>
        </w:tc>
        <w:tc>
          <w:tcPr>
            <w:tcW w:w="930" w:type="dxa"/>
            <w:noWrap/>
            <w:hideMark/>
          </w:tcPr>
          <w:p w14:paraId="04EADE92" w14:textId="77777777" w:rsidR="00F90DA4" w:rsidRPr="00391207" w:rsidRDefault="00F90DA4"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34648</w:t>
            </w:r>
          </w:p>
        </w:tc>
        <w:tc>
          <w:tcPr>
            <w:tcW w:w="841" w:type="dxa"/>
            <w:noWrap/>
            <w:hideMark/>
          </w:tcPr>
          <w:p w14:paraId="41692769" w14:textId="77777777" w:rsidR="00F90DA4" w:rsidRPr="00391207" w:rsidRDefault="00F90DA4"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99.8</w:t>
            </w:r>
          </w:p>
        </w:tc>
        <w:tc>
          <w:tcPr>
            <w:tcW w:w="841" w:type="dxa"/>
            <w:noWrap/>
            <w:hideMark/>
          </w:tcPr>
          <w:p w14:paraId="7A19AC9A" w14:textId="77777777" w:rsidR="00F90DA4" w:rsidRPr="00391207" w:rsidRDefault="00F90DA4"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100.0</w:t>
            </w:r>
          </w:p>
        </w:tc>
        <w:tc>
          <w:tcPr>
            <w:tcW w:w="949" w:type="dxa"/>
            <w:hideMark/>
          </w:tcPr>
          <w:p w14:paraId="45FF7865" w14:textId="77777777" w:rsidR="00F90DA4" w:rsidRPr="00391207" w:rsidRDefault="00F90DA4"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 </w:t>
            </w:r>
          </w:p>
        </w:tc>
      </w:tr>
      <w:tr w:rsidR="00D03280" w:rsidRPr="00391207" w14:paraId="487DCE12" w14:textId="77777777" w:rsidTr="002A028F">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838" w:type="dxa"/>
            <w:hideMark/>
          </w:tcPr>
          <w:p w14:paraId="3617691D" w14:textId="77777777" w:rsidR="00F90DA4" w:rsidRPr="00391207" w:rsidRDefault="00F90DA4" w:rsidP="000A2E36">
            <w:pPr>
              <w:spacing w:line="480" w:lineRule="auto"/>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Missing</w:t>
            </w:r>
          </w:p>
        </w:tc>
        <w:tc>
          <w:tcPr>
            <w:tcW w:w="1361" w:type="dxa"/>
            <w:hideMark/>
          </w:tcPr>
          <w:p w14:paraId="3B283FFF" w14:textId="77777777" w:rsidR="00F90DA4" w:rsidRPr="00391207" w:rsidRDefault="00F90DA4"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Not classified</w:t>
            </w:r>
          </w:p>
        </w:tc>
        <w:tc>
          <w:tcPr>
            <w:tcW w:w="930" w:type="dxa"/>
            <w:noWrap/>
            <w:hideMark/>
          </w:tcPr>
          <w:p w14:paraId="122BF7E6" w14:textId="77777777" w:rsidR="00F90DA4" w:rsidRPr="00391207" w:rsidRDefault="00F90DA4"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67</w:t>
            </w:r>
          </w:p>
        </w:tc>
        <w:tc>
          <w:tcPr>
            <w:tcW w:w="841" w:type="dxa"/>
            <w:noWrap/>
            <w:hideMark/>
          </w:tcPr>
          <w:p w14:paraId="3BD1F95D" w14:textId="77777777" w:rsidR="00F90DA4" w:rsidRPr="00391207" w:rsidRDefault="00F90DA4"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.2</w:t>
            </w:r>
          </w:p>
        </w:tc>
        <w:tc>
          <w:tcPr>
            <w:tcW w:w="841" w:type="dxa"/>
            <w:hideMark/>
          </w:tcPr>
          <w:p w14:paraId="01583137" w14:textId="77777777" w:rsidR="00F90DA4" w:rsidRPr="00391207" w:rsidRDefault="00F90DA4"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 </w:t>
            </w:r>
          </w:p>
        </w:tc>
        <w:tc>
          <w:tcPr>
            <w:tcW w:w="949" w:type="dxa"/>
            <w:hideMark/>
          </w:tcPr>
          <w:p w14:paraId="2F64C8F3" w14:textId="77777777" w:rsidR="00F90DA4" w:rsidRPr="00391207" w:rsidRDefault="00F90DA4"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 </w:t>
            </w:r>
          </w:p>
        </w:tc>
      </w:tr>
      <w:tr w:rsidR="00F90DA4" w:rsidRPr="00391207" w14:paraId="44AE0323" w14:textId="77777777" w:rsidTr="002A028F">
        <w:trPr>
          <w:trHeight w:val="315"/>
          <w:jc w:val="center"/>
        </w:trPr>
        <w:tc>
          <w:tcPr>
            <w:cnfStyle w:val="001000000000" w:firstRow="0" w:lastRow="0" w:firstColumn="1" w:lastColumn="0" w:oddVBand="0" w:evenVBand="0" w:oddHBand="0" w:evenHBand="0" w:firstRowFirstColumn="0" w:firstRowLastColumn="0" w:lastRowFirstColumn="0" w:lastRowLastColumn="0"/>
            <w:tcW w:w="2199" w:type="dxa"/>
            <w:gridSpan w:val="2"/>
            <w:hideMark/>
          </w:tcPr>
          <w:p w14:paraId="1D576BEF" w14:textId="77777777" w:rsidR="00F90DA4" w:rsidRPr="00391207" w:rsidRDefault="00F90DA4" w:rsidP="000A2E36">
            <w:pPr>
              <w:spacing w:line="480" w:lineRule="auto"/>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Total</w:t>
            </w:r>
          </w:p>
        </w:tc>
        <w:tc>
          <w:tcPr>
            <w:tcW w:w="930" w:type="dxa"/>
            <w:noWrap/>
            <w:hideMark/>
          </w:tcPr>
          <w:p w14:paraId="3DD47476" w14:textId="77777777" w:rsidR="00F90DA4" w:rsidRPr="00391207" w:rsidRDefault="00F90DA4"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34715</w:t>
            </w:r>
          </w:p>
        </w:tc>
        <w:tc>
          <w:tcPr>
            <w:tcW w:w="841" w:type="dxa"/>
            <w:noWrap/>
            <w:hideMark/>
          </w:tcPr>
          <w:p w14:paraId="1A849508" w14:textId="77777777" w:rsidR="00F90DA4" w:rsidRPr="00391207" w:rsidRDefault="00F90DA4"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100.0</w:t>
            </w:r>
          </w:p>
        </w:tc>
        <w:tc>
          <w:tcPr>
            <w:tcW w:w="841" w:type="dxa"/>
            <w:hideMark/>
          </w:tcPr>
          <w:p w14:paraId="6B56164A" w14:textId="77777777" w:rsidR="00F90DA4" w:rsidRPr="00391207" w:rsidRDefault="00F90DA4"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 </w:t>
            </w:r>
          </w:p>
        </w:tc>
        <w:tc>
          <w:tcPr>
            <w:tcW w:w="949" w:type="dxa"/>
            <w:hideMark/>
          </w:tcPr>
          <w:p w14:paraId="60A21289" w14:textId="77777777" w:rsidR="00F90DA4" w:rsidRPr="00391207" w:rsidRDefault="00F90DA4"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 </w:t>
            </w:r>
          </w:p>
        </w:tc>
      </w:tr>
    </w:tbl>
    <w:p w14:paraId="6EAF60BA" w14:textId="591EAE2A" w:rsidR="00CA31F0" w:rsidRPr="00391207" w:rsidRDefault="00CA31F0" w:rsidP="000A2E36">
      <w:pPr>
        <w:spacing w:line="480" w:lineRule="auto"/>
        <w:rPr>
          <w:rFonts w:ascii="Times New Roman" w:hAnsi="Times New Roman" w:cs="Times New Roman"/>
          <w:sz w:val="24"/>
          <w:szCs w:val="24"/>
        </w:rPr>
      </w:pPr>
    </w:p>
    <w:p w14:paraId="090C5EFF" w14:textId="1D656148" w:rsidR="00CA31F0" w:rsidRPr="00391207" w:rsidRDefault="00CA31F0" w:rsidP="000A2E36">
      <w:pPr>
        <w:spacing w:line="480" w:lineRule="auto"/>
        <w:ind w:firstLine="360"/>
        <w:jc w:val="center"/>
        <w:rPr>
          <w:rFonts w:ascii="Times New Roman" w:hAnsi="Times New Roman" w:cs="Times New Roman"/>
          <w:b/>
          <w:bCs/>
          <w:i/>
          <w:iCs/>
          <w:sz w:val="24"/>
          <w:szCs w:val="24"/>
        </w:rPr>
      </w:pPr>
      <w:r w:rsidRPr="00391207">
        <w:rPr>
          <w:rFonts w:ascii="Times New Roman" w:hAnsi="Times New Roman" w:cs="Times New Roman"/>
          <w:b/>
          <w:bCs/>
          <w:i/>
          <w:iCs/>
          <w:sz w:val="24"/>
          <w:szCs w:val="24"/>
        </w:rPr>
        <w:t>Chart 2: Marital status Frequency distribution</w:t>
      </w:r>
    </w:p>
    <w:p w14:paraId="7287C6F5" w14:textId="48079AD7" w:rsidR="00CA31F0" w:rsidRPr="00391207" w:rsidRDefault="00CA31F0" w:rsidP="000A2E36">
      <w:pPr>
        <w:autoSpaceDE w:val="0"/>
        <w:autoSpaceDN w:val="0"/>
        <w:adjustRightInd w:val="0"/>
        <w:spacing w:after="0" w:line="480" w:lineRule="auto"/>
        <w:rPr>
          <w:rFonts w:ascii="Times New Roman" w:hAnsi="Times New Roman" w:cs="Times New Roman"/>
          <w:sz w:val="24"/>
          <w:szCs w:val="24"/>
        </w:rPr>
      </w:pPr>
      <w:r w:rsidRPr="00391207">
        <w:rPr>
          <w:rFonts w:ascii="Times New Roman" w:hAnsi="Times New Roman" w:cs="Times New Roman"/>
          <w:noProof/>
          <w:sz w:val="24"/>
          <w:szCs w:val="24"/>
        </w:rPr>
        <w:lastRenderedPageBreak/>
        <w:drawing>
          <wp:inline distT="0" distB="0" distL="0" distR="0" wp14:anchorId="1393C13B" wp14:editId="17C3C42E">
            <wp:extent cx="5943600" cy="475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40A0FB2B" w14:textId="101093A3" w:rsidR="00517125" w:rsidRPr="00391207" w:rsidRDefault="00517125" w:rsidP="000A2E36">
      <w:pPr>
        <w:pStyle w:val="ListParagraph"/>
        <w:numPr>
          <w:ilvl w:val="0"/>
          <w:numId w:val="2"/>
        </w:numPr>
        <w:spacing w:line="480" w:lineRule="auto"/>
        <w:rPr>
          <w:rFonts w:ascii="Times New Roman" w:hAnsi="Times New Roman" w:cs="Times New Roman"/>
          <w:b/>
          <w:bCs/>
          <w:sz w:val="24"/>
          <w:szCs w:val="24"/>
        </w:rPr>
      </w:pPr>
      <w:r w:rsidRPr="00391207">
        <w:rPr>
          <w:rFonts w:ascii="Times New Roman" w:hAnsi="Times New Roman" w:cs="Times New Roman"/>
          <w:b/>
          <w:bCs/>
          <w:sz w:val="24"/>
          <w:szCs w:val="24"/>
        </w:rPr>
        <w:t>Economic Status</w:t>
      </w:r>
    </w:p>
    <w:p w14:paraId="7B44914D" w14:textId="6A4CC06A" w:rsidR="00B0072C" w:rsidRPr="00391207" w:rsidRDefault="00BF416D" w:rsidP="000A2E36">
      <w:pPr>
        <w:spacing w:line="480" w:lineRule="auto"/>
        <w:ind w:firstLine="360"/>
        <w:rPr>
          <w:rFonts w:ascii="Times New Roman" w:hAnsi="Times New Roman" w:cs="Times New Roman"/>
          <w:sz w:val="24"/>
          <w:szCs w:val="24"/>
        </w:rPr>
      </w:pPr>
      <w:r w:rsidRPr="00391207">
        <w:rPr>
          <w:rFonts w:ascii="Times New Roman" w:hAnsi="Times New Roman" w:cs="Times New Roman"/>
          <w:sz w:val="24"/>
          <w:szCs w:val="24"/>
        </w:rPr>
        <w:t>The economic status frequency table shows paid work was the most common status, with 18,990 respondents (54.8%). Retired was the next biggest group with 10,009 (28.9%), followed by looking after family/home at 4.7%. All other categories were less than 5% of the sample each. The cumulative percent demonstrates that over half (54.8%) were in paid work, rising to 70% when retired respondents are included. Only 36 cases (.1%) were missing</w:t>
      </w:r>
      <w:r w:rsidR="002D1E4F" w:rsidRPr="00391207">
        <w:rPr>
          <w:rFonts w:ascii="Times New Roman" w:hAnsi="Times New Roman" w:cs="Times New Roman"/>
          <w:sz w:val="24"/>
          <w:szCs w:val="24"/>
        </w:rPr>
        <w:t xml:space="preserve"> in the</w:t>
      </w:r>
      <w:r w:rsidRPr="00391207">
        <w:rPr>
          <w:rFonts w:ascii="Times New Roman" w:hAnsi="Times New Roman" w:cs="Times New Roman"/>
          <w:sz w:val="24"/>
          <w:szCs w:val="24"/>
        </w:rPr>
        <w:t xml:space="preserve"> data</w:t>
      </w:r>
      <w:r w:rsidR="002D1E4F" w:rsidRPr="00391207">
        <w:rPr>
          <w:rFonts w:ascii="Times New Roman" w:hAnsi="Times New Roman" w:cs="Times New Roman"/>
          <w:sz w:val="24"/>
          <w:szCs w:val="24"/>
        </w:rPr>
        <w:t>set</w:t>
      </w:r>
      <w:r w:rsidRPr="00391207">
        <w:rPr>
          <w:rFonts w:ascii="Times New Roman" w:hAnsi="Times New Roman" w:cs="Times New Roman"/>
          <w:sz w:val="24"/>
          <w:szCs w:val="24"/>
        </w:rPr>
        <w:t>. The sample reflects a range of economic statuses, with a slight majority employed or retired. Economic status may relate to vulnerability or exposure to certain crime types</w:t>
      </w:r>
      <w:r w:rsidR="005D48AF">
        <w:rPr>
          <w:rFonts w:ascii="Times New Roman" w:hAnsi="Times New Roman" w:cs="Times New Roman"/>
          <w:sz w:val="24"/>
          <w:szCs w:val="24"/>
        </w:rPr>
        <w:t xml:space="preserve"> </w:t>
      </w:r>
      <w:r w:rsidR="005D48AF">
        <w:t>(Al-Anizy, 2022)</w:t>
      </w:r>
      <w:r w:rsidRPr="00391207">
        <w:rPr>
          <w:rFonts w:ascii="Times New Roman" w:hAnsi="Times New Roman" w:cs="Times New Roman"/>
          <w:sz w:val="24"/>
          <w:szCs w:val="24"/>
        </w:rPr>
        <w:t xml:space="preserve">. </w:t>
      </w:r>
    </w:p>
    <w:p w14:paraId="032CDBF3" w14:textId="720563BC" w:rsidR="00574FFA" w:rsidRPr="00391207" w:rsidRDefault="00574FFA" w:rsidP="000A2E36">
      <w:pPr>
        <w:spacing w:line="480" w:lineRule="auto"/>
        <w:ind w:firstLine="360"/>
        <w:jc w:val="center"/>
        <w:rPr>
          <w:rFonts w:ascii="Times New Roman" w:hAnsi="Times New Roman" w:cs="Times New Roman"/>
          <w:b/>
          <w:bCs/>
          <w:i/>
          <w:iCs/>
          <w:sz w:val="24"/>
          <w:szCs w:val="24"/>
        </w:rPr>
      </w:pPr>
      <w:r w:rsidRPr="00391207">
        <w:rPr>
          <w:rFonts w:ascii="Times New Roman" w:hAnsi="Times New Roman" w:cs="Times New Roman"/>
          <w:b/>
          <w:bCs/>
          <w:i/>
          <w:iCs/>
          <w:sz w:val="24"/>
          <w:szCs w:val="24"/>
        </w:rPr>
        <w:t>Table 3: Frequency table for Economic status</w:t>
      </w:r>
    </w:p>
    <w:tbl>
      <w:tblPr>
        <w:tblStyle w:val="GridTable6Colorful"/>
        <w:tblW w:w="5760" w:type="dxa"/>
        <w:jc w:val="center"/>
        <w:tblLook w:val="04A0" w:firstRow="1" w:lastRow="0" w:firstColumn="1" w:lastColumn="0" w:noHBand="0" w:noVBand="1"/>
      </w:tblPr>
      <w:tblGrid>
        <w:gridCol w:w="1017"/>
        <w:gridCol w:w="1443"/>
        <w:gridCol w:w="1229"/>
        <w:gridCol w:w="942"/>
        <w:gridCol w:w="942"/>
        <w:gridCol w:w="1336"/>
      </w:tblGrid>
      <w:tr w:rsidR="00574FFA" w:rsidRPr="00391207" w14:paraId="22CE2B0E" w14:textId="77777777" w:rsidTr="00574FFA">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760" w:type="dxa"/>
            <w:gridSpan w:val="6"/>
            <w:hideMark/>
          </w:tcPr>
          <w:p w14:paraId="6F5173A3" w14:textId="77777777" w:rsidR="00574FFA" w:rsidRPr="00391207" w:rsidRDefault="00574FFA" w:rsidP="000A2E36">
            <w:pPr>
              <w:spacing w:line="480" w:lineRule="auto"/>
              <w:jc w:val="center"/>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lastRenderedPageBreak/>
              <w:t>Economic status</w:t>
            </w:r>
          </w:p>
        </w:tc>
      </w:tr>
      <w:tr w:rsidR="00574FFA" w:rsidRPr="00391207" w14:paraId="13CEC934" w14:textId="77777777" w:rsidTr="00574FFA">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1963" w:type="dxa"/>
            <w:gridSpan w:val="2"/>
            <w:hideMark/>
          </w:tcPr>
          <w:p w14:paraId="5A566EDB" w14:textId="77777777" w:rsidR="00574FFA" w:rsidRPr="00391207" w:rsidRDefault="00574FFA" w:rsidP="000A2E36">
            <w:pPr>
              <w:spacing w:line="480" w:lineRule="auto"/>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 </w:t>
            </w:r>
          </w:p>
        </w:tc>
        <w:tc>
          <w:tcPr>
            <w:tcW w:w="955" w:type="dxa"/>
            <w:hideMark/>
          </w:tcPr>
          <w:p w14:paraId="40E7BF4B" w14:textId="77777777" w:rsidR="00574FFA" w:rsidRPr="00391207" w:rsidRDefault="00574FFA" w:rsidP="000A2E3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Frequency</w:t>
            </w:r>
          </w:p>
        </w:tc>
        <w:tc>
          <w:tcPr>
            <w:tcW w:w="942" w:type="dxa"/>
            <w:hideMark/>
          </w:tcPr>
          <w:p w14:paraId="15A28421" w14:textId="77777777" w:rsidR="00574FFA" w:rsidRPr="00391207" w:rsidRDefault="00574FFA" w:rsidP="000A2E3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Percent</w:t>
            </w:r>
          </w:p>
        </w:tc>
        <w:tc>
          <w:tcPr>
            <w:tcW w:w="942" w:type="dxa"/>
            <w:hideMark/>
          </w:tcPr>
          <w:p w14:paraId="16B39E56" w14:textId="77777777" w:rsidR="00574FFA" w:rsidRPr="00391207" w:rsidRDefault="00574FFA" w:rsidP="000A2E3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Valid Percent</w:t>
            </w:r>
          </w:p>
        </w:tc>
        <w:tc>
          <w:tcPr>
            <w:tcW w:w="958" w:type="dxa"/>
            <w:hideMark/>
          </w:tcPr>
          <w:p w14:paraId="03CE1380" w14:textId="77777777" w:rsidR="00574FFA" w:rsidRPr="00391207" w:rsidRDefault="00574FFA" w:rsidP="000A2E3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Cumulative Percent</w:t>
            </w:r>
          </w:p>
        </w:tc>
      </w:tr>
      <w:tr w:rsidR="00574FFA" w:rsidRPr="00391207" w14:paraId="321AD6AF" w14:textId="77777777" w:rsidTr="00574FFA">
        <w:trPr>
          <w:trHeight w:val="315"/>
          <w:jc w:val="center"/>
        </w:trPr>
        <w:tc>
          <w:tcPr>
            <w:cnfStyle w:val="001000000000" w:firstRow="0" w:lastRow="0" w:firstColumn="1" w:lastColumn="0" w:oddVBand="0" w:evenVBand="0" w:oddHBand="0" w:evenHBand="0" w:firstRowFirstColumn="0" w:firstRowLastColumn="0" w:lastRowFirstColumn="0" w:lastRowLastColumn="0"/>
            <w:tcW w:w="942" w:type="dxa"/>
            <w:vMerge w:val="restart"/>
            <w:hideMark/>
          </w:tcPr>
          <w:p w14:paraId="7F09901A" w14:textId="77777777" w:rsidR="00574FFA" w:rsidRPr="00391207" w:rsidRDefault="00574FFA" w:rsidP="000A2E36">
            <w:pPr>
              <w:spacing w:line="480" w:lineRule="auto"/>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Valid</w:t>
            </w:r>
          </w:p>
        </w:tc>
        <w:tc>
          <w:tcPr>
            <w:tcW w:w="1021" w:type="dxa"/>
            <w:hideMark/>
          </w:tcPr>
          <w:p w14:paraId="2CEA28D6" w14:textId="77777777" w:rsidR="00574FFA" w:rsidRPr="00391207" w:rsidRDefault="00574FFA"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Paid work</w:t>
            </w:r>
          </w:p>
        </w:tc>
        <w:tc>
          <w:tcPr>
            <w:tcW w:w="955" w:type="dxa"/>
            <w:noWrap/>
            <w:hideMark/>
          </w:tcPr>
          <w:p w14:paraId="2E2D6918"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18990</w:t>
            </w:r>
          </w:p>
        </w:tc>
        <w:tc>
          <w:tcPr>
            <w:tcW w:w="942" w:type="dxa"/>
            <w:noWrap/>
            <w:hideMark/>
          </w:tcPr>
          <w:p w14:paraId="1F257EE9"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54.7</w:t>
            </w:r>
          </w:p>
        </w:tc>
        <w:tc>
          <w:tcPr>
            <w:tcW w:w="942" w:type="dxa"/>
            <w:noWrap/>
            <w:hideMark/>
          </w:tcPr>
          <w:p w14:paraId="7C82652A"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54.8</w:t>
            </w:r>
          </w:p>
        </w:tc>
        <w:tc>
          <w:tcPr>
            <w:tcW w:w="958" w:type="dxa"/>
            <w:noWrap/>
            <w:hideMark/>
          </w:tcPr>
          <w:p w14:paraId="31700920"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54.8</w:t>
            </w:r>
          </w:p>
        </w:tc>
      </w:tr>
      <w:tr w:rsidR="00D03280" w:rsidRPr="00391207" w14:paraId="26D5CE8C" w14:textId="77777777" w:rsidTr="00574FFA">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942" w:type="dxa"/>
            <w:vMerge/>
            <w:hideMark/>
          </w:tcPr>
          <w:p w14:paraId="4AAACB0B" w14:textId="77777777" w:rsidR="00574FFA" w:rsidRPr="00391207" w:rsidRDefault="00574FFA" w:rsidP="000A2E36">
            <w:pPr>
              <w:spacing w:line="480" w:lineRule="auto"/>
              <w:rPr>
                <w:rFonts w:ascii="Times New Roman" w:eastAsia="Times New Roman" w:hAnsi="Times New Roman" w:cs="Times New Roman"/>
                <w:color w:val="000000"/>
                <w:sz w:val="24"/>
                <w:szCs w:val="24"/>
              </w:rPr>
            </w:pPr>
          </w:p>
        </w:tc>
        <w:tc>
          <w:tcPr>
            <w:tcW w:w="1021" w:type="dxa"/>
            <w:hideMark/>
          </w:tcPr>
          <w:p w14:paraId="153C4C2D" w14:textId="77777777" w:rsidR="00574FFA" w:rsidRPr="00391207" w:rsidRDefault="00574FFA"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Government training scheme</w:t>
            </w:r>
          </w:p>
        </w:tc>
        <w:tc>
          <w:tcPr>
            <w:tcW w:w="955" w:type="dxa"/>
            <w:noWrap/>
            <w:hideMark/>
          </w:tcPr>
          <w:p w14:paraId="45431265"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31</w:t>
            </w:r>
          </w:p>
        </w:tc>
        <w:tc>
          <w:tcPr>
            <w:tcW w:w="942" w:type="dxa"/>
            <w:noWrap/>
            <w:hideMark/>
          </w:tcPr>
          <w:p w14:paraId="39258170"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w:t>
            </w:r>
          </w:p>
        </w:tc>
        <w:tc>
          <w:tcPr>
            <w:tcW w:w="942" w:type="dxa"/>
            <w:noWrap/>
            <w:hideMark/>
          </w:tcPr>
          <w:p w14:paraId="6EE369DF"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w:t>
            </w:r>
          </w:p>
        </w:tc>
        <w:tc>
          <w:tcPr>
            <w:tcW w:w="958" w:type="dxa"/>
            <w:noWrap/>
            <w:hideMark/>
          </w:tcPr>
          <w:p w14:paraId="25617518"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54.8</w:t>
            </w:r>
          </w:p>
        </w:tc>
      </w:tr>
      <w:tr w:rsidR="00574FFA" w:rsidRPr="00391207" w14:paraId="6FD3C0B1" w14:textId="77777777" w:rsidTr="00574FFA">
        <w:trPr>
          <w:trHeight w:val="960"/>
          <w:jc w:val="center"/>
        </w:trPr>
        <w:tc>
          <w:tcPr>
            <w:cnfStyle w:val="001000000000" w:firstRow="0" w:lastRow="0" w:firstColumn="1" w:lastColumn="0" w:oddVBand="0" w:evenVBand="0" w:oddHBand="0" w:evenHBand="0" w:firstRowFirstColumn="0" w:firstRowLastColumn="0" w:lastRowFirstColumn="0" w:lastRowLastColumn="0"/>
            <w:tcW w:w="942" w:type="dxa"/>
            <w:vMerge/>
            <w:hideMark/>
          </w:tcPr>
          <w:p w14:paraId="73618681" w14:textId="77777777" w:rsidR="00574FFA" w:rsidRPr="00391207" w:rsidRDefault="00574FFA" w:rsidP="000A2E36">
            <w:pPr>
              <w:spacing w:line="480" w:lineRule="auto"/>
              <w:rPr>
                <w:rFonts w:ascii="Times New Roman" w:eastAsia="Times New Roman" w:hAnsi="Times New Roman" w:cs="Times New Roman"/>
                <w:color w:val="000000"/>
                <w:sz w:val="24"/>
                <w:szCs w:val="24"/>
              </w:rPr>
            </w:pPr>
          </w:p>
        </w:tc>
        <w:tc>
          <w:tcPr>
            <w:tcW w:w="1021" w:type="dxa"/>
            <w:hideMark/>
          </w:tcPr>
          <w:p w14:paraId="7F720529" w14:textId="77777777" w:rsidR="00574FFA" w:rsidRPr="00391207" w:rsidRDefault="00574FFA"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Away from job/waiting to take job up</w:t>
            </w:r>
          </w:p>
        </w:tc>
        <w:tc>
          <w:tcPr>
            <w:tcW w:w="955" w:type="dxa"/>
            <w:noWrap/>
            <w:hideMark/>
          </w:tcPr>
          <w:p w14:paraId="543CF14D"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711</w:t>
            </w:r>
          </w:p>
        </w:tc>
        <w:tc>
          <w:tcPr>
            <w:tcW w:w="942" w:type="dxa"/>
            <w:noWrap/>
            <w:hideMark/>
          </w:tcPr>
          <w:p w14:paraId="4101F71B"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2.0</w:t>
            </w:r>
          </w:p>
        </w:tc>
        <w:tc>
          <w:tcPr>
            <w:tcW w:w="942" w:type="dxa"/>
            <w:noWrap/>
            <w:hideMark/>
          </w:tcPr>
          <w:p w14:paraId="0371A260"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2.1</w:t>
            </w:r>
          </w:p>
        </w:tc>
        <w:tc>
          <w:tcPr>
            <w:tcW w:w="958" w:type="dxa"/>
            <w:noWrap/>
            <w:hideMark/>
          </w:tcPr>
          <w:p w14:paraId="396EEF01"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56.9</w:t>
            </w:r>
          </w:p>
        </w:tc>
      </w:tr>
      <w:tr w:rsidR="00D03280" w:rsidRPr="00391207" w14:paraId="2EC3F793" w14:textId="77777777" w:rsidTr="00574FFA">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942" w:type="dxa"/>
            <w:vMerge/>
            <w:hideMark/>
          </w:tcPr>
          <w:p w14:paraId="29944382" w14:textId="77777777" w:rsidR="00574FFA" w:rsidRPr="00391207" w:rsidRDefault="00574FFA" w:rsidP="000A2E36">
            <w:pPr>
              <w:spacing w:line="480" w:lineRule="auto"/>
              <w:rPr>
                <w:rFonts w:ascii="Times New Roman" w:eastAsia="Times New Roman" w:hAnsi="Times New Roman" w:cs="Times New Roman"/>
                <w:color w:val="000000"/>
                <w:sz w:val="24"/>
                <w:szCs w:val="24"/>
              </w:rPr>
            </w:pPr>
          </w:p>
        </w:tc>
        <w:tc>
          <w:tcPr>
            <w:tcW w:w="1021" w:type="dxa"/>
            <w:hideMark/>
          </w:tcPr>
          <w:p w14:paraId="37EE99C9" w14:textId="77777777" w:rsidR="00574FFA" w:rsidRPr="00391207" w:rsidRDefault="00574FFA"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Unpaid work</w:t>
            </w:r>
          </w:p>
        </w:tc>
        <w:tc>
          <w:tcPr>
            <w:tcW w:w="955" w:type="dxa"/>
            <w:noWrap/>
            <w:hideMark/>
          </w:tcPr>
          <w:p w14:paraId="578E7967"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163</w:t>
            </w:r>
          </w:p>
        </w:tc>
        <w:tc>
          <w:tcPr>
            <w:tcW w:w="942" w:type="dxa"/>
            <w:noWrap/>
            <w:hideMark/>
          </w:tcPr>
          <w:p w14:paraId="0FD445E7"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w:t>
            </w:r>
          </w:p>
        </w:tc>
        <w:tc>
          <w:tcPr>
            <w:tcW w:w="942" w:type="dxa"/>
            <w:noWrap/>
            <w:hideMark/>
          </w:tcPr>
          <w:p w14:paraId="5D8A6E75"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w:t>
            </w:r>
          </w:p>
        </w:tc>
        <w:tc>
          <w:tcPr>
            <w:tcW w:w="958" w:type="dxa"/>
            <w:noWrap/>
            <w:hideMark/>
          </w:tcPr>
          <w:p w14:paraId="22BC598B"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57.4</w:t>
            </w:r>
          </w:p>
        </w:tc>
      </w:tr>
      <w:tr w:rsidR="00574FFA" w:rsidRPr="00391207" w14:paraId="156EF089" w14:textId="77777777" w:rsidTr="00574FFA">
        <w:trPr>
          <w:trHeight w:val="480"/>
          <w:jc w:val="center"/>
        </w:trPr>
        <w:tc>
          <w:tcPr>
            <w:cnfStyle w:val="001000000000" w:firstRow="0" w:lastRow="0" w:firstColumn="1" w:lastColumn="0" w:oddVBand="0" w:evenVBand="0" w:oddHBand="0" w:evenHBand="0" w:firstRowFirstColumn="0" w:firstRowLastColumn="0" w:lastRowFirstColumn="0" w:lastRowLastColumn="0"/>
            <w:tcW w:w="942" w:type="dxa"/>
            <w:vMerge/>
            <w:hideMark/>
          </w:tcPr>
          <w:p w14:paraId="2EFD8038" w14:textId="77777777" w:rsidR="00574FFA" w:rsidRPr="00391207" w:rsidRDefault="00574FFA" w:rsidP="000A2E36">
            <w:pPr>
              <w:spacing w:line="480" w:lineRule="auto"/>
              <w:rPr>
                <w:rFonts w:ascii="Times New Roman" w:eastAsia="Times New Roman" w:hAnsi="Times New Roman" w:cs="Times New Roman"/>
                <w:color w:val="000000"/>
                <w:sz w:val="24"/>
                <w:szCs w:val="24"/>
              </w:rPr>
            </w:pPr>
          </w:p>
        </w:tc>
        <w:tc>
          <w:tcPr>
            <w:tcW w:w="1021" w:type="dxa"/>
            <w:hideMark/>
          </w:tcPr>
          <w:p w14:paraId="4E2CB890" w14:textId="77777777" w:rsidR="00574FFA" w:rsidRPr="00391207" w:rsidRDefault="00574FFA"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Looking for work</w:t>
            </w:r>
          </w:p>
        </w:tc>
        <w:tc>
          <w:tcPr>
            <w:tcW w:w="955" w:type="dxa"/>
            <w:noWrap/>
            <w:hideMark/>
          </w:tcPr>
          <w:p w14:paraId="24B14C73"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548</w:t>
            </w:r>
          </w:p>
        </w:tc>
        <w:tc>
          <w:tcPr>
            <w:tcW w:w="942" w:type="dxa"/>
            <w:noWrap/>
            <w:hideMark/>
          </w:tcPr>
          <w:p w14:paraId="40CE8CFA"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1.6</w:t>
            </w:r>
          </w:p>
        </w:tc>
        <w:tc>
          <w:tcPr>
            <w:tcW w:w="942" w:type="dxa"/>
            <w:noWrap/>
            <w:hideMark/>
          </w:tcPr>
          <w:p w14:paraId="4F032B4F"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1.6</w:t>
            </w:r>
          </w:p>
        </w:tc>
        <w:tc>
          <w:tcPr>
            <w:tcW w:w="958" w:type="dxa"/>
            <w:noWrap/>
            <w:hideMark/>
          </w:tcPr>
          <w:p w14:paraId="47A16365"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58.9</w:t>
            </w:r>
          </w:p>
        </w:tc>
      </w:tr>
      <w:tr w:rsidR="00D03280" w:rsidRPr="00391207" w14:paraId="2ABE1AB7" w14:textId="77777777" w:rsidTr="00574F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42" w:type="dxa"/>
            <w:vMerge/>
            <w:hideMark/>
          </w:tcPr>
          <w:p w14:paraId="5C0E7F40" w14:textId="77777777" w:rsidR="00574FFA" w:rsidRPr="00391207" w:rsidRDefault="00574FFA" w:rsidP="000A2E36">
            <w:pPr>
              <w:spacing w:line="480" w:lineRule="auto"/>
              <w:rPr>
                <w:rFonts w:ascii="Times New Roman" w:eastAsia="Times New Roman" w:hAnsi="Times New Roman" w:cs="Times New Roman"/>
                <w:color w:val="000000"/>
                <w:sz w:val="24"/>
                <w:szCs w:val="24"/>
              </w:rPr>
            </w:pPr>
          </w:p>
        </w:tc>
        <w:tc>
          <w:tcPr>
            <w:tcW w:w="1021" w:type="dxa"/>
            <w:hideMark/>
          </w:tcPr>
          <w:p w14:paraId="33349F08" w14:textId="77777777" w:rsidR="00574FFA" w:rsidRPr="00391207" w:rsidRDefault="00574FFA"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Student</w:t>
            </w:r>
          </w:p>
        </w:tc>
        <w:tc>
          <w:tcPr>
            <w:tcW w:w="955" w:type="dxa"/>
            <w:noWrap/>
            <w:hideMark/>
          </w:tcPr>
          <w:p w14:paraId="04C5B526"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742</w:t>
            </w:r>
          </w:p>
        </w:tc>
        <w:tc>
          <w:tcPr>
            <w:tcW w:w="942" w:type="dxa"/>
            <w:noWrap/>
            <w:hideMark/>
          </w:tcPr>
          <w:p w14:paraId="2FC331F8"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2.1</w:t>
            </w:r>
          </w:p>
        </w:tc>
        <w:tc>
          <w:tcPr>
            <w:tcW w:w="942" w:type="dxa"/>
            <w:noWrap/>
            <w:hideMark/>
          </w:tcPr>
          <w:p w14:paraId="6E60D5A7"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2.1</w:t>
            </w:r>
          </w:p>
        </w:tc>
        <w:tc>
          <w:tcPr>
            <w:tcW w:w="958" w:type="dxa"/>
            <w:noWrap/>
            <w:hideMark/>
          </w:tcPr>
          <w:p w14:paraId="13F14A5A"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61.1</w:t>
            </w:r>
          </w:p>
        </w:tc>
      </w:tr>
      <w:tr w:rsidR="00574FFA" w:rsidRPr="00391207" w14:paraId="121E4041" w14:textId="77777777" w:rsidTr="00574FFA">
        <w:trPr>
          <w:trHeight w:val="960"/>
          <w:jc w:val="center"/>
        </w:trPr>
        <w:tc>
          <w:tcPr>
            <w:cnfStyle w:val="001000000000" w:firstRow="0" w:lastRow="0" w:firstColumn="1" w:lastColumn="0" w:oddVBand="0" w:evenVBand="0" w:oddHBand="0" w:evenHBand="0" w:firstRowFirstColumn="0" w:firstRowLastColumn="0" w:lastRowFirstColumn="0" w:lastRowLastColumn="0"/>
            <w:tcW w:w="942" w:type="dxa"/>
            <w:vMerge/>
            <w:hideMark/>
          </w:tcPr>
          <w:p w14:paraId="5A13A4E9" w14:textId="77777777" w:rsidR="00574FFA" w:rsidRPr="00391207" w:rsidRDefault="00574FFA" w:rsidP="000A2E36">
            <w:pPr>
              <w:spacing w:line="480" w:lineRule="auto"/>
              <w:rPr>
                <w:rFonts w:ascii="Times New Roman" w:eastAsia="Times New Roman" w:hAnsi="Times New Roman" w:cs="Times New Roman"/>
                <w:color w:val="000000"/>
                <w:sz w:val="24"/>
                <w:szCs w:val="24"/>
              </w:rPr>
            </w:pPr>
          </w:p>
        </w:tc>
        <w:tc>
          <w:tcPr>
            <w:tcW w:w="1021" w:type="dxa"/>
            <w:hideMark/>
          </w:tcPr>
          <w:p w14:paraId="3EAA74F5" w14:textId="77777777" w:rsidR="00574FFA" w:rsidRPr="00391207" w:rsidRDefault="00574FFA"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Looking after family/home</w:t>
            </w:r>
          </w:p>
        </w:tc>
        <w:tc>
          <w:tcPr>
            <w:tcW w:w="955" w:type="dxa"/>
            <w:noWrap/>
            <w:hideMark/>
          </w:tcPr>
          <w:p w14:paraId="2C55AD94"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1615</w:t>
            </w:r>
          </w:p>
        </w:tc>
        <w:tc>
          <w:tcPr>
            <w:tcW w:w="942" w:type="dxa"/>
            <w:noWrap/>
            <w:hideMark/>
          </w:tcPr>
          <w:p w14:paraId="6DF0C0AF"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4.7</w:t>
            </w:r>
          </w:p>
        </w:tc>
        <w:tc>
          <w:tcPr>
            <w:tcW w:w="942" w:type="dxa"/>
            <w:noWrap/>
            <w:hideMark/>
          </w:tcPr>
          <w:p w14:paraId="481CE313"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4.7</w:t>
            </w:r>
          </w:p>
        </w:tc>
        <w:tc>
          <w:tcPr>
            <w:tcW w:w="958" w:type="dxa"/>
            <w:noWrap/>
            <w:hideMark/>
          </w:tcPr>
          <w:p w14:paraId="17402027"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65.7</w:t>
            </w:r>
          </w:p>
        </w:tc>
      </w:tr>
      <w:tr w:rsidR="00D03280" w:rsidRPr="00391207" w14:paraId="0AAAE718" w14:textId="77777777" w:rsidTr="00574FFA">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942" w:type="dxa"/>
            <w:vMerge/>
            <w:hideMark/>
          </w:tcPr>
          <w:p w14:paraId="2D93A70D" w14:textId="77777777" w:rsidR="00574FFA" w:rsidRPr="00391207" w:rsidRDefault="00574FFA" w:rsidP="000A2E36">
            <w:pPr>
              <w:spacing w:line="480" w:lineRule="auto"/>
              <w:rPr>
                <w:rFonts w:ascii="Times New Roman" w:eastAsia="Times New Roman" w:hAnsi="Times New Roman" w:cs="Times New Roman"/>
                <w:color w:val="000000"/>
                <w:sz w:val="24"/>
                <w:szCs w:val="24"/>
              </w:rPr>
            </w:pPr>
          </w:p>
        </w:tc>
        <w:tc>
          <w:tcPr>
            <w:tcW w:w="1021" w:type="dxa"/>
            <w:hideMark/>
          </w:tcPr>
          <w:p w14:paraId="147C625C" w14:textId="77777777" w:rsidR="00574FFA" w:rsidRPr="00391207" w:rsidRDefault="00574FFA"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Temporarily sick/ill</w:t>
            </w:r>
          </w:p>
        </w:tc>
        <w:tc>
          <w:tcPr>
            <w:tcW w:w="955" w:type="dxa"/>
            <w:noWrap/>
            <w:hideMark/>
          </w:tcPr>
          <w:p w14:paraId="02D62596"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136</w:t>
            </w:r>
          </w:p>
        </w:tc>
        <w:tc>
          <w:tcPr>
            <w:tcW w:w="942" w:type="dxa"/>
            <w:noWrap/>
            <w:hideMark/>
          </w:tcPr>
          <w:p w14:paraId="6C6CADE0"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.4</w:t>
            </w:r>
          </w:p>
        </w:tc>
        <w:tc>
          <w:tcPr>
            <w:tcW w:w="942" w:type="dxa"/>
            <w:noWrap/>
            <w:hideMark/>
          </w:tcPr>
          <w:p w14:paraId="20576809"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.4</w:t>
            </w:r>
          </w:p>
        </w:tc>
        <w:tc>
          <w:tcPr>
            <w:tcW w:w="958" w:type="dxa"/>
            <w:noWrap/>
            <w:hideMark/>
          </w:tcPr>
          <w:p w14:paraId="543EDCD6"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66.1</w:t>
            </w:r>
          </w:p>
        </w:tc>
      </w:tr>
      <w:tr w:rsidR="00574FFA" w:rsidRPr="00391207" w14:paraId="4BA7AAB6" w14:textId="77777777" w:rsidTr="00574FFA">
        <w:trPr>
          <w:trHeight w:val="480"/>
          <w:jc w:val="center"/>
        </w:trPr>
        <w:tc>
          <w:tcPr>
            <w:cnfStyle w:val="001000000000" w:firstRow="0" w:lastRow="0" w:firstColumn="1" w:lastColumn="0" w:oddVBand="0" w:evenVBand="0" w:oddHBand="0" w:evenHBand="0" w:firstRowFirstColumn="0" w:firstRowLastColumn="0" w:lastRowFirstColumn="0" w:lastRowLastColumn="0"/>
            <w:tcW w:w="942" w:type="dxa"/>
            <w:vMerge/>
            <w:hideMark/>
          </w:tcPr>
          <w:p w14:paraId="59704607" w14:textId="77777777" w:rsidR="00574FFA" w:rsidRPr="00391207" w:rsidRDefault="00574FFA" w:rsidP="000A2E36">
            <w:pPr>
              <w:spacing w:line="480" w:lineRule="auto"/>
              <w:rPr>
                <w:rFonts w:ascii="Times New Roman" w:eastAsia="Times New Roman" w:hAnsi="Times New Roman" w:cs="Times New Roman"/>
                <w:color w:val="000000"/>
                <w:sz w:val="24"/>
                <w:szCs w:val="24"/>
              </w:rPr>
            </w:pPr>
          </w:p>
        </w:tc>
        <w:tc>
          <w:tcPr>
            <w:tcW w:w="1021" w:type="dxa"/>
            <w:hideMark/>
          </w:tcPr>
          <w:p w14:paraId="433B713B" w14:textId="77777777" w:rsidR="00574FFA" w:rsidRPr="00391207" w:rsidRDefault="00574FFA"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Long-term sick/ill</w:t>
            </w:r>
          </w:p>
        </w:tc>
        <w:tc>
          <w:tcPr>
            <w:tcW w:w="955" w:type="dxa"/>
            <w:noWrap/>
            <w:hideMark/>
          </w:tcPr>
          <w:p w14:paraId="5A73B37B"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1340</w:t>
            </w:r>
          </w:p>
        </w:tc>
        <w:tc>
          <w:tcPr>
            <w:tcW w:w="942" w:type="dxa"/>
            <w:noWrap/>
            <w:hideMark/>
          </w:tcPr>
          <w:p w14:paraId="23B967BA"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3.9</w:t>
            </w:r>
          </w:p>
        </w:tc>
        <w:tc>
          <w:tcPr>
            <w:tcW w:w="942" w:type="dxa"/>
            <w:noWrap/>
            <w:hideMark/>
          </w:tcPr>
          <w:p w14:paraId="1ACD0F95"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3.9</w:t>
            </w:r>
          </w:p>
        </w:tc>
        <w:tc>
          <w:tcPr>
            <w:tcW w:w="958" w:type="dxa"/>
            <w:noWrap/>
            <w:hideMark/>
          </w:tcPr>
          <w:p w14:paraId="47DB85C5"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70.0</w:t>
            </w:r>
          </w:p>
        </w:tc>
      </w:tr>
      <w:tr w:rsidR="00D03280" w:rsidRPr="00391207" w14:paraId="6B678F5A" w14:textId="77777777" w:rsidTr="00574F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42" w:type="dxa"/>
            <w:vMerge/>
            <w:hideMark/>
          </w:tcPr>
          <w:p w14:paraId="7A4CE147" w14:textId="77777777" w:rsidR="00574FFA" w:rsidRPr="00391207" w:rsidRDefault="00574FFA" w:rsidP="000A2E36">
            <w:pPr>
              <w:spacing w:line="480" w:lineRule="auto"/>
              <w:rPr>
                <w:rFonts w:ascii="Times New Roman" w:eastAsia="Times New Roman" w:hAnsi="Times New Roman" w:cs="Times New Roman"/>
                <w:color w:val="000000"/>
                <w:sz w:val="24"/>
                <w:szCs w:val="24"/>
              </w:rPr>
            </w:pPr>
          </w:p>
        </w:tc>
        <w:tc>
          <w:tcPr>
            <w:tcW w:w="1021" w:type="dxa"/>
            <w:hideMark/>
          </w:tcPr>
          <w:p w14:paraId="726B66D6" w14:textId="77777777" w:rsidR="00574FFA" w:rsidRPr="00391207" w:rsidRDefault="00574FFA"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Retired</w:t>
            </w:r>
          </w:p>
        </w:tc>
        <w:tc>
          <w:tcPr>
            <w:tcW w:w="955" w:type="dxa"/>
            <w:noWrap/>
            <w:hideMark/>
          </w:tcPr>
          <w:p w14:paraId="1D551E4C"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10009</w:t>
            </w:r>
          </w:p>
        </w:tc>
        <w:tc>
          <w:tcPr>
            <w:tcW w:w="942" w:type="dxa"/>
            <w:noWrap/>
            <w:hideMark/>
          </w:tcPr>
          <w:p w14:paraId="65781B81"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28.8</w:t>
            </w:r>
          </w:p>
        </w:tc>
        <w:tc>
          <w:tcPr>
            <w:tcW w:w="942" w:type="dxa"/>
            <w:noWrap/>
            <w:hideMark/>
          </w:tcPr>
          <w:p w14:paraId="4BC41228"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28.9</w:t>
            </w:r>
          </w:p>
        </w:tc>
        <w:tc>
          <w:tcPr>
            <w:tcW w:w="958" w:type="dxa"/>
            <w:noWrap/>
            <w:hideMark/>
          </w:tcPr>
          <w:p w14:paraId="3BF970C2"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98.9</w:t>
            </w:r>
          </w:p>
        </w:tc>
      </w:tr>
      <w:tr w:rsidR="00574FFA" w:rsidRPr="00391207" w14:paraId="599C3DA1" w14:textId="77777777" w:rsidTr="00574FFA">
        <w:trPr>
          <w:trHeight w:val="300"/>
          <w:jc w:val="center"/>
        </w:trPr>
        <w:tc>
          <w:tcPr>
            <w:cnfStyle w:val="001000000000" w:firstRow="0" w:lastRow="0" w:firstColumn="1" w:lastColumn="0" w:oddVBand="0" w:evenVBand="0" w:oddHBand="0" w:evenHBand="0" w:firstRowFirstColumn="0" w:firstRowLastColumn="0" w:lastRowFirstColumn="0" w:lastRowLastColumn="0"/>
            <w:tcW w:w="942" w:type="dxa"/>
            <w:vMerge/>
            <w:hideMark/>
          </w:tcPr>
          <w:p w14:paraId="7EF35778" w14:textId="77777777" w:rsidR="00574FFA" w:rsidRPr="00391207" w:rsidRDefault="00574FFA" w:rsidP="000A2E36">
            <w:pPr>
              <w:spacing w:line="480" w:lineRule="auto"/>
              <w:rPr>
                <w:rFonts w:ascii="Times New Roman" w:eastAsia="Times New Roman" w:hAnsi="Times New Roman" w:cs="Times New Roman"/>
                <w:color w:val="000000"/>
                <w:sz w:val="24"/>
                <w:szCs w:val="24"/>
              </w:rPr>
            </w:pPr>
          </w:p>
        </w:tc>
        <w:tc>
          <w:tcPr>
            <w:tcW w:w="1021" w:type="dxa"/>
            <w:hideMark/>
          </w:tcPr>
          <w:p w14:paraId="586F8676" w14:textId="77777777" w:rsidR="00574FFA" w:rsidRPr="00391207" w:rsidRDefault="00574FFA"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Other</w:t>
            </w:r>
          </w:p>
        </w:tc>
        <w:tc>
          <w:tcPr>
            <w:tcW w:w="955" w:type="dxa"/>
            <w:noWrap/>
            <w:hideMark/>
          </w:tcPr>
          <w:p w14:paraId="49863E0D"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394</w:t>
            </w:r>
          </w:p>
        </w:tc>
        <w:tc>
          <w:tcPr>
            <w:tcW w:w="942" w:type="dxa"/>
            <w:noWrap/>
            <w:hideMark/>
          </w:tcPr>
          <w:p w14:paraId="3E0742C1"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1.1</w:t>
            </w:r>
          </w:p>
        </w:tc>
        <w:tc>
          <w:tcPr>
            <w:tcW w:w="942" w:type="dxa"/>
            <w:noWrap/>
            <w:hideMark/>
          </w:tcPr>
          <w:p w14:paraId="3798AB46"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1.1</w:t>
            </w:r>
          </w:p>
        </w:tc>
        <w:tc>
          <w:tcPr>
            <w:tcW w:w="958" w:type="dxa"/>
            <w:noWrap/>
            <w:hideMark/>
          </w:tcPr>
          <w:p w14:paraId="76EF6901"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100.0</w:t>
            </w:r>
          </w:p>
        </w:tc>
      </w:tr>
      <w:tr w:rsidR="00D03280" w:rsidRPr="00391207" w14:paraId="62453BC1" w14:textId="77777777" w:rsidTr="00574F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42" w:type="dxa"/>
            <w:vMerge/>
            <w:hideMark/>
          </w:tcPr>
          <w:p w14:paraId="59F5237A" w14:textId="77777777" w:rsidR="00574FFA" w:rsidRPr="00391207" w:rsidRDefault="00574FFA" w:rsidP="000A2E36">
            <w:pPr>
              <w:spacing w:line="480" w:lineRule="auto"/>
              <w:rPr>
                <w:rFonts w:ascii="Times New Roman" w:eastAsia="Times New Roman" w:hAnsi="Times New Roman" w:cs="Times New Roman"/>
                <w:color w:val="000000"/>
                <w:sz w:val="24"/>
                <w:szCs w:val="24"/>
              </w:rPr>
            </w:pPr>
          </w:p>
        </w:tc>
        <w:tc>
          <w:tcPr>
            <w:tcW w:w="1021" w:type="dxa"/>
            <w:hideMark/>
          </w:tcPr>
          <w:p w14:paraId="2C5EDEEE" w14:textId="77777777" w:rsidR="00574FFA" w:rsidRPr="00391207" w:rsidRDefault="00574FFA"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Total</w:t>
            </w:r>
          </w:p>
        </w:tc>
        <w:tc>
          <w:tcPr>
            <w:tcW w:w="955" w:type="dxa"/>
            <w:noWrap/>
            <w:hideMark/>
          </w:tcPr>
          <w:p w14:paraId="4E9B219C"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34679</w:t>
            </w:r>
          </w:p>
        </w:tc>
        <w:tc>
          <w:tcPr>
            <w:tcW w:w="942" w:type="dxa"/>
            <w:noWrap/>
            <w:hideMark/>
          </w:tcPr>
          <w:p w14:paraId="30652CA6"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99.9</w:t>
            </w:r>
          </w:p>
        </w:tc>
        <w:tc>
          <w:tcPr>
            <w:tcW w:w="942" w:type="dxa"/>
            <w:noWrap/>
            <w:hideMark/>
          </w:tcPr>
          <w:p w14:paraId="346EA104"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100.0</w:t>
            </w:r>
          </w:p>
        </w:tc>
        <w:tc>
          <w:tcPr>
            <w:tcW w:w="958" w:type="dxa"/>
            <w:hideMark/>
          </w:tcPr>
          <w:p w14:paraId="1323DF96" w14:textId="77777777" w:rsidR="00574FFA" w:rsidRPr="00391207" w:rsidRDefault="00574FFA"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 </w:t>
            </w:r>
          </w:p>
        </w:tc>
      </w:tr>
      <w:tr w:rsidR="00574FFA" w:rsidRPr="00391207" w14:paraId="308AFEAD" w14:textId="77777777" w:rsidTr="00574FFA">
        <w:trPr>
          <w:trHeight w:val="480"/>
          <w:jc w:val="center"/>
        </w:trPr>
        <w:tc>
          <w:tcPr>
            <w:cnfStyle w:val="001000000000" w:firstRow="0" w:lastRow="0" w:firstColumn="1" w:lastColumn="0" w:oddVBand="0" w:evenVBand="0" w:oddHBand="0" w:evenHBand="0" w:firstRowFirstColumn="0" w:firstRowLastColumn="0" w:lastRowFirstColumn="0" w:lastRowLastColumn="0"/>
            <w:tcW w:w="942" w:type="dxa"/>
            <w:hideMark/>
          </w:tcPr>
          <w:p w14:paraId="15125925" w14:textId="77777777" w:rsidR="00574FFA" w:rsidRPr="00391207" w:rsidRDefault="00574FFA" w:rsidP="000A2E36">
            <w:pPr>
              <w:spacing w:line="480" w:lineRule="auto"/>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Missing</w:t>
            </w:r>
          </w:p>
        </w:tc>
        <w:tc>
          <w:tcPr>
            <w:tcW w:w="1021" w:type="dxa"/>
            <w:hideMark/>
          </w:tcPr>
          <w:p w14:paraId="7BF2A7D8" w14:textId="77777777" w:rsidR="00574FFA" w:rsidRPr="00391207" w:rsidRDefault="00574FFA"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Not classified</w:t>
            </w:r>
          </w:p>
        </w:tc>
        <w:tc>
          <w:tcPr>
            <w:tcW w:w="955" w:type="dxa"/>
            <w:noWrap/>
            <w:hideMark/>
          </w:tcPr>
          <w:p w14:paraId="271E0DA5"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36</w:t>
            </w:r>
          </w:p>
        </w:tc>
        <w:tc>
          <w:tcPr>
            <w:tcW w:w="942" w:type="dxa"/>
            <w:noWrap/>
            <w:hideMark/>
          </w:tcPr>
          <w:p w14:paraId="46FE364D" w14:textId="77777777" w:rsidR="00574FFA" w:rsidRPr="00391207" w:rsidRDefault="00574FFA"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w:t>
            </w:r>
          </w:p>
        </w:tc>
        <w:tc>
          <w:tcPr>
            <w:tcW w:w="942" w:type="dxa"/>
            <w:hideMark/>
          </w:tcPr>
          <w:p w14:paraId="21760D21" w14:textId="77777777" w:rsidR="00574FFA" w:rsidRPr="00391207" w:rsidRDefault="00574FFA"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 </w:t>
            </w:r>
          </w:p>
        </w:tc>
        <w:tc>
          <w:tcPr>
            <w:tcW w:w="958" w:type="dxa"/>
            <w:hideMark/>
          </w:tcPr>
          <w:p w14:paraId="48E266B5" w14:textId="77777777" w:rsidR="00574FFA" w:rsidRPr="00391207" w:rsidRDefault="00574FFA"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 </w:t>
            </w:r>
          </w:p>
        </w:tc>
      </w:tr>
      <w:tr w:rsidR="00574FFA" w:rsidRPr="00391207" w14:paraId="292B5D9A" w14:textId="77777777" w:rsidTr="00574F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63" w:type="dxa"/>
            <w:gridSpan w:val="2"/>
            <w:hideMark/>
          </w:tcPr>
          <w:p w14:paraId="5F591347" w14:textId="77777777" w:rsidR="00574FFA" w:rsidRPr="00391207" w:rsidRDefault="00574FFA" w:rsidP="000A2E36">
            <w:pPr>
              <w:spacing w:line="480" w:lineRule="auto"/>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Total</w:t>
            </w:r>
          </w:p>
        </w:tc>
        <w:tc>
          <w:tcPr>
            <w:tcW w:w="955" w:type="dxa"/>
            <w:noWrap/>
            <w:hideMark/>
          </w:tcPr>
          <w:p w14:paraId="7745823A"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34715</w:t>
            </w:r>
          </w:p>
        </w:tc>
        <w:tc>
          <w:tcPr>
            <w:tcW w:w="942" w:type="dxa"/>
            <w:noWrap/>
            <w:hideMark/>
          </w:tcPr>
          <w:p w14:paraId="40A1D971" w14:textId="77777777" w:rsidR="00574FFA" w:rsidRPr="00391207" w:rsidRDefault="00574FFA"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100.0</w:t>
            </w:r>
          </w:p>
        </w:tc>
        <w:tc>
          <w:tcPr>
            <w:tcW w:w="942" w:type="dxa"/>
            <w:hideMark/>
          </w:tcPr>
          <w:p w14:paraId="1C1F8CF5" w14:textId="77777777" w:rsidR="00574FFA" w:rsidRPr="00391207" w:rsidRDefault="00574FFA"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 </w:t>
            </w:r>
          </w:p>
        </w:tc>
        <w:tc>
          <w:tcPr>
            <w:tcW w:w="958" w:type="dxa"/>
            <w:hideMark/>
          </w:tcPr>
          <w:p w14:paraId="016F62BB" w14:textId="77777777" w:rsidR="00574FFA" w:rsidRPr="00391207" w:rsidRDefault="00574FFA"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 </w:t>
            </w:r>
          </w:p>
        </w:tc>
      </w:tr>
    </w:tbl>
    <w:p w14:paraId="0B8A8759" w14:textId="77777777" w:rsidR="00247F08" w:rsidRPr="00391207" w:rsidRDefault="00247F08" w:rsidP="000A2E36">
      <w:pPr>
        <w:spacing w:line="480" w:lineRule="auto"/>
        <w:ind w:firstLine="360"/>
        <w:rPr>
          <w:rFonts w:ascii="Times New Roman" w:hAnsi="Times New Roman" w:cs="Times New Roman"/>
          <w:sz w:val="24"/>
          <w:szCs w:val="24"/>
        </w:rPr>
      </w:pPr>
    </w:p>
    <w:p w14:paraId="0DE19F1B" w14:textId="577EBB25" w:rsidR="00247F08" w:rsidRPr="00391207" w:rsidRDefault="00542E4C" w:rsidP="000A2E36">
      <w:pPr>
        <w:spacing w:line="480" w:lineRule="auto"/>
        <w:ind w:firstLine="360"/>
        <w:jc w:val="center"/>
        <w:rPr>
          <w:rFonts w:ascii="Times New Roman" w:hAnsi="Times New Roman" w:cs="Times New Roman"/>
          <w:b/>
          <w:bCs/>
          <w:i/>
          <w:iCs/>
          <w:sz w:val="24"/>
          <w:szCs w:val="24"/>
        </w:rPr>
      </w:pPr>
      <w:r w:rsidRPr="00391207">
        <w:rPr>
          <w:rFonts w:ascii="Times New Roman" w:hAnsi="Times New Roman" w:cs="Times New Roman"/>
          <w:b/>
          <w:bCs/>
          <w:i/>
          <w:iCs/>
          <w:sz w:val="24"/>
          <w:szCs w:val="24"/>
        </w:rPr>
        <w:t>Chart 3: Economic status distribution</w:t>
      </w:r>
    </w:p>
    <w:p w14:paraId="33DE6F1B" w14:textId="293800A8" w:rsidR="00542E4C" w:rsidRPr="00391207" w:rsidRDefault="004809EA" w:rsidP="000A2E36">
      <w:pPr>
        <w:autoSpaceDE w:val="0"/>
        <w:autoSpaceDN w:val="0"/>
        <w:adjustRightInd w:val="0"/>
        <w:spacing w:after="0" w:line="480" w:lineRule="auto"/>
        <w:jc w:val="center"/>
        <w:rPr>
          <w:rFonts w:ascii="Times New Roman" w:hAnsi="Times New Roman" w:cs="Times New Roman"/>
          <w:sz w:val="24"/>
          <w:szCs w:val="24"/>
        </w:rPr>
      </w:pPr>
      <w:r w:rsidRPr="00391207">
        <w:rPr>
          <w:rFonts w:ascii="Times New Roman" w:hAnsi="Times New Roman" w:cs="Times New Roman"/>
          <w:noProof/>
          <w:sz w:val="24"/>
          <w:szCs w:val="24"/>
        </w:rPr>
        <w:drawing>
          <wp:inline distT="0" distB="0" distL="0" distR="0" wp14:anchorId="0E869CED" wp14:editId="1465C32F">
            <wp:extent cx="4781550" cy="382370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5361" cy="3826754"/>
                    </a:xfrm>
                    <a:prstGeom prst="rect">
                      <a:avLst/>
                    </a:prstGeom>
                    <a:noFill/>
                    <a:ln>
                      <a:noFill/>
                    </a:ln>
                  </pic:spPr>
                </pic:pic>
              </a:graphicData>
            </a:graphic>
          </wp:inline>
        </w:drawing>
      </w:r>
    </w:p>
    <w:p w14:paraId="02D9FBFA" w14:textId="391F3AD2" w:rsidR="00586DD0" w:rsidRPr="00391207" w:rsidRDefault="00586DD0" w:rsidP="00217E30">
      <w:pPr>
        <w:pStyle w:val="Heading1"/>
        <w:rPr>
          <w:rFonts w:cs="Times New Roman"/>
          <w:szCs w:val="24"/>
        </w:rPr>
      </w:pPr>
      <w:r w:rsidRPr="00391207">
        <w:rPr>
          <w:rFonts w:cs="Times New Roman"/>
          <w:szCs w:val="24"/>
        </w:rPr>
        <w:t>III. Gender Differences in Feelings of Safety Walking After Dark</w:t>
      </w:r>
    </w:p>
    <w:p w14:paraId="37315EF0" w14:textId="76A6F566" w:rsidR="00586DD0" w:rsidRPr="00391207" w:rsidRDefault="00CD7675" w:rsidP="000A2E36">
      <w:pPr>
        <w:spacing w:line="480" w:lineRule="auto"/>
        <w:ind w:firstLine="720"/>
        <w:rPr>
          <w:rFonts w:ascii="Times New Roman" w:hAnsi="Times New Roman" w:cs="Times New Roman"/>
          <w:sz w:val="24"/>
          <w:szCs w:val="24"/>
        </w:rPr>
      </w:pPr>
      <w:r w:rsidRPr="00391207">
        <w:rPr>
          <w:rFonts w:ascii="Times New Roman" w:hAnsi="Times New Roman" w:cs="Times New Roman"/>
          <w:sz w:val="24"/>
          <w:szCs w:val="24"/>
        </w:rPr>
        <w:t xml:space="preserve">The cross-tabulation analysis between respondent sex and feelings of safety walking alone after dark indicates some notable differences between males and females. Within the valid </w:t>
      </w:r>
      <w:r w:rsidRPr="00391207">
        <w:rPr>
          <w:rFonts w:ascii="Times New Roman" w:hAnsi="Times New Roman" w:cs="Times New Roman"/>
          <w:sz w:val="24"/>
          <w:szCs w:val="24"/>
        </w:rPr>
        <w:lastRenderedPageBreak/>
        <w:t>sample of 8,230 respondents, females were more likely to report feeling very unsafe walking alone at night, with 501 females selecting this compared to just 114 males. In contrast, males were more likely to say they would feel very or fairly safe walking alone after dark (1828 and 1509 respectively for males; 993 and 1801 for females). This suggests that females generally feel less safe than males when walking alone at night. The differences may reflect heightened concerns among women about risks like sexual assault or other attacks when unaccompanied</w:t>
      </w:r>
      <w:r w:rsidR="00D26151">
        <w:rPr>
          <w:rFonts w:ascii="Times New Roman" w:hAnsi="Times New Roman" w:cs="Times New Roman"/>
          <w:sz w:val="24"/>
          <w:szCs w:val="24"/>
        </w:rPr>
        <w:t xml:space="preserve"> </w:t>
      </w:r>
      <w:r w:rsidR="00D26151">
        <w:t>(Roberts, 2019:30)</w:t>
      </w:r>
      <w:r w:rsidRPr="00391207">
        <w:rPr>
          <w:rFonts w:ascii="Times New Roman" w:hAnsi="Times New Roman" w:cs="Times New Roman"/>
          <w:sz w:val="24"/>
          <w:szCs w:val="24"/>
        </w:rPr>
        <w:t xml:space="preserve">. Feelings of vulnerability could restrict women's movements and activities during nighttime hours. </w:t>
      </w:r>
    </w:p>
    <w:tbl>
      <w:tblPr>
        <w:tblStyle w:val="GridTable6Colorful"/>
        <w:tblW w:w="6720" w:type="dxa"/>
        <w:jc w:val="center"/>
        <w:tblLook w:val="04A0" w:firstRow="1" w:lastRow="0" w:firstColumn="1" w:lastColumn="0" w:noHBand="0" w:noVBand="1"/>
      </w:tblPr>
      <w:tblGrid>
        <w:gridCol w:w="960"/>
        <w:gridCol w:w="960"/>
        <w:gridCol w:w="960"/>
        <w:gridCol w:w="960"/>
        <w:gridCol w:w="960"/>
        <w:gridCol w:w="960"/>
        <w:gridCol w:w="960"/>
      </w:tblGrid>
      <w:tr w:rsidR="00B72DC9" w:rsidRPr="00391207" w14:paraId="277D6B84" w14:textId="77777777" w:rsidTr="00B72DC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720" w:type="dxa"/>
            <w:gridSpan w:val="7"/>
            <w:hideMark/>
          </w:tcPr>
          <w:p w14:paraId="24E95C0F" w14:textId="77777777" w:rsidR="00B72DC9" w:rsidRPr="00391207" w:rsidRDefault="00B72DC9" w:rsidP="000A2E36">
            <w:pPr>
              <w:spacing w:line="480" w:lineRule="auto"/>
              <w:jc w:val="center"/>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Sex * How safe do you feel walking alone in this area after dark Crosstabulation</w:t>
            </w:r>
          </w:p>
        </w:tc>
      </w:tr>
      <w:tr w:rsidR="00B72DC9" w:rsidRPr="00391207" w14:paraId="38618B97" w14:textId="77777777" w:rsidTr="00B72DC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6720" w:type="dxa"/>
            <w:gridSpan w:val="7"/>
            <w:hideMark/>
          </w:tcPr>
          <w:p w14:paraId="1192660C" w14:textId="77777777" w:rsidR="00B72DC9" w:rsidRPr="00391207" w:rsidRDefault="00B72DC9" w:rsidP="000A2E36">
            <w:pPr>
              <w:spacing w:line="480" w:lineRule="auto"/>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Count</w:t>
            </w:r>
          </w:p>
        </w:tc>
      </w:tr>
      <w:tr w:rsidR="00B72DC9" w:rsidRPr="00391207" w14:paraId="56F0F756" w14:textId="77777777" w:rsidTr="00B72DC9">
        <w:trPr>
          <w:trHeight w:val="315"/>
          <w:jc w:val="center"/>
        </w:trPr>
        <w:tc>
          <w:tcPr>
            <w:cnfStyle w:val="001000000000" w:firstRow="0" w:lastRow="0" w:firstColumn="1" w:lastColumn="0" w:oddVBand="0" w:evenVBand="0" w:oddHBand="0" w:evenHBand="0" w:firstRowFirstColumn="0" w:firstRowLastColumn="0" w:lastRowFirstColumn="0" w:lastRowLastColumn="0"/>
            <w:tcW w:w="1920" w:type="dxa"/>
            <w:gridSpan w:val="2"/>
            <w:vMerge w:val="restart"/>
            <w:hideMark/>
          </w:tcPr>
          <w:p w14:paraId="1134E04C" w14:textId="77777777" w:rsidR="00B72DC9" w:rsidRPr="00391207" w:rsidRDefault="00B72DC9" w:rsidP="000A2E36">
            <w:pPr>
              <w:spacing w:line="480" w:lineRule="auto"/>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 </w:t>
            </w:r>
          </w:p>
        </w:tc>
        <w:tc>
          <w:tcPr>
            <w:tcW w:w="3840" w:type="dxa"/>
            <w:gridSpan w:val="4"/>
            <w:hideMark/>
          </w:tcPr>
          <w:p w14:paraId="348D7F2E" w14:textId="77777777" w:rsidR="00B72DC9" w:rsidRPr="00391207" w:rsidRDefault="00B72DC9" w:rsidP="000A2E3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How safe do you feel walking alone in this area after dark</w:t>
            </w:r>
          </w:p>
        </w:tc>
        <w:tc>
          <w:tcPr>
            <w:tcW w:w="960" w:type="dxa"/>
            <w:vMerge w:val="restart"/>
            <w:hideMark/>
          </w:tcPr>
          <w:p w14:paraId="3354CAB3" w14:textId="77777777" w:rsidR="00B72DC9" w:rsidRPr="00391207" w:rsidRDefault="00B72DC9" w:rsidP="000A2E3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Total</w:t>
            </w:r>
          </w:p>
        </w:tc>
      </w:tr>
      <w:tr w:rsidR="00B72DC9" w:rsidRPr="00391207" w14:paraId="2E407910" w14:textId="77777777" w:rsidTr="00B72DC9">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920" w:type="dxa"/>
            <w:gridSpan w:val="2"/>
            <w:vMerge/>
            <w:hideMark/>
          </w:tcPr>
          <w:p w14:paraId="754D94ED" w14:textId="77777777" w:rsidR="00B72DC9" w:rsidRPr="00391207" w:rsidRDefault="00B72DC9" w:rsidP="000A2E36">
            <w:pPr>
              <w:spacing w:line="480" w:lineRule="auto"/>
              <w:rPr>
                <w:rFonts w:ascii="Times New Roman" w:eastAsia="Times New Roman" w:hAnsi="Times New Roman" w:cs="Times New Roman"/>
                <w:color w:val="000000"/>
                <w:sz w:val="24"/>
                <w:szCs w:val="24"/>
              </w:rPr>
            </w:pPr>
          </w:p>
        </w:tc>
        <w:tc>
          <w:tcPr>
            <w:tcW w:w="960" w:type="dxa"/>
            <w:hideMark/>
          </w:tcPr>
          <w:p w14:paraId="3C573D83" w14:textId="77777777" w:rsidR="00B72DC9" w:rsidRPr="00391207" w:rsidRDefault="00B72DC9" w:rsidP="000A2E3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Very safe</w:t>
            </w:r>
          </w:p>
        </w:tc>
        <w:tc>
          <w:tcPr>
            <w:tcW w:w="960" w:type="dxa"/>
            <w:hideMark/>
          </w:tcPr>
          <w:p w14:paraId="79DF9657" w14:textId="77777777" w:rsidR="00B72DC9" w:rsidRPr="00391207" w:rsidRDefault="00B72DC9" w:rsidP="000A2E3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Fairly safe</w:t>
            </w:r>
          </w:p>
        </w:tc>
        <w:tc>
          <w:tcPr>
            <w:tcW w:w="960" w:type="dxa"/>
            <w:hideMark/>
          </w:tcPr>
          <w:p w14:paraId="119779F3" w14:textId="77777777" w:rsidR="00B72DC9" w:rsidRPr="00391207" w:rsidRDefault="00B72DC9" w:rsidP="000A2E3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A bit unsafe</w:t>
            </w:r>
          </w:p>
        </w:tc>
        <w:tc>
          <w:tcPr>
            <w:tcW w:w="960" w:type="dxa"/>
            <w:hideMark/>
          </w:tcPr>
          <w:p w14:paraId="7B2E19F1" w14:textId="77777777" w:rsidR="00B72DC9" w:rsidRPr="00391207" w:rsidRDefault="00B72DC9" w:rsidP="000A2E3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Very unsafe</w:t>
            </w:r>
          </w:p>
        </w:tc>
        <w:tc>
          <w:tcPr>
            <w:tcW w:w="960" w:type="dxa"/>
            <w:vMerge/>
            <w:hideMark/>
          </w:tcPr>
          <w:p w14:paraId="32A63B5F" w14:textId="77777777" w:rsidR="00B72DC9" w:rsidRPr="00391207" w:rsidRDefault="00B72DC9"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B72DC9" w:rsidRPr="00391207" w14:paraId="644F9E16" w14:textId="77777777" w:rsidTr="00B72DC9">
        <w:trPr>
          <w:trHeight w:val="315"/>
          <w:jc w:val="center"/>
        </w:trPr>
        <w:tc>
          <w:tcPr>
            <w:cnfStyle w:val="001000000000" w:firstRow="0" w:lastRow="0" w:firstColumn="1" w:lastColumn="0" w:oddVBand="0" w:evenVBand="0" w:oddHBand="0" w:evenHBand="0" w:firstRowFirstColumn="0" w:firstRowLastColumn="0" w:lastRowFirstColumn="0" w:lastRowLastColumn="0"/>
            <w:tcW w:w="960" w:type="dxa"/>
            <w:vMerge w:val="restart"/>
            <w:hideMark/>
          </w:tcPr>
          <w:p w14:paraId="7A713493" w14:textId="77777777" w:rsidR="00B72DC9" w:rsidRPr="00391207" w:rsidRDefault="00B72DC9" w:rsidP="000A2E36">
            <w:pPr>
              <w:spacing w:line="480" w:lineRule="auto"/>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Sex</w:t>
            </w:r>
          </w:p>
        </w:tc>
        <w:tc>
          <w:tcPr>
            <w:tcW w:w="960" w:type="dxa"/>
            <w:hideMark/>
          </w:tcPr>
          <w:p w14:paraId="63FADC78" w14:textId="77777777" w:rsidR="00B72DC9" w:rsidRPr="00391207" w:rsidRDefault="00B72DC9"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Male</w:t>
            </w:r>
          </w:p>
        </w:tc>
        <w:tc>
          <w:tcPr>
            <w:tcW w:w="960" w:type="dxa"/>
            <w:noWrap/>
            <w:hideMark/>
          </w:tcPr>
          <w:p w14:paraId="29E8C52E" w14:textId="77777777" w:rsidR="00B72DC9" w:rsidRPr="00391207" w:rsidRDefault="00B72DC9"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1828</w:t>
            </w:r>
          </w:p>
        </w:tc>
        <w:tc>
          <w:tcPr>
            <w:tcW w:w="960" w:type="dxa"/>
            <w:noWrap/>
            <w:hideMark/>
          </w:tcPr>
          <w:p w14:paraId="61E14A87" w14:textId="77777777" w:rsidR="00B72DC9" w:rsidRPr="00391207" w:rsidRDefault="00B72DC9"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1509</w:t>
            </w:r>
          </w:p>
        </w:tc>
        <w:tc>
          <w:tcPr>
            <w:tcW w:w="960" w:type="dxa"/>
            <w:noWrap/>
            <w:hideMark/>
          </w:tcPr>
          <w:p w14:paraId="1AF50E90" w14:textId="77777777" w:rsidR="00B72DC9" w:rsidRPr="00391207" w:rsidRDefault="00B72DC9"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391</w:t>
            </w:r>
          </w:p>
        </w:tc>
        <w:tc>
          <w:tcPr>
            <w:tcW w:w="960" w:type="dxa"/>
            <w:noWrap/>
            <w:hideMark/>
          </w:tcPr>
          <w:p w14:paraId="463C64E8" w14:textId="77777777" w:rsidR="00B72DC9" w:rsidRPr="00391207" w:rsidRDefault="00B72DC9"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114</w:t>
            </w:r>
          </w:p>
        </w:tc>
        <w:tc>
          <w:tcPr>
            <w:tcW w:w="960" w:type="dxa"/>
            <w:noWrap/>
            <w:hideMark/>
          </w:tcPr>
          <w:p w14:paraId="15F7F3C6" w14:textId="77777777" w:rsidR="00B72DC9" w:rsidRPr="00391207" w:rsidRDefault="00B72DC9"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3842</w:t>
            </w:r>
          </w:p>
        </w:tc>
      </w:tr>
      <w:tr w:rsidR="00B72DC9" w:rsidRPr="00391207" w14:paraId="08B0F22A" w14:textId="77777777" w:rsidTr="00B72DC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14:paraId="5D70A3CF" w14:textId="77777777" w:rsidR="00B72DC9" w:rsidRPr="00391207" w:rsidRDefault="00B72DC9" w:rsidP="000A2E36">
            <w:pPr>
              <w:spacing w:line="480" w:lineRule="auto"/>
              <w:rPr>
                <w:rFonts w:ascii="Times New Roman" w:eastAsia="Times New Roman" w:hAnsi="Times New Roman" w:cs="Times New Roman"/>
                <w:color w:val="000000"/>
                <w:sz w:val="24"/>
                <w:szCs w:val="24"/>
              </w:rPr>
            </w:pPr>
          </w:p>
        </w:tc>
        <w:tc>
          <w:tcPr>
            <w:tcW w:w="960" w:type="dxa"/>
            <w:hideMark/>
          </w:tcPr>
          <w:p w14:paraId="454912AB" w14:textId="77777777" w:rsidR="00B72DC9" w:rsidRPr="00391207" w:rsidRDefault="00B72DC9"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Female</w:t>
            </w:r>
          </w:p>
        </w:tc>
        <w:tc>
          <w:tcPr>
            <w:tcW w:w="960" w:type="dxa"/>
            <w:noWrap/>
            <w:hideMark/>
          </w:tcPr>
          <w:p w14:paraId="1F5DF520" w14:textId="77777777" w:rsidR="00B72DC9" w:rsidRPr="00391207" w:rsidRDefault="00B72DC9"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993</w:t>
            </w:r>
          </w:p>
        </w:tc>
        <w:tc>
          <w:tcPr>
            <w:tcW w:w="960" w:type="dxa"/>
            <w:noWrap/>
            <w:hideMark/>
          </w:tcPr>
          <w:p w14:paraId="72919FA5" w14:textId="77777777" w:rsidR="00B72DC9" w:rsidRPr="00391207" w:rsidRDefault="00B72DC9"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1801</w:t>
            </w:r>
          </w:p>
        </w:tc>
        <w:tc>
          <w:tcPr>
            <w:tcW w:w="960" w:type="dxa"/>
            <w:noWrap/>
            <w:hideMark/>
          </w:tcPr>
          <w:p w14:paraId="57A660AB" w14:textId="77777777" w:rsidR="00B72DC9" w:rsidRPr="00391207" w:rsidRDefault="00B72DC9"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1093</w:t>
            </w:r>
          </w:p>
        </w:tc>
        <w:tc>
          <w:tcPr>
            <w:tcW w:w="960" w:type="dxa"/>
            <w:noWrap/>
            <w:hideMark/>
          </w:tcPr>
          <w:p w14:paraId="24D77756" w14:textId="77777777" w:rsidR="00B72DC9" w:rsidRPr="00391207" w:rsidRDefault="00B72DC9"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501</w:t>
            </w:r>
          </w:p>
        </w:tc>
        <w:tc>
          <w:tcPr>
            <w:tcW w:w="960" w:type="dxa"/>
            <w:noWrap/>
            <w:hideMark/>
          </w:tcPr>
          <w:p w14:paraId="7909D157" w14:textId="77777777" w:rsidR="00B72DC9" w:rsidRPr="00391207" w:rsidRDefault="00B72DC9"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4388</w:t>
            </w:r>
          </w:p>
        </w:tc>
      </w:tr>
      <w:tr w:rsidR="00B72DC9" w:rsidRPr="00391207" w14:paraId="086A0C2F" w14:textId="77777777" w:rsidTr="00B72DC9">
        <w:trPr>
          <w:trHeight w:val="315"/>
          <w:jc w:val="center"/>
        </w:trPr>
        <w:tc>
          <w:tcPr>
            <w:cnfStyle w:val="001000000000" w:firstRow="0" w:lastRow="0" w:firstColumn="1" w:lastColumn="0" w:oddVBand="0" w:evenVBand="0" w:oddHBand="0" w:evenHBand="0" w:firstRowFirstColumn="0" w:firstRowLastColumn="0" w:lastRowFirstColumn="0" w:lastRowLastColumn="0"/>
            <w:tcW w:w="1920" w:type="dxa"/>
            <w:gridSpan w:val="2"/>
            <w:hideMark/>
          </w:tcPr>
          <w:p w14:paraId="0746FCF8" w14:textId="77777777" w:rsidR="00B72DC9" w:rsidRPr="00391207" w:rsidRDefault="00B72DC9" w:rsidP="000A2E36">
            <w:pPr>
              <w:spacing w:line="480" w:lineRule="auto"/>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Total</w:t>
            </w:r>
          </w:p>
        </w:tc>
        <w:tc>
          <w:tcPr>
            <w:tcW w:w="960" w:type="dxa"/>
            <w:noWrap/>
            <w:hideMark/>
          </w:tcPr>
          <w:p w14:paraId="4963630D" w14:textId="77777777" w:rsidR="00B72DC9" w:rsidRPr="00391207" w:rsidRDefault="00B72DC9"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2821</w:t>
            </w:r>
          </w:p>
        </w:tc>
        <w:tc>
          <w:tcPr>
            <w:tcW w:w="960" w:type="dxa"/>
            <w:noWrap/>
            <w:hideMark/>
          </w:tcPr>
          <w:p w14:paraId="04DBC2F7" w14:textId="77777777" w:rsidR="00B72DC9" w:rsidRPr="00391207" w:rsidRDefault="00B72DC9"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3310</w:t>
            </w:r>
          </w:p>
        </w:tc>
        <w:tc>
          <w:tcPr>
            <w:tcW w:w="960" w:type="dxa"/>
            <w:noWrap/>
            <w:hideMark/>
          </w:tcPr>
          <w:p w14:paraId="7DD33E04" w14:textId="77777777" w:rsidR="00B72DC9" w:rsidRPr="00391207" w:rsidRDefault="00B72DC9"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1484</w:t>
            </w:r>
          </w:p>
        </w:tc>
        <w:tc>
          <w:tcPr>
            <w:tcW w:w="960" w:type="dxa"/>
            <w:noWrap/>
            <w:hideMark/>
          </w:tcPr>
          <w:p w14:paraId="2BFF19D0" w14:textId="77777777" w:rsidR="00B72DC9" w:rsidRPr="00391207" w:rsidRDefault="00B72DC9"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615</w:t>
            </w:r>
          </w:p>
        </w:tc>
        <w:tc>
          <w:tcPr>
            <w:tcW w:w="960" w:type="dxa"/>
            <w:noWrap/>
            <w:hideMark/>
          </w:tcPr>
          <w:p w14:paraId="748E0BDD" w14:textId="77777777" w:rsidR="00B72DC9" w:rsidRPr="00391207" w:rsidRDefault="00B72DC9"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8230</w:t>
            </w:r>
          </w:p>
        </w:tc>
      </w:tr>
    </w:tbl>
    <w:p w14:paraId="78884E8E" w14:textId="77777777" w:rsidR="00B72DC9" w:rsidRPr="00391207" w:rsidRDefault="00B72DC9" w:rsidP="000A2E36">
      <w:pPr>
        <w:spacing w:line="480" w:lineRule="auto"/>
        <w:ind w:firstLine="720"/>
        <w:rPr>
          <w:rFonts w:ascii="Times New Roman" w:hAnsi="Times New Roman" w:cs="Times New Roman"/>
          <w:sz w:val="24"/>
          <w:szCs w:val="24"/>
        </w:rPr>
      </w:pPr>
    </w:p>
    <w:p w14:paraId="38A47047" w14:textId="7C6DA9FC" w:rsidR="00B72DC9" w:rsidRPr="00391207" w:rsidRDefault="00B72DC9" w:rsidP="000A2E36">
      <w:pPr>
        <w:autoSpaceDE w:val="0"/>
        <w:autoSpaceDN w:val="0"/>
        <w:adjustRightInd w:val="0"/>
        <w:spacing w:after="0" w:line="480" w:lineRule="auto"/>
        <w:jc w:val="center"/>
        <w:rPr>
          <w:rFonts w:ascii="Times New Roman" w:hAnsi="Times New Roman" w:cs="Times New Roman"/>
          <w:sz w:val="24"/>
          <w:szCs w:val="24"/>
        </w:rPr>
      </w:pPr>
      <w:r w:rsidRPr="00391207">
        <w:rPr>
          <w:rFonts w:ascii="Times New Roman" w:hAnsi="Times New Roman" w:cs="Times New Roman"/>
          <w:noProof/>
          <w:sz w:val="24"/>
          <w:szCs w:val="24"/>
        </w:rPr>
        <w:lastRenderedPageBreak/>
        <w:drawing>
          <wp:inline distT="0" distB="0" distL="0" distR="0" wp14:anchorId="5219226C" wp14:editId="54D1E9D1">
            <wp:extent cx="3829050" cy="306201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2141" cy="3064485"/>
                    </a:xfrm>
                    <a:prstGeom prst="rect">
                      <a:avLst/>
                    </a:prstGeom>
                    <a:noFill/>
                    <a:ln>
                      <a:noFill/>
                    </a:ln>
                  </pic:spPr>
                </pic:pic>
              </a:graphicData>
            </a:graphic>
          </wp:inline>
        </w:drawing>
      </w:r>
    </w:p>
    <w:p w14:paraId="64203E7C" w14:textId="1198E59B" w:rsidR="008678CA" w:rsidRPr="00391207" w:rsidRDefault="008678CA" w:rsidP="000A2E36">
      <w:pPr>
        <w:spacing w:line="480" w:lineRule="auto"/>
        <w:rPr>
          <w:rFonts w:ascii="Times New Roman" w:hAnsi="Times New Roman" w:cs="Times New Roman"/>
          <w:b/>
          <w:bCs/>
          <w:sz w:val="24"/>
          <w:szCs w:val="24"/>
        </w:rPr>
      </w:pPr>
      <w:r w:rsidRPr="00391207">
        <w:rPr>
          <w:rFonts w:ascii="Times New Roman" w:hAnsi="Times New Roman" w:cs="Times New Roman"/>
          <w:b/>
          <w:bCs/>
          <w:sz w:val="24"/>
          <w:szCs w:val="24"/>
        </w:rPr>
        <w:t>IV. Relationship Between Gross Income and Worries About Home Security</w:t>
      </w:r>
    </w:p>
    <w:p w14:paraId="59E5EBB0" w14:textId="28EC4785" w:rsidR="00CD7675" w:rsidRPr="00391207" w:rsidRDefault="0059411F" w:rsidP="000A2E36">
      <w:pPr>
        <w:spacing w:line="480" w:lineRule="auto"/>
        <w:ind w:firstLine="720"/>
        <w:rPr>
          <w:rFonts w:ascii="Times New Roman" w:hAnsi="Times New Roman" w:cs="Times New Roman"/>
          <w:sz w:val="24"/>
          <w:szCs w:val="24"/>
        </w:rPr>
      </w:pPr>
      <w:r w:rsidRPr="00391207">
        <w:rPr>
          <w:rFonts w:ascii="Times New Roman" w:hAnsi="Times New Roman" w:cs="Times New Roman"/>
          <w:sz w:val="24"/>
          <w:szCs w:val="24"/>
        </w:rPr>
        <w:t>The cross-tabulation shows some association between higher household income and lower worries about home break-ins. For instance, of respondents with income over £80,000, 70 reported being "not very worried" compared to just 6 who were "very worried." The pattern is reversed for lower incomes, with more respondents reporting being "very worried" in the lower brackets. However, the relationship is not entirely linear, with some fluctuation across middle income bands. The small subsample may impact reliability. Overall, though, higher income appears loosely tied to lower worries, perhaps reflecting ability to afford better home security systems. Lower income households may feel more vulnerable due to lack of protections</w:t>
      </w:r>
      <w:r w:rsidR="0015653D">
        <w:rPr>
          <w:rFonts w:ascii="Times New Roman" w:hAnsi="Times New Roman" w:cs="Times New Roman"/>
          <w:sz w:val="24"/>
          <w:szCs w:val="24"/>
        </w:rPr>
        <w:t xml:space="preserve"> </w:t>
      </w:r>
      <w:r w:rsidR="0015653D">
        <w:t>(Holzmann and Jørgensen, 2001)</w:t>
      </w:r>
      <w:r w:rsidRPr="00391207">
        <w:rPr>
          <w:rFonts w:ascii="Times New Roman" w:hAnsi="Times New Roman" w:cs="Times New Roman"/>
          <w:sz w:val="24"/>
          <w:szCs w:val="24"/>
        </w:rPr>
        <w:t>. Further analysis on a bigger subsample could provide more detail on the income-worry relationship. Additional factors like prior victimization could also intersect with income in shaping worry.</w:t>
      </w:r>
    </w:p>
    <w:p w14:paraId="7F74AC86" w14:textId="77777777" w:rsidR="0055096D" w:rsidRPr="00391207" w:rsidRDefault="0055096D" w:rsidP="000A2E36">
      <w:pPr>
        <w:spacing w:line="480" w:lineRule="auto"/>
        <w:ind w:firstLine="720"/>
        <w:rPr>
          <w:rFonts w:ascii="Times New Roman" w:hAnsi="Times New Roman" w:cs="Times New Roman"/>
          <w:sz w:val="24"/>
          <w:szCs w:val="24"/>
        </w:rPr>
      </w:pPr>
    </w:p>
    <w:tbl>
      <w:tblPr>
        <w:tblStyle w:val="GridTable6Colorful"/>
        <w:tblW w:w="7065" w:type="dxa"/>
        <w:jc w:val="center"/>
        <w:tblLayout w:type="fixed"/>
        <w:tblLook w:val="04A0" w:firstRow="1" w:lastRow="0" w:firstColumn="1" w:lastColumn="0" w:noHBand="0" w:noVBand="1"/>
      </w:tblPr>
      <w:tblGrid>
        <w:gridCol w:w="1257"/>
        <w:gridCol w:w="1258"/>
        <w:gridCol w:w="701"/>
        <w:gridCol w:w="963"/>
        <w:gridCol w:w="963"/>
        <w:gridCol w:w="963"/>
        <w:gridCol w:w="960"/>
      </w:tblGrid>
      <w:tr w:rsidR="00376E7D" w:rsidRPr="00391207" w14:paraId="398CF874" w14:textId="77777777" w:rsidTr="008B3BD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065" w:type="dxa"/>
            <w:gridSpan w:val="7"/>
            <w:hideMark/>
          </w:tcPr>
          <w:p w14:paraId="2C61A894" w14:textId="77777777" w:rsidR="00376E7D" w:rsidRPr="00391207" w:rsidRDefault="00376E7D" w:rsidP="000A2E36">
            <w:pPr>
              <w:spacing w:line="480" w:lineRule="auto"/>
              <w:jc w:val="center"/>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lastRenderedPageBreak/>
              <w:t>Which is the gross income of the household * How worried about having your home broken into Crosstabulation</w:t>
            </w:r>
          </w:p>
        </w:tc>
      </w:tr>
      <w:tr w:rsidR="00376E7D" w:rsidRPr="00391207" w14:paraId="3AC26C5C" w14:textId="77777777" w:rsidTr="008B3BD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7065" w:type="dxa"/>
            <w:gridSpan w:val="7"/>
            <w:hideMark/>
          </w:tcPr>
          <w:p w14:paraId="702446F1" w14:textId="77777777" w:rsidR="00376E7D" w:rsidRPr="00391207" w:rsidRDefault="00376E7D" w:rsidP="000A2E36">
            <w:pPr>
              <w:spacing w:line="480" w:lineRule="auto"/>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Count</w:t>
            </w:r>
          </w:p>
        </w:tc>
      </w:tr>
      <w:tr w:rsidR="00376E7D" w:rsidRPr="00391207" w14:paraId="76C28EA7" w14:textId="77777777" w:rsidTr="008B3BDE">
        <w:trPr>
          <w:trHeight w:val="315"/>
          <w:jc w:val="center"/>
        </w:trPr>
        <w:tc>
          <w:tcPr>
            <w:cnfStyle w:val="001000000000" w:firstRow="0" w:lastRow="0" w:firstColumn="1" w:lastColumn="0" w:oddVBand="0" w:evenVBand="0" w:oddHBand="0" w:evenHBand="0" w:firstRowFirstColumn="0" w:firstRowLastColumn="0" w:lastRowFirstColumn="0" w:lastRowLastColumn="0"/>
            <w:tcW w:w="2515" w:type="dxa"/>
            <w:gridSpan w:val="2"/>
            <w:vMerge w:val="restart"/>
            <w:hideMark/>
          </w:tcPr>
          <w:p w14:paraId="4FC3D2F9" w14:textId="77777777" w:rsidR="00376E7D" w:rsidRPr="00391207" w:rsidRDefault="00376E7D" w:rsidP="000A2E36">
            <w:pPr>
              <w:spacing w:line="480" w:lineRule="auto"/>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 </w:t>
            </w:r>
          </w:p>
        </w:tc>
        <w:tc>
          <w:tcPr>
            <w:tcW w:w="3590" w:type="dxa"/>
            <w:gridSpan w:val="4"/>
            <w:hideMark/>
          </w:tcPr>
          <w:p w14:paraId="26817439" w14:textId="77777777" w:rsidR="00376E7D" w:rsidRPr="00391207" w:rsidRDefault="00376E7D" w:rsidP="000A2E3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How worried about having your home broken into</w:t>
            </w:r>
          </w:p>
        </w:tc>
        <w:tc>
          <w:tcPr>
            <w:tcW w:w="960" w:type="dxa"/>
            <w:vMerge w:val="restart"/>
            <w:hideMark/>
          </w:tcPr>
          <w:p w14:paraId="4F547969" w14:textId="77777777" w:rsidR="00376E7D" w:rsidRPr="00391207" w:rsidRDefault="00376E7D" w:rsidP="000A2E3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Total</w:t>
            </w:r>
          </w:p>
        </w:tc>
      </w:tr>
      <w:tr w:rsidR="00376E7D" w:rsidRPr="00391207" w14:paraId="27C854B3" w14:textId="77777777" w:rsidTr="008B3BDE">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2515" w:type="dxa"/>
            <w:gridSpan w:val="2"/>
            <w:vMerge/>
            <w:hideMark/>
          </w:tcPr>
          <w:p w14:paraId="20E790E2" w14:textId="77777777" w:rsidR="00376E7D" w:rsidRPr="00391207" w:rsidRDefault="00376E7D" w:rsidP="000A2E36">
            <w:pPr>
              <w:spacing w:line="480" w:lineRule="auto"/>
              <w:rPr>
                <w:rFonts w:ascii="Times New Roman" w:eastAsia="Times New Roman" w:hAnsi="Times New Roman" w:cs="Times New Roman"/>
                <w:color w:val="000000"/>
                <w:sz w:val="24"/>
                <w:szCs w:val="24"/>
              </w:rPr>
            </w:pPr>
          </w:p>
        </w:tc>
        <w:tc>
          <w:tcPr>
            <w:tcW w:w="701" w:type="dxa"/>
            <w:hideMark/>
          </w:tcPr>
          <w:p w14:paraId="6EADFD73" w14:textId="77777777" w:rsidR="00376E7D" w:rsidRPr="00391207" w:rsidRDefault="00376E7D" w:rsidP="000A2E3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Very worried</w:t>
            </w:r>
          </w:p>
        </w:tc>
        <w:tc>
          <w:tcPr>
            <w:tcW w:w="963" w:type="dxa"/>
            <w:hideMark/>
          </w:tcPr>
          <w:p w14:paraId="23E10C55" w14:textId="77777777" w:rsidR="00376E7D" w:rsidRPr="00391207" w:rsidRDefault="00376E7D" w:rsidP="000A2E3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Fairly worried</w:t>
            </w:r>
          </w:p>
        </w:tc>
        <w:tc>
          <w:tcPr>
            <w:tcW w:w="963" w:type="dxa"/>
            <w:hideMark/>
          </w:tcPr>
          <w:p w14:paraId="0BA2CD8F" w14:textId="77777777" w:rsidR="00376E7D" w:rsidRPr="00391207" w:rsidRDefault="00376E7D" w:rsidP="000A2E3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Not very worried</w:t>
            </w:r>
          </w:p>
        </w:tc>
        <w:tc>
          <w:tcPr>
            <w:tcW w:w="963" w:type="dxa"/>
            <w:hideMark/>
          </w:tcPr>
          <w:p w14:paraId="7FB48EA8" w14:textId="77777777" w:rsidR="00376E7D" w:rsidRPr="00391207" w:rsidRDefault="00376E7D" w:rsidP="000A2E3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Not at all worried</w:t>
            </w:r>
          </w:p>
        </w:tc>
        <w:tc>
          <w:tcPr>
            <w:tcW w:w="960" w:type="dxa"/>
            <w:vMerge/>
            <w:hideMark/>
          </w:tcPr>
          <w:p w14:paraId="4CD1CD93" w14:textId="77777777" w:rsidR="00376E7D" w:rsidRPr="00391207" w:rsidRDefault="00376E7D"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376E7D" w:rsidRPr="00391207" w14:paraId="592FB894" w14:textId="77777777" w:rsidTr="008B3BDE">
        <w:trPr>
          <w:trHeight w:val="510"/>
          <w:jc w:val="center"/>
        </w:trPr>
        <w:tc>
          <w:tcPr>
            <w:cnfStyle w:val="001000000000" w:firstRow="0" w:lastRow="0" w:firstColumn="1" w:lastColumn="0" w:oddVBand="0" w:evenVBand="0" w:oddHBand="0" w:evenHBand="0" w:firstRowFirstColumn="0" w:firstRowLastColumn="0" w:lastRowFirstColumn="0" w:lastRowLastColumn="0"/>
            <w:tcW w:w="1257" w:type="dxa"/>
            <w:vMerge w:val="restart"/>
            <w:hideMark/>
          </w:tcPr>
          <w:p w14:paraId="4B6617C4" w14:textId="77777777" w:rsidR="00376E7D" w:rsidRPr="00391207" w:rsidRDefault="00376E7D" w:rsidP="000A2E36">
            <w:pPr>
              <w:spacing w:line="480" w:lineRule="auto"/>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Which is the gross income of the household</w:t>
            </w:r>
          </w:p>
        </w:tc>
        <w:tc>
          <w:tcPr>
            <w:tcW w:w="1258" w:type="dxa"/>
            <w:hideMark/>
          </w:tcPr>
          <w:p w14:paraId="26AA91A5" w14:textId="77777777" w:rsidR="00376E7D" w:rsidRPr="00391207" w:rsidRDefault="00376E7D"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A under £5,000</w:t>
            </w:r>
          </w:p>
        </w:tc>
        <w:tc>
          <w:tcPr>
            <w:tcW w:w="701" w:type="dxa"/>
            <w:noWrap/>
            <w:hideMark/>
          </w:tcPr>
          <w:p w14:paraId="78A23FCE"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0</w:t>
            </w:r>
          </w:p>
        </w:tc>
        <w:tc>
          <w:tcPr>
            <w:tcW w:w="963" w:type="dxa"/>
            <w:noWrap/>
            <w:hideMark/>
          </w:tcPr>
          <w:p w14:paraId="0376AC03"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0</w:t>
            </w:r>
          </w:p>
        </w:tc>
        <w:tc>
          <w:tcPr>
            <w:tcW w:w="963" w:type="dxa"/>
            <w:noWrap/>
            <w:hideMark/>
          </w:tcPr>
          <w:p w14:paraId="7AB1B166"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4</w:t>
            </w:r>
          </w:p>
        </w:tc>
        <w:tc>
          <w:tcPr>
            <w:tcW w:w="963" w:type="dxa"/>
            <w:noWrap/>
            <w:hideMark/>
          </w:tcPr>
          <w:p w14:paraId="0DEF8CBF"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w:t>
            </w:r>
          </w:p>
        </w:tc>
        <w:tc>
          <w:tcPr>
            <w:tcW w:w="960" w:type="dxa"/>
            <w:noWrap/>
            <w:hideMark/>
          </w:tcPr>
          <w:p w14:paraId="39F72413"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w:t>
            </w:r>
          </w:p>
        </w:tc>
      </w:tr>
      <w:tr w:rsidR="00376E7D" w:rsidRPr="00391207" w14:paraId="723F6A33" w14:textId="77777777" w:rsidTr="008B3BDE">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1257" w:type="dxa"/>
            <w:vMerge/>
            <w:hideMark/>
          </w:tcPr>
          <w:p w14:paraId="16C8F124" w14:textId="77777777" w:rsidR="00376E7D" w:rsidRPr="00391207" w:rsidRDefault="00376E7D" w:rsidP="000A2E36">
            <w:pPr>
              <w:spacing w:line="480" w:lineRule="auto"/>
              <w:rPr>
                <w:rFonts w:ascii="Times New Roman" w:eastAsia="Times New Roman" w:hAnsi="Times New Roman" w:cs="Times New Roman"/>
                <w:color w:val="000000"/>
                <w:sz w:val="24"/>
                <w:szCs w:val="24"/>
              </w:rPr>
            </w:pPr>
          </w:p>
        </w:tc>
        <w:tc>
          <w:tcPr>
            <w:tcW w:w="1258" w:type="dxa"/>
            <w:hideMark/>
          </w:tcPr>
          <w:p w14:paraId="35D7B0B8" w14:textId="77777777" w:rsidR="00376E7D" w:rsidRPr="00391207" w:rsidRDefault="00376E7D"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B £5,000 - £9,999</w:t>
            </w:r>
          </w:p>
        </w:tc>
        <w:tc>
          <w:tcPr>
            <w:tcW w:w="701" w:type="dxa"/>
            <w:noWrap/>
            <w:hideMark/>
          </w:tcPr>
          <w:p w14:paraId="2EA356FD"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w:t>
            </w:r>
          </w:p>
        </w:tc>
        <w:tc>
          <w:tcPr>
            <w:tcW w:w="963" w:type="dxa"/>
            <w:noWrap/>
            <w:hideMark/>
          </w:tcPr>
          <w:p w14:paraId="4B4D0113"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w:t>
            </w:r>
          </w:p>
        </w:tc>
        <w:tc>
          <w:tcPr>
            <w:tcW w:w="963" w:type="dxa"/>
            <w:noWrap/>
            <w:hideMark/>
          </w:tcPr>
          <w:p w14:paraId="642F1595"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w:t>
            </w:r>
          </w:p>
        </w:tc>
        <w:tc>
          <w:tcPr>
            <w:tcW w:w="963" w:type="dxa"/>
            <w:noWrap/>
            <w:hideMark/>
          </w:tcPr>
          <w:p w14:paraId="7D5BF39B"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2</w:t>
            </w:r>
          </w:p>
        </w:tc>
        <w:tc>
          <w:tcPr>
            <w:tcW w:w="960" w:type="dxa"/>
            <w:noWrap/>
            <w:hideMark/>
          </w:tcPr>
          <w:p w14:paraId="4B9D7286"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9</w:t>
            </w:r>
          </w:p>
        </w:tc>
      </w:tr>
      <w:tr w:rsidR="00376E7D" w:rsidRPr="00391207" w14:paraId="079C00AB" w14:textId="77777777" w:rsidTr="008B3BDE">
        <w:trPr>
          <w:trHeight w:val="495"/>
          <w:jc w:val="center"/>
        </w:trPr>
        <w:tc>
          <w:tcPr>
            <w:cnfStyle w:val="001000000000" w:firstRow="0" w:lastRow="0" w:firstColumn="1" w:lastColumn="0" w:oddVBand="0" w:evenVBand="0" w:oddHBand="0" w:evenHBand="0" w:firstRowFirstColumn="0" w:firstRowLastColumn="0" w:lastRowFirstColumn="0" w:lastRowLastColumn="0"/>
            <w:tcW w:w="1257" w:type="dxa"/>
            <w:vMerge/>
            <w:hideMark/>
          </w:tcPr>
          <w:p w14:paraId="05DA1979" w14:textId="77777777" w:rsidR="00376E7D" w:rsidRPr="00391207" w:rsidRDefault="00376E7D" w:rsidP="000A2E36">
            <w:pPr>
              <w:spacing w:line="480" w:lineRule="auto"/>
              <w:rPr>
                <w:rFonts w:ascii="Times New Roman" w:eastAsia="Times New Roman" w:hAnsi="Times New Roman" w:cs="Times New Roman"/>
                <w:color w:val="000000"/>
                <w:sz w:val="24"/>
                <w:szCs w:val="24"/>
              </w:rPr>
            </w:pPr>
          </w:p>
        </w:tc>
        <w:tc>
          <w:tcPr>
            <w:tcW w:w="1258" w:type="dxa"/>
            <w:hideMark/>
          </w:tcPr>
          <w:p w14:paraId="1B0FDCA6" w14:textId="77777777" w:rsidR="00376E7D" w:rsidRPr="00391207" w:rsidRDefault="00376E7D"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C £10,000 - £14,999</w:t>
            </w:r>
          </w:p>
        </w:tc>
        <w:tc>
          <w:tcPr>
            <w:tcW w:w="701" w:type="dxa"/>
            <w:noWrap/>
            <w:hideMark/>
          </w:tcPr>
          <w:p w14:paraId="4A908DCB"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w:t>
            </w:r>
          </w:p>
        </w:tc>
        <w:tc>
          <w:tcPr>
            <w:tcW w:w="963" w:type="dxa"/>
            <w:noWrap/>
            <w:hideMark/>
          </w:tcPr>
          <w:p w14:paraId="269C7525"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9</w:t>
            </w:r>
          </w:p>
        </w:tc>
        <w:tc>
          <w:tcPr>
            <w:tcW w:w="963" w:type="dxa"/>
            <w:noWrap/>
            <w:hideMark/>
          </w:tcPr>
          <w:p w14:paraId="5B46E275"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15</w:t>
            </w:r>
          </w:p>
        </w:tc>
        <w:tc>
          <w:tcPr>
            <w:tcW w:w="963" w:type="dxa"/>
            <w:noWrap/>
            <w:hideMark/>
          </w:tcPr>
          <w:p w14:paraId="496A906C"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10</w:t>
            </w:r>
          </w:p>
        </w:tc>
        <w:tc>
          <w:tcPr>
            <w:tcW w:w="960" w:type="dxa"/>
            <w:noWrap/>
            <w:hideMark/>
          </w:tcPr>
          <w:p w14:paraId="18336AFC"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37</w:t>
            </w:r>
          </w:p>
        </w:tc>
      </w:tr>
      <w:tr w:rsidR="00376E7D" w:rsidRPr="00391207" w14:paraId="53590093" w14:textId="77777777" w:rsidTr="008B3BDE">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257" w:type="dxa"/>
            <w:vMerge/>
            <w:hideMark/>
          </w:tcPr>
          <w:p w14:paraId="06D25FAA" w14:textId="77777777" w:rsidR="00376E7D" w:rsidRPr="00391207" w:rsidRDefault="00376E7D" w:rsidP="000A2E36">
            <w:pPr>
              <w:spacing w:line="480" w:lineRule="auto"/>
              <w:rPr>
                <w:rFonts w:ascii="Times New Roman" w:eastAsia="Times New Roman" w:hAnsi="Times New Roman" w:cs="Times New Roman"/>
                <w:color w:val="000000"/>
                <w:sz w:val="24"/>
                <w:szCs w:val="24"/>
              </w:rPr>
            </w:pPr>
          </w:p>
        </w:tc>
        <w:tc>
          <w:tcPr>
            <w:tcW w:w="1258" w:type="dxa"/>
            <w:hideMark/>
          </w:tcPr>
          <w:p w14:paraId="4FACB16F" w14:textId="77777777" w:rsidR="00376E7D" w:rsidRPr="00391207" w:rsidRDefault="00376E7D"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D £15,000 - £19,999</w:t>
            </w:r>
          </w:p>
        </w:tc>
        <w:tc>
          <w:tcPr>
            <w:tcW w:w="701" w:type="dxa"/>
            <w:noWrap/>
            <w:hideMark/>
          </w:tcPr>
          <w:p w14:paraId="2F1FBD67"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8</w:t>
            </w:r>
          </w:p>
        </w:tc>
        <w:tc>
          <w:tcPr>
            <w:tcW w:w="963" w:type="dxa"/>
            <w:noWrap/>
            <w:hideMark/>
          </w:tcPr>
          <w:p w14:paraId="6FB1D63B"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14</w:t>
            </w:r>
          </w:p>
        </w:tc>
        <w:tc>
          <w:tcPr>
            <w:tcW w:w="963" w:type="dxa"/>
            <w:noWrap/>
            <w:hideMark/>
          </w:tcPr>
          <w:p w14:paraId="14749005"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30</w:t>
            </w:r>
          </w:p>
        </w:tc>
        <w:tc>
          <w:tcPr>
            <w:tcW w:w="963" w:type="dxa"/>
            <w:noWrap/>
            <w:hideMark/>
          </w:tcPr>
          <w:p w14:paraId="56C5C996"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w:t>
            </w:r>
          </w:p>
        </w:tc>
        <w:tc>
          <w:tcPr>
            <w:tcW w:w="960" w:type="dxa"/>
            <w:noWrap/>
            <w:hideMark/>
          </w:tcPr>
          <w:p w14:paraId="7CD35B0D"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57</w:t>
            </w:r>
          </w:p>
        </w:tc>
      </w:tr>
      <w:tr w:rsidR="00376E7D" w:rsidRPr="00391207" w14:paraId="53D7E0ED" w14:textId="77777777" w:rsidTr="008B3BDE">
        <w:trPr>
          <w:trHeight w:val="960"/>
          <w:jc w:val="center"/>
        </w:trPr>
        <w:tc>
          <w:tcPr>
            <w:cnfStyle w:val="001000000000" w:firstRow="0" w:lastRow="0" w:firstColumn="1" w:lastColumn="0" w:oddVBand="0" w:evenVBand="0" w:oddHBand="0" w:evenHBand="0" w:firstRowFirstColumn="0" w:firstRowLastColumn="0" w:lastRowFirstColumn="0" w:lastRowLastColumn="0"/>
            <w:tcW w:w="1257" w:type="dxa"/>
            <w:vMerge/>
            <w:hideMark/>
          </w:tcPr>
          <w:p w14:paraId="1877F52D" w14:textId="77777777" w:rsidR="00376E7D" w:rsidRPr="00391207" w:rsidRDefault="00376E7D" w:rsidP="000A2E36">
            <w:pPr>
              <w:spacing w:line="480" w:lineRule="auto"/>
              <w:rPr>
                <w:rFonts w:ascii="Times New Roman" w:eastAsia="Times New Roman" w:hAnsi="Times New Roman" w:cs="Times New Roman"/>
                <w:color w:val="000000"/>
                <w:sz w:val="24"/>
                <w:szCs w:val="24"/>
              </w:rPr>
            </w:pPr>
          </w:p>
        </w:tc>
        <w:tc>
          <w:tcPr>
            <w:tcW w:w="1258" w:type="dxa"/>
            <w:hideMark/>
          </w:tcPr>
          <w:p w14:paraId="4D0576CB" w14:textId="77777777" w:rsidR="00376E7D" w:rsidRPr="00391207" w:rsidRDefault="00376E7D"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E £20,000 - £24,999</w:t>
            </w:r>
          </w:p>
        </w:tc>
        <w:tc>
          <w:tcPr>
            <w:tcW w:w="701" w:type="dxa"/>
            <w:noWrap/>
            <w:hideMark/>
          </w:tcPr>
          <w:p w14:paraId="65AB3378"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7</w:t>
            </w:r>
          </w:p>
        </w:tc>
        <w:tc>
          <w:tcPr>
            <w:tcW w:w="963" w:type="dxa"/>
            <w:noWrap/>
            <w:hideMark/>
          </w:tcPr>
          <w:p w14:paraId="73E267BE"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11</w:t>
            </w:r>
          </w:p>
        </w:tc>
        <w:tc>
          <w:tcPr>
            <w:tcW w:w="963" w:type="dxa"/>
            <w:noWrap/>
            <w:hideMark/>
          </w:tcPr>
          <w:p w14:paraId="4FB2EC78"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29</w:t>
            </w:r>
          </w:p>
        </w:tc>
        <w:tc>
          <w:tcPr>
            <w:tcW w:w="963" w:type="dxa"/>
            <w:noWrap/>
            <w:hideMark/>
          </w:tcPr>
          <w:p w14:paraId="1E268898"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10</w:t>
            </w:r>
          </w:p>
        </w:tc>
        <w:tc>
          <w:tcPr>
            <w:tcW w:w="960" w:type="dxa"/>
            <w:noWrap/>
            <w:hideMark/>
          </w:tcPr>
          <w:p w14:paraId="4752F042"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57</w:t>
            </w:r>
          </w:p>
        </w:tc>
      </w:tr>
      <w:tr w:rsidR="00376E7D" w:rsidRPr="00391207" w14:paraId="705A36A9" w14:textId="77777777" w:rsidTr="008B3BDE">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257" w:type="dxa"/>
            <w:vMerge/>
            <w:hideMark/>
          </w:tcPr>
          <w:p w14:paraId="1BDCD2D8" w14:textId="77777777" w:rsidR="00376E7D" w:rsidRPr="00391207" w:rsidRDefault="00376E7D" w:rsidP="000A2E36">
            <w:pPr>
              <w:spacing w:line="480" w:lineRule="auto"/>
              <w:rPr>
                <w:rFonts w:ascii="Times New Roman" w:eastAsia="Times New Roman" w:hAnsi="Times New Roman" w:cs="Times New Roman"/>
                <w:color w:val="000000"/>
                <w:sz w:val="24"/>
                <w:szCs w:val="24"/>
              </w:rPr>
            </w:pPr>
          </w:p>
        </w:tc>
        <w:tc>
          <w:tcPr>
            <w:tcW w:w="1258" w:type="dxa"/>
            <w:hideMark/>
          </w:tcPr>
          <w:p w14:paraId="01916DC8" w14:textId="77777777" w:rsidR="00376E7D" w:rsidRPr="00391207" w:rsidRDefault="00376E7D"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F £25,000 - £29,999</w:t>
            </w:r>
          </w:p>
        </w:tc>
        <w:tc>
          <w:tcPr>
            <w:tcW w:w="701" w:type="dxa"/>
            <w:noWrap/>
            <w:hideMark/>
          </w:tcPr>
          <w:p w14:paraId="432D45CE"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6</w:t>
            </w:r>
          </w:p>
        </w:tc>
        <w:tc>
          <w:tcPr>
            <w:tcW w:w="963" w:type="dxa"/>
            <w:noWrap/>
            <w:hideMark/>
          </w:tcPr>
          <w:p w14:paraId="3ADBD9DC"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13</w:t>
            </w:r>
          </w:p>
        </w:tc>
        <w:tc>
          <w:tcPr>
            <w:tcW w:w="963" w:type="dxa"/>
            <w:noWrap/>
            <w:hideMark/>
          </w:tcPr>
          <w:p w14:paraId="1F41B30D"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28</w:t>
            </w:r>
          </w:p>
        </w:tc>
        <w:tc>
          <w:tcPr>
            <w:tcW w:w="963" w:type="dxa"/>
            <w:noWrap/>
            <w:hideMark/>
          </w:tcPr>
          <w:p w14:paraId="367EC34E"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6</w:t>
            </w:r>
          </w:p>
        </w:tc>
        <w:tc>
          <w:tcPr>
            <w:tcW w:w="960" w:type="dxa"/>
            <w:noWrap/>
            <w:hideMark/>
          </w:tcPr>
          <w:p w14:paraId="3817490D"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53</w:t>
            </w:r>
          </w:p>
        </w:tc>
      </w:tr>
      <w:tr w:rsidR="00376E7D" w:rsidRPr="00391207" w14:paraId="6AD45EEC" w14:textId="77777777" w:rsidTr="008B3BDE">
        <w:trPr>
          <w:trHeight w:val="480"/>
          <w:jc w:val="center"/>
        </w:trPr>
        <w:tc>
          <w:tcPr>
            <w:cnfStyle w:val="001000000000" w:firstRow="0" w:lastRow="0" w:firstColumn="1" w:lastColumn="0" w:oddVBand="0" w:evenVBand="0" w:oddHBand="0" w:evenHBand="0" w:firstRowFirstColumn="0" w:firstRowLastColumn="0" w:lastRowFirstColumn="0" w:lastRowLastColumn="0"/>
            <w:tcW w:w="1257" w:type="dxa"/>
            <w:vMerge/>
            <w:hideMark/>
          </w:tcPr>
          <w:p w14:paraId="4FEFE169" w14:textId="77777777" w:rsidR="00376E7D" w:rsidRPr="00391207" w:rsidRDefault="00376E7D" w:rsidP="000A2E36">
            <w:pPr>
              <w:spacing w:line="480" w:lineRule="auto"/>
              <w:rPr>
                <w:rFonts w:ascii="Times New Roman" w:eastAsia="Times New Roman" w:hAnsi="Times New Roman" w:cs="Times New Roman"/>
                <w:color w:val="000000"/>
                <w:sz w:val="24"/>
                <w:szCs w:val="24"/>
              </w:rPr>
            </w:pPr>
          </w:p>
        </w:tc>
        <w:tc>
          <w:tcPr>
            <w:tcW w:w="1258" w:type="dxa"/>
            <w:hideMark/>
          </w:tcPr>
          <w:p w14:paraId="40A76843" w14:textId="77777777" w:rsidR="00376E7D" w:rsidRPr="00391207" w:rsidRDefault="00376E7D"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G £30,000 - £34,999</w:t>
            </w:r>
          </w:p>
        </w:tc>
        <w:tc>
          <w:tcPr>
            <w:tcW w:w="701" w:type="dxa"/>
            <w:noWrap/>
            <w:hideMark/>
          </w:tcPr>
          <w:p w14:paraId="7157BA7D"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w:t>
            </w:r>
          </w:p>
        </w:tc>
        <w:tc>
          <w:tcPr>
            <w:tcW w:w="963" w:type="dxa"/>
            <w:noWrap/>
            <w:hideMark/>
          </w:tcPr>
          <w:p w14:paraId="4D9A39AE"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9</w:t>
            </w:r>
          </w:p>
        </w:tc>
        <w:tc>
          <w:tcPr>
            <w:tcW w:w="963" w:type="dxa"/>
            <w:noWrap/>
            <w:hideMark/>
          </w:tcPr>
          <w:p w14:paraId="30A3B42F"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23</w:t>
            </w:r>
          </w:p>
        </w:tc>
        <w:tc>
          <w:tcPr>
            <w:tcW w:w="963" w:type="dxa"/>
            <w:noWrap/>
            <w:hideMark/>
          </w:tcPr>
          <w:p w14:paraId="13443F1A"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11</w:t>
            </w:r>
          </w:p>
        </w:tc>
        <w:tc>
          <w:tcPr>
            <w:tcW w:w="960" w:type="dxa"/>
            <w:noWrap/>
            <w:hideMark/>
          </w:tcPr>
          <w:p w14:paraId="3C357B9F"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48</w:t>
            </w:r>
          </w:p>
        </w:tc>
      </w:tr>
      <w:tr w:rsidR="00376E7D" w:rsidRPr="00391207" w14:paraId="60A37F4F" w14:textId="77777777" w:rsidTr="008B3BDE">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257" w:type="dxa"/>
            <w:vMerge/>
            <w:hideMark/>
          </w:tcPr>
          <w:p w14:paraId="704A6D9B" w14:textId="77777777" w:rsidR="00376E7D" w:rsidRPr="00391207" w:rsidRDefault="00376E7D" w:rsidP="000A2E36">
            <w:pPr>
              <w:spacing w:line="480" w:lineRule="auto"/>
              <w:rPr>
                <w:rFonts w:ascii="Times New Roman" w:eastAsia="Times New Roman" w:hAnsi="Times New Roman" w:cs="Times New Roman"/>
                <w:color w:val="000000"/>
                <w:sz w:val="24"/>
                <w:szCs w:val="24"/>
              </w:rPr>
            </w:pPr>
          </w:p>
        </w:tc>
        <w:tc>
          <w:tcPr>
            <w:tcW w:w="1258" w:type="dxa"/>
            <w:hideMark/>
          </w:tcPr>
          <w:p w14:paraId="725BC678" w14:textId="77777777" w:rsidR="00376E7D" w:rsidRPr="00391207" w:rsidRDefault="00376E7D"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H £35,000 - £39,999</w:t>
            </w:r>
          </w:p>
        </w:tc>
        <w:tc>
          <w:tcPr>
            <w:tcW w:w="701" w:type="dxa"/>
            <w:noWrap/>
            <w:hideMark/>
          </w:tcPr>
          <w:p w14:paraId="45D9F0D7"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9</w:t>
            </w:r>
          </w:p>
        </w:tc>
        <w:tc>
          <w:tcPr>
            <w:tcW w:w="963" w:type="dxa"/>
            <w:noWrap/>
            <w:hideMark/>
          </w:tcPr>
          <w:p w14:paraId="54F93CB3"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11</w:t>
            </w:r>
          </w:p>
        </w:tc>
        <w:tc>
          <w:tcPr>
            <w:tcW w:w="963" w:type="dxa"/>
            <w:noWrap/>
            <w:hideMark/>
          </w:tcPr>
          <w:p w14:paraId="789A7BA3"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27</w:t>
            </w:r>
          </w:p>
        </w:tc>
        <w:tc>
          <w:tcPr>
            <w:tcW w:w="963" w:type="dxa"/>
            <w:noWrap/>
            <w:hideMark/>
          </w:tcPr>
          <w:p w14:paraId="59860989"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6</w:t>
            </w:r>
          </w:p>
        </w:tc>
        <w:tc>
          <w:tcPr>
            <w:tcW w:w="960" w:type="dxa"/>
            <w:noWrap/>
            <w:hideMark/>
          </w:tcPr>
          <w:p w14:paraId="0628A736"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53</w:t>
            </w:r>
          </w:p>
        </w:tc>
      </w:tr>
      <w:tr w:rsidR="00376E7D" w:rsidRPr="00391207" w14:paraId="5563DA4C" w14:textId="77777777" w:rsidTr="008B3BDE">
        <w:trPr>
          <w:trHeight w:val="960"/>
          <w:jc w:val="center"/>
        </w:trPr>
        <w:tc>
          <w:tcPr>
            <w:cnfStyle w:val="001000000000" w:firstRow="0" w:lastRow="0" w:firstColumn="1" w:lastColumn="0" w:oddVBand="0" w:evenVBand="0" w:oddHBand="0" w:evenHBand="0" w:firstRowFirstColumn="0" w:firstRowLastColumn="0" w:lastRowFirstColumn="0" w:lastRowLastColumn="0"/>
            <w:tcW w:w="1257" w:type="dxa"/>
            <w:vMerge/>
            <w:hideMark/>
          </w:tcPr>
          <w:p w14:paraId="7B57D87B" w14:textId="77777777" w:rsidR="00376E7D" w:rsidRPr="00391207" w:rsidRDefault="00376E7D" w:rsidP="000A2E36">
            <w:pPr>
              <w:spacing w:line="480" w:lineRule="auto"/>
              <w:rPr>
                <w:rFonts w:ascii="Times New Roman" w:eastAsia="Times New Roman" w:hAnsi="Times New Roman" w:cs="Times New Roman"/>
                <w:color w:val="000000"/>
                <w:sz w:val="24"/>
                <w:szCs w:val="24"/>
              </w:rPr>
            </w:pPr>
          </w:p>
        </w:tc>
        <w:tc>
          <w:tcPr>
            <w:tcW w:w="1258" w:type="dxa"/>
            <w:hideMark/>
          </w:tcPr>
          <w:p w14:paraId="7418DE44" w14:textId="77777777" w:rsidR="00376E7D" w:rsidRPr="00391207" w:rsidRDefault="00376E7D"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I £40,000 - £44,999</w:t>
            </w:r>
          </w:p>
        </w:tc>
        <w:tc>
          <w:tcPr>
            <w:tcW w:w="701" w:type="dxa"/>
            <w:noWrap/>
            <w:hideMark/>
          </w:tcPr>
          <w:p w14:paraId="7913D302"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4</w:t>
            </w:r>
          </w:p>
        </w:tc>
        <w:tc>
          <w:tcPr>
            <w:tcW w:w="963" w:type="dxa"/>
            <w:noWrap/>
            <w:hideMark/>
          </w:tcPr>
          <w:p w14:paraId="0892DAC2"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8</w:t>
            </w:r>
          </w:p>
        </w:tc>
        <w:tc>
          <w:tcPr>
            <w:tcW w:w="963" w:type="dxa"/>
            <w:noWrap/>
            <w:hideMark/>
          </w:tcPr>
          <w:p w14:paraId="04DEEEAA"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31</w:t>
            </w:r>
          </w:p>
        </w:tc>
        <w:tc>
          <w:tcPr>
            <w:tcW w:w="963" w:type="dxa"/>
            <w:noWrap/>
            <w:hideMark/>
          </w:tcPr>
          <w:p w14:paraId="7776AD59"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10</w:t>
            </w:r>
          </w:p>
        </w:tc>
        <w:tc>
          <w:tcPr>
            <w:tcW w:w="960" w:type="dxa"/>
            <w:noWrap/>
            <w:hideMark/>
          </w:tcPr>
          <w:p w14:paraId="1EE51503"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53</w:t>
            </w:r>
          </w:p>
        </w:tc>
      </w:tr>
      <w:tr w:rsidR="00376E7D" w:rsidRPr="00391207" w14:paraId="5FA272A0" w14:textId="77777777" w:rsidTr="008B3BDE">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257" w:type="dxa"/>
            <w:vMerge/>
            <w:hideMark/>
          </w:tcPr>
          <w:p w14:paraId="72BA7703" w14:textId="77777777" w:rsidR="00376E7D" w:rsidRPr="00391207" w:rsidRDefault="00376E7D" w:rsidP="000A2E36">
            <w:pPr>
              <w:spacing w:line="480" w:lineRule="auto"/>
              <w:rPr>
                <w:rFonts w:ascii="Times New Roman" w:eastAsia="Times New Roman" w:hAnsi="Times New Roman" w:cs="Times New Roman"/>
                <w:color w:val="000000"/>
                <w:sz w:val="24"/>
                <w:szCs w:val="24"/>
              </w:rPr>
            </w:pPr>
          </w:p>
        </w:tc>
        <w:tc>
          <w:tcPr>
            <w:tcW w:w="1258" w:type="dxa"/>
            <w:hideMark/>
          </w:tcPr>
          <w:p w14:paraId="7674B362" w14:textId="77777777" w:rsidR="00376E7D" w:rsidRPr="00391207" w:rsidRDefault="00376E7D"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J £45,000 - £49,999</w:t>
            </w:r>
          </w:p>
        </w:tc>
        <w:tc>
          <w:tcPr>
            <w:tcW w:w="701" w:type="dxa"/>
            <w:noWrap/>
            <w:hideMark/>
          </w:tcPr>
          <w:p w14:paraId="7612BC32"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w:t>
            </w:r>
          </w:p>
        </w:tc>
        <w:tc>
          <w:tcPr>
            <w:tcW w:w="963" w:type="dxa"/>
            <w:noWrap/>
            <w:hideMark/>
          </w:tcPr>
          <w:p w14:paraId="47CAC545"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19</w:t>
            </w:r>
          </w:p>
        </w:tc>
        <w:tc>
          <w:tcPr>
            <w:tcW w:w="963" w:type="dxa"/>
            <w:noWrap/>
            <w:hideMark/>
          </w:tcPr>
          <w:p w14:paraId="48FED2B0"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22</w:t>
            </w:r>
          </w:p>
        </w:tc>
        <w:tc>
          <w:tcPr>
            <w:tcW w:w="963" w:type="dxa"/>
            <w:noWrap/>
            <w:hideMark/>
          </w:tcPr>
          <w:p w14:paraId="72E595FB"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8</w:t>
            </w:r>
          </w:p>
        </w:tc>
        <w:tc>
          <w:tcPr>
            <w:tcW w:w="960" w:type="dxa"/>
            <w:noWrap/>
            <w:hideMark/>
          </w:tcPr>
          <w:p w14:paraId="6CB7BB89"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52</w:t>
            </w:r>
          </w:p>
        </w:tc>
      </w:tr>
      <w:tr w:rsidR="00376E7D" w:rsidRPr="00391207" w14:paraId="6BF1680E" w14:textId="77777777" w:rsidTr="008B3BDE">
        <w:trPr>
          <w:trHeight w:val="480"/>
          <w:jc w:val="center"/>
        </w:trPr>
        <w:tc>
          <w:tcPr>
            <w:cnfStyle w:val="001000000000" w:firstRow="0" w:lastRow="0" w:firstColumn="1" w:lastColumn="0" w:oddVBand="0" w:evenVBand="0" w:oddHBand="0" w:evenHBand="0" w:firstRowFirstColumn="0" w:firstRowLastColumn="0" w:lastRowFirstColumn="0" w:lastRowLastColumn="0"/>
            <w:tcW w:w="1257" w:type="dxa"/>
            <w:vMerge/>
            <w:hideMark/>
          </w:tcPr>
          <w:p w14:paraId="761447B4" w14:textId="77777777" w:rsidR="00376E7D" w:rsidRPr="00391207" w:rsidRDefault="00376E7D" w:rsidP="000A2E36">
            <w:pPr>
              <w:spacing w:line="480" w:lineRule="auto"/>
              <w:rPr>
                <w:rFonts w:ascii="Times New Roman" w:eastAsia="Times New Roman" w:hAnsi="Times New Roman" w:cs="Times New Roman"/>
                <w:color w:val="000000"/>
                <w:sz w:val="24"/>
                <w:szCs w:val="24"/>
              </w:rPr>
            </w:pPr>
          </w:p>
        </w:tc>
        <w:tc>
          <w:tcPr>
            <w:tcW w:w="1258" w:type="dxa"/>
            <w:hideMark/>
          </w:tcPr>
          <w:p w14:paraId="030FAD98" w14:textId="77777777" w:rsidR="00376E7D" w:rsidRPr="00391207" w:rsidRDefault="00376E7D"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K £50,000 - £59,999</w:t>
            </w:r>
          </w:p>
        </w:tc>
        <w:tc>
          <w:tcPr>
            <w:tcW w:w="701" w:type="dxa"/>
            <w:noWrap/>
            <w:hideMark/>
          </w:tcPr>
          <w:p w14:paraId="0B835499"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4</w:t>
            </w:r>
          </w:p>
        </w:tc>
        <w:tc>
          <w:tcPr>
            <w:tcW w:w="963" w:type="dxa"/>
            <w:noWrap/>
            <w:hideMark/>
          </w:tcPr>
          <w:p w14:paraId="485123C9"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21</w:t>
            </w:r>
          </w:p>
        </w:tc>
        <w:tc>
          <w:tcPr>
            <w:tcW w:w="963" w:type="dxa"/>
            <w:noWrap/>
            <w:hideMark/>
          </w:tcPr>
          <w:p w14:paraId="6BD6BB50"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21</w:t>
            </w:r>
          </w:p>
        </w:tc>
        <w:tc>
          <w:tcPr>
            <w:tcW w:w="963" w:type="dxa"/>
            <w:noWrap/>
            <w:hideMark/>
          </w:tcPr>
          <w:p w14:paraId="27DCCCCC"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11</w:t>
            </w:r>
          </w:p>
        </w:tc>
        <w:tc>
          <w:tcPr>
            <w:tcW w:w="960" w:type="dxa"/>
            <w:noWrap/>
            <w:hideMark/>
          </w:tcPr>
          <w:p w14:paraId="5CA974C4"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57</w:t>
            </w:r>
          </w:p>
        </w:tc>
      </w:tr>
      <w:tr w:rsidR="00376E7D" w:rsidRPr="00391207" w14:paraId="1D9744C8" w14:textId="77777777" w:rsidTr="008B3BDE">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257" w:type="dxa"/>
            <w:vMerge/>
            <w:hideMark/>
          </w:tcPr>
          <w:p w14:paraId="2731CDA9" w14:textId="77777777" w:rsidR="00376E7D" w:rsidRPr="00391207" w:rsidRDefault="00376E7D" w:rsidP="000A2E36">
            <w:pPr>
              <w:spacing w:line="480" w:lineRule="auto"/>
              <w:rPr>
                <w:rFonts w:ascii="Times New Roman" w:eastAsia="Times New Roman" w:hAnsi="Times New Roman" w:cs="Times New Roman"/>
                <w:color w:val="000000"/>
                <w:sz w:val="24"/>
                <w:szCs w:val="24"/>
              </w:rPr>
            </w:pPr>
          </w:p>
        </w:tc>
        <w:tc>
          <w:tcPr>
            <w:tcW w:w="1258" w:type="dxa"/>
            <w:hideMark/>
          </w:tcPr>
          <w:p w14:paraId="3CAB8783" w14:textId="77777777" w:rsidR="00376E7D" w:rsidRPr="00391207" w:rsidRDefault="00376E7D"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L £60,000 - £69,999</w:t>
            </w:r>
          </w:p>
        </w:tc>
        <w:tc>
          <w:tcPr>
            <w:tcW w:w="701" w:type="dxa"/>
            <w:noWrap/>
            <w:hideMark/>
          </w:tcPr>
          <w:p w14:paraId="1B7A927F"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4</w:t>
            </w:r>
          </w:p>
        </w:tc>
        <w:tc>
          <w:tcPr>
            <w:tcW w:w="963" w:type="dxa"/>
            <w:noWrap/>
            <w:hideMark/>
          </w:tcPr>
          <w:p w14:paraId="4852C6D0"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15</w:t>
            </w:r>
          </w:p>
        </w:tc>
        <w:tc>
          <w:tcPr>
            <w:tcW w:w="963" w:type="dxa"/>
            <w:noWrap/>
            <w:hideMark/>
          </w:tcPr>
          <w:p w14:paraId="2AA1E7A4"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34</w:t>
            </w:r>
          </w:p>
        </w:tc>
        <w:tc>
          <w:tcPr>
            <w:tcW w:w="963" w:type="dxa"/>
            <w:noWrap/>
            <w:hideMark/>
          </w:tcPr>
          <w:p w14:paraId="20403C65"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7</w:t>
            </w:r>
          </w:p>
        </w:tc>
        <w:tc>
          <w:tcPr>
            <w:tcW w:w="960" w:type="dxa"/>
            <w:noWrap/>
            <w:hideMark/>
          </w:tcPr>
          <w:p w14:paraId="5B59C2E9"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60</w:t>
            </w:r>
          </w:p>
        </w:tc>
      </w:tr>
      <w:tr w:rsidR="00376E7D" w:rsidRPr="00391207" w14:paraId="540BD185" w14:textId="77777777" w:rsidTr="008B3BDE">
        <w:trPr>
          <w:trHeight w:val="480"/>
          <w:jc w:val="center"/>
        </w:trPr>
        <w:tc>
          <w:tcPr>
            <w:cnfStyle w:val="001000000000" w:firstRow="0" w:lastRow="0" w:firstColumn="1" w:lastColumn="0" w:oddVBand="0" w:evenVBand="0" w:oddHBand="0" w:evenHBand="0" w:firstRowFirstColumn="0" w:firstRowLastColumn="0" w:lastRowFirstColumn="0" w:lastRowLastColumn="0"/>
            <w:tcW w:w="1257" w:type="dxa"/>
            <w:vMerge/>
            <w:hideMark/>
          </w:tcPr>
          <w:p w14:paraId="4F3661DB" w14:textId="77777777" w:rsidR="00376E7D" w:rsidRPr="00391207" w:rsidRDefault="00376E7D" w:rsidP="000A2E36">
            <w:pPr>
              <w:spacing w:line="480" w:lineRule="auto"/>
              <w:rPr>
                <w:rFonts w:ascii="Times New Roman" w:eastAsia="Times New Roman" w:hAnsi="Times New Roman" w:cs="Times New Roman"/>
                <w:color w:val="000000"/>
                <w:sz w:val="24"/>
                <w:szCs w:val="24"/>
              </w:rPr>
            </w:pPr>
          </w:p>
        </w:tc>
        <w:tc>
          <w:tcPr>
            <w:tcW w:w="1258" w:type="dxa"/>
            <w:hideMark/>
          </w:tcPr>
          <w:p w14:paraId="7454E70C" w14:textId="77777777" w:rsidR="00376E7D" w:rsidRPr="00391207" w:rsidRDefault="00376E7D" w:rsidP="000A2E3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M £70,000 - £79,999</w:t>
            </w:r>
          </w:p>
        </w:tc>
        <w:tc>
          <w:tcPr>
            <w:tcW w:w="701" w:type="dxa"/>
            <w:noWrap/>
            <w:hideMark/>
          </w:tcPr>
          <w:p w14:paraId="7830A50D"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4</w:t>
            </w:r>
          </w:p>
        </w:tc>
        <w:tc>
          <w:tcPr>
            <w:tcW w:w="963" w:type="dxa"/>
            <w:noWrap/>
            <w:hideMark/>
          </w:tcPr>
          <w:p w14:paraId="7D38E0ED"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10</w:t>
            </w:r>
          </w:p>
        </w:tc>
        <w:tc>
          <w:tcPr>
            <w:tcW w:w="963" w:type="dxa"/>
            <w:noWrap/>
            <w:hideMark/>
          </w:tcPr>
          <w:p w14:paraId="0A19D205"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35</w:t>
            </w:r>
          </w:p>
        </w:tc>
        <w:tc>
          <w:tcPr>
            <w:tcW w:w="963" w:type="dxa"/>
            <w:noWrap/>
            <w:hideMark/>
          </w:tcPr>
          <w:p w14:paraId="1B9ACF47"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7</w:t>
            </w:r>
          </w:p>
        </w:tc>
        <w:tc>
          <w:tcPr>
            <w:tcW w:w="960" w:type="dxa"/>
            <w:noWrap/>
            <w:hideMark/>
          </w:tcPr>
          <w:p w14:paraId="1D0E98E2"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56</w:t>
            </w:r>
          </w:p>
        </w:tc>
      </w:tr>
      <w:tr w:rsidR="00376E7D" w:rsidRPr="00391207" w14:paraId="5FB63FCF" w14:textId="77777777" w:rsidTr="008B3BDE">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257" w:type="dxa"/>
            <w:vMerge/>
            <w:hideMark/>
          </w:tcPr>
          <w:p w14:paraId="6471B6BA" w14:textId="77777777" w:rsidR="00376E7D" w:rsidRPr="00391207" w:rsidRDefault="00376E7D" w:rsidP="000A2E36">
            <w:pPr>
              <w:spacing w:line="480" w:lineRule="auto"/>
              <w:rPr>
                <w:rFonts w:ascii="Times New Roman" w:eastAsia="Times New Roman" w:hAnsi="Times New Roman" w:cs="Times New Roman"/>
                <w:color w:val="000000"/>
                <w:sz w:val="24"/>
                <w:szCs w:val="24"/>
              </w:rPr>
            </w:pPr>
          </w:p>
        </w:tc>
        <w:tc>
          <w:tcPr>
            <w:tcW w:w="1258" w:type="dxa"/>
            <w:hideMark/>
          </w:tcPr>
          <w:p w14:paraId="797BEE7C" w14:textId="77777777" w:rsidR="00376E7D" w:rsidRPr="00391207" w:rsidRDefault="00376E7D" w:rsidP="000A2E3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N £80,000 or over</w:t>
            </w:r>
          </w:p>
        </w:tc>
        <w:tc>
          <w:tcPr>
            <w:tcW w:w="701" w:type="dxa"/>
            <w:noWrap/>
            <w:hideMark/>
          </w:tcPr>
          <w:p w14:paraId="227900FC"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6</w:t>
            </w:r>
          </w:p>
        </w:tc>
        <w:tc>
          <w:tcPr>
            <w:tcW w:w="963" w:type="dxa"/>
            <w:noWrap/>
            <w:hideMark/>
          </w:tcPr>
          <w:p w14:paraId="172799CB"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41</w:t>
            </w:r>
          </w:p>
        </w:tc>
        <w:tc>
          <w:tcPr>
            <w:tcW w:w="963" w:type="dxa"/>
            <w:noWrap/>
            <w:hideMark/>
          </w:tcPr>
          <w:p w14:paraId="6543B6D8"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70</w:t>
            </w:r>
          </w:p>
        </w:tc>
        <w:tc>
          <w:tcPr>
            <w:tcW w:w="963" w:type="dxa"/>
            <w:noWrap/>
            <w:hideMark/>
          </w:tcPr>
          <w:p w14:paraId="71CA5BDA"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19</w:t>
            </w:r>
          </w:p>
        </w:tc>
        <w:tc>
          <w:tcPr>
            <w:tcW w:w="960" w:type="dxa"/>
            <w:noWrap/>
            <w:hideMark/>
          </w:tcPr>
          <w:p w14:paraId="7B329CCC" w14:textId="77777777" w:rsidR="00376E7D" w:rsidRPr="00391207" w:rsidRDefault="00376E7D" w:rsidP="000A2E3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136</w:t>
            </w:r>
          </w:p>
        </w:tc>
      </w:tr>
      <w:tr w:rsidR="00376E7D" w:rsidRPr="00391207" w14:paraId="4EADEB53" w14:textId="77777777" w:rsidTr="008B3BDE">
        <w:trPr>
          <w:trHeight w:val="495"/>
          <w:jc w:val="center"/>
        </w:trPr>
        <w:tc>
          <w:tcPr>
            <w:cnfStyle w:val="001000000000" w:firstRow="0" w:lastRow="0" w:firstColumn="1" w:lastColumn="0" w:oddVBand="0" w:evenVBand="0" w:oddHBand="0" w:evenHBand="0" w:firstRowFirstColumn="0" w:firstRowLastColumn="0" w:lastRowFirstColumn="0" w:lastRowLastColumn="0"/>
            <w:tcW w:w="2515" w:type="dxa"/>
            <w:gridSpan w:val="2"/>
            <w:hideMark/>
          </w:tcPr>
          <w:p w14:paraId="6DBAD238" w14:textId="77777777" w:rsidR="00376E7D" w:rsidRPr="00391207" w:rsidRDefault="00376E7D" w:rsidP="000A2E36">
            <w:pPr>
              <w:spacing w:line="480" w:lineRule="auto"/>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Total</w:t>
            </w:r>
          </w:p>
        </w:tc>
        <w:tc>
          <w:tcPr>
            <w:tcW w:w="701" w:type="dxa"/>
            <w:noWrap/>
            <w:hideMark/>
          </w:tcPr>
          <w:p w14:paraId="331FAF5F"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64</w:t>
            </w:r>
          </w:p>
        </w:tc>
        <w:tc>
          <w:tcPr>
            <w:tcW w:w="963" w:type="dxa"/>
            <w:noWrap/>
            <w:hideMark/>
          </w:tcPr>
          <w:p w14:paraId="6197A142"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184</w:t>
            </w:r>
          </w:p>
        </w:tc>
        <w:tc>
          <w:tcPr>
            <w:tcW w:w="963" w:type="dxa"/>
            <w:noWrap/>
            <w:hideMark/>
          </w:tcPr>
          <w:p w14:paraId="11124156"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372</w:t>
            </w:r>
          </w:p>
        </w:tc>
        <w:tc>
          <w:tcPr>
            <w:tcW w:w="963" w:type="dxa"/>
            <w:noWrap/>
            <w:hideMark/>
          </w:tcPr>
          <w:p w14:paraId="04614A5A"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113</w:t>
            </w:r>
          </w:p>
        </w:tc>
        <w:tc>
          <w:tcPr>
            <w:tcW w:w="960" w:type="dxa"/>
            <w:noWrap/>
            <w:hideMark/>
          </w:tcPr>
          <w:p w14:paraId="236E0476" w14:textId="77777777" w:rsidR="00376E7D" w:rsidRPr="00391207" w:rsidRDefault="00376E7D" w:rsidP="000A2E3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733</w:t>
            </w:r>
          </w:p>
        </w:tc>
      </w:tr>
    </w:tbl>
    <w:p w14:paraId="04AD218E" w14:textId="77777777" w:rsidR="00376E7D" w:rsidRPr="00391207" w:rsidRDefault="00376E7D" w:rsidP="000A2E36">
      <w:pPr>
        <w:spacing w:line="480" w:lineRule="auto"/>
        <w:ind w:firstLine="720"/>
        <w:rPr>
          <w:rFonts w:ascii="Times New Roman" w:hAnsi="Times New Roman" w:cs="Times New Roman"/>
          <w:sz w:val="24"/>
          <w:szCs w:val="24"/>
        </w:rPr>
      </w:pPr>
    </w:p>
    <w:p w14:paraId="50E11ADB" w14:textId="77777777" w:rsidR="00F806AF" w:rsidRPr="00391207" w:rsidRDefault="00F806AF" w:rsidP="000A2E36">
      <w:pPr>
        <w:spacing w:line="480" w:lineRule="auto"/>
        <w:rPr>
          <w:rFonts w:ascii="Times New Roman" w:hAnsi="Times New Roman" w:cs="Times New Roman"/>
          <w:sz w:val="24"/>
          <w:szCs w:val="24"/>
        </w:rPr>
      </w:pPr>
      <w:r w:rsidRPr="00391207">
        <w:rPr>
          <w:rFonts w:ascii="Times New Roman" w:hAnsi="Times New Roman" w:cs="Times New Roman"/>
          <w:b/>
          <w:bCs/>
          <w:sz w:val="24"/>
          <w:szCs w:val="24"/>
        </w:rPr>
        <w:t>Task 4: Distribution of Composite Scale Variables</w:t>
      </w:r>
    </w:p>
    <w:p w14:paraId="51A1B2C6" w14:textId="092BB768" w:rsidR="00DA4F3A" w:rsidRPr="00391207" w:rsidRDefault="00F806AF" w:rsidP="000A2E36">
      <w:pPr>
        <w:spacing w:line="480" w:lineRule="auto"/>
        <w:ind w:firstLine="720"/>
        <w:rPr>
          <w:rFonts w:ascii="Times New Roman" w:hAnsi="Times New Roman" w:cs="Times New Roman"/>
          <w:sz w:val="24"/>
          <w:szCs w:val="24"/>
        </w:rPr>
      </w:pPr>
      <w:r w:rsidRPr="00391207">
        <w:rPr>
          <w:rFonts w:ascii="Times New Roman" w:hAnsi="Times New Roman" w:cs="Times New Roman"/>
          <w:sz w:val="24"/>
          <w:szCs w:val="24"/>
        </w:rPr>
        <w:t xml:space="preserve">The Worry scale measuring concerns about victimization shows a mean of -.03, quite close to the scale midpoint of 0. The small negative mean indicates worries leaning slightly lower. However, the standard deviation of .99 demonstrates a wide spread of responses. The Confidence in police scale has a similar mean of -.02 and standard deviation of 1.0. The averages near the midpoint and large standard deviations show most responses are clustered towards the </w:t>
      </w:r>
      <w:r w:rsidRPr="00391207">
        <w:rPr>
          <w:rFonts w:ascii="Times New Roman" w:hAnsi="Times New Roman" w:cs="Times New Roman"/>
          <w:sz w:val="24"/>
          <w:szCs w:val="24"/>
        </w:rPr>
        <w:lastRenderedPageBreak/>
        <w:t>center of both scales, with fewer very high or low values. This represents a relatively normal distribution. However, the Confidence scale shows a slightly positive skew based on a higher maximum value. Overall, most respondents report moderate worry and confidence levels, with less polarization at the scale extremes. Comparing the means shows worries about victimization are aligned with but slightly lower than police confidence on average.</w:t>
      </w:r>
    </w:p>
    <w:p w14:paraId="6D27D3C4" w14:textId="03BE1C9E" w:rsidR="00F806AF" w:rsidRPr="00391207" w:rsidRDefault="00555424" w:rsidP="00217E30">
      <w:pPr>
        <w:pStyle w:val="Heading1"/>
        <w:rPr>
          <w:rFonts w:cs="Times New Roman"/>
          <w:szCs w:val="24"/>
        </w:rPr>
      </w:pPr>
      <w:r w:rsidRPr="00391207">
        <w:rPr>
          <w:rFonts w:cs="Times New Roman"/>
          <w:szCs w:val="24"/>
        </w:rPr>
        <w:t>Conclusion</w:t>
      </w:r>
    </w:p>
    <w:p w14:paraId="2E433E2B" w14:textId="716B0D60" w:rsidR="00555424" w:rsidRPr="00391207" w:rsidRDefault="00555424" w:rsidP="000A2E36">
      <w:pPr>
        <w:spacing w:line="480" w:lineRule="auto"/>
        <w:ind w:firstLine="720"/>
        <w:rPr>
          <w:rFonts w:ascii="Times New Roman" w:hAnsi="Times New Roman" w:cs="Times New Roman"/>
          <w:sz w:val="24"/>
          <w:szCs w:val="24"/>
        </w:rPr>
      </w:pPr>
      <w:r w:rsidRPr="00391207">
        <w:rPr>
          <w:rFonts w:ascii="Times New Roman" w:hAnsi="Times New Roman" w:cs="Times New Roman"/>
          <w:sz w:val="24"/>
          <w:szCs w:val="24"/>
        </w:rPr>
        <w:t xml:space="preserve">In conclusion, this quantitative analysis of the 2017/2018 Crime Survey for England and Wales provided valuable insights into public perceptions of crime and policing. </w:t>
      </w:r>
      <w:r w:rsidR="0028134E" w:rsidRPr="0028134E">
        <w:rPr>
          <w:rFonts w:ascii="Times New Roman" w:hAnsi="Times New Roman" w:cs="Times New Roman"/>
          <w:sz w:val="24"/>
          <w:szCs w:val="24"/>
        </w:rPr>
        <w:t xml:space="preserve">The frequency distributions showed the demographic makeup, and the cross-tabulations showed that the groups' anxieties and concerns about safety differed. Average levels of worry and confidence were found to be positive when composite scale variables were examined. </w:t>
      </w:r>
      <w:r w:rsidRPr="00391207">
        <w:rPr>
          <w:rFonts w:ascii="Times New Roman" w:hAnsi="Times New Roman" w:cs="Times New Roman"/>
          <w:sz w:val="24"/>
          <w:szCs w:val="24"/>
        </w:rPr>
        <w:t>The analysis techniques enabled a data-driven exploration of crime attitudes and experiences in the</w:t>
      </w:r>
      <w:r w:rsidR="008346C9">
        <w:rPr>
          <w:rFonts w:ascii="Times New Roman" w:hAnsi="Times New Roman" w:cs="Times New Roman"/>
          <w:sz w:val="24"/>
          <w:szCs w:val="24"/>
        </w:rPr>
        <w:t xml:space="preserve"> total </w:t>
      </w:r>
      <w:r w:rsidRPr="00391207">
        <w:rPr>
          <w:rFonts w:ascii="Times New Roman" w:hAnsi="Times New Roman" w:cs="Times New Roman"/>
          <w:sz w:val="24"/>
          <w:szCs w:val="24"/>
        </w:rPr>
        <w:t>population.</w:t>
      </w:r>
      <w:r w:rsidR="00495EE4">
        <w:rPr>
          <w:rFonts w:ascii="Times New Roman" w:hAnsi="Times New Roman" w:cs="Times New Roman"/>
          <w:sz w:val="24"/>
          <w:szCs w:val="24"/>
        </w:rPr>
        <w:t xml:space="preserve"> Q</w:t>
      </w:r>
      <w:r w:rsidRPr="00391207">
        <w:rPr>
          <w:rFonts w:ascii="Times New Roman" w:hAnsi="Times New Roman" w:cs="Times New Roman"/>
          <w:sz w:val="24"/>
          <w:szCs w:val="24"/>
        </w:rPr>
        <w:t xml:space="preserve">ualitative research </w:t>
      </w:r>
      <w:r w:rsidR="006D4F7B">
        <w:rPr>
          <w:rFonts w:ascii="Times New Roman" w:hAnsi="Times New Roman" w:cs="Times New Roman"/>
          <w:sz w:val="24"/>
          <w:szCs w:val="24"/>
        </w:rPr>
        <w:t>can</w:t>
      </w:r>
      <w:r w:rsidRPr="00391207">
        <w:rPr>
          <w:rFonts w:ascii="Times New Roman" w:hAnsi="Times New Roman" w:cs="Times New Roman"/>
          <w:sz w:val="24"/>
          <w:szCs w:val="24"/>
        </w:rPr>
        <w:t xml:space="preserve"> complement th</w:t>
      </w:r>
      <w:r w:rsidR="00611EA2">
        <w:rPr>
          <w:rFonts w:ascii="Times New Roman" w:hAnsi="Times New Roman" w:cs="Times New Roman"/>
          <w:sz w:val="24"/>
          <w:szCs w:val="24"/>
        </w:rPr>
        <w:t>e</w:t>
      </w:r>
      <w:r w:rsidRPr="00391207">
        <w:rPr>
          <w:rFonts w:ascii="Times New Roman" w:hAnsi="Times New Roman" w:cs="Times New Roman"/>
          <w:sz w:val="24"/>
          <w:szCs w:val="24"/>
        </w:rPr>
        <w:t xml:space="preserve"> quantitative survey analysis by providing more in-depth understanding of people's perspectives. </w:t>
      </w:r>
      <w:r w:rsidR="00F55FD5">
        <w:rPr>
          <w:rFonts w:ascii="Times New Roman" w:hAnsi="Times New Roman" w:cs="Times New Roman"/>
          <w:sz w:val="24"/>
          <w:szCs w:val="24"/>
        </w:rPr>
        <w:t>Generally</w:t>
      </w:r>
      <w:r w:rsidRPr="00391207">
        <w:rPr>
          <w:rFonts w:ascii="Times New Roman" w:hAnsi="Times New Roman" w:cs="Times New Roman"/>
          <w:sz w:val="24"/>
          <w:szCs w:val="24"/>
        </w:rPr>
        <w:t>, combining quantitative descriptives with qualitative inquiry can build a comprehensive evidence base to inform polic</w:t>
      </w:r>
      <w:r w:rsidR="00FE3915">
        <w:rPr>
          <w:rFonts w:ascii="Times New Roman" w:hAnsi="Times New Roman" w:cs="Times New Roman"/>
          <w:sz w:val="24"/>
          <w:szCs w:val="24"/>
        </w:rPr>
        <w:t>e</w:t>
      </w:r>
      <w:r w:rsidRPr="00391207">
        <w:rPr>
          <w:rFonts w:ascii="Times New Roman" w:hAnsi="Times New Roman" w:cs="Times New Roman"/>
          <w:sz w:val="24"/>
          <w:szCs w:val="24"/>
        </w:rPr>
        <w:t xml:space="preserve"> policy and improve community relations</w:t>
      </w:r>
      <w:r w:rsidR="00FE3915">
        <w:rPr>
          <w:rFonts w:ascii="Times New Roman" w:hAnsi="Times New Roman" w:cs="Times New Roman"/>
          <w:sz w:val="24"/>
          <w:szCs w:val="24"/>
        </w:rPr>
        <w:t xml:space="preserve"> and also help reduce crime rates</w:t>
      </w:r>
      <w:r w:rsidRPr="00391207">
        <w:rPr>
          <w:rFonts w:ascii="Times New Roman" w:hAnsi="Times New Roman" w:cs="Times New Roman"/>
          <w:sz w:val="24"/>
          <w:szCs w:val="24"/>
        </w:rPr>
        <w:t>. This research portfolio demonstrated the utili</w:t>
      </w:r>
      <w:r w:rsidR="0042753B">
        <w:rPr>
          <w:rFonts w:ascii="Times New Roman" w:hAnsi="Times New Roman" w:cs="Times New Roman"/>
          <w:sz w:val="24"/>
          <w:szCs w:val="24"/>
        </w:rPr>
        <w:t>zation</w:t>
      </w:r>
      <w:r w:rsidRPr="00391207">
        <w:rPr>
          <w:rFonts w:ascii="Times New Roman" w:hAnsi="Times New Roman" w:cs="Times New Roman"/>
          <w:sz w:val="24"/>
          <w:szCs w:val="24"/>
        </w:rPr>
        <w:t xml:space="preserve"> of univariate, bivariate and descriptive statistical analysis </w:t>
      </w:r>
      <w:r w:rsidR="0042753B">
        <w:rPr>
          <w:rFonts w:ascii="Times New Roman" w:hAnsi="Times New Roman" w:cs="Times New Roman"/>
          <w:sz w:val="24"/>
          <w:szCs w:val="24"/>
        </w:rPr>
        <w:t>and</w:t>
      </w:r>
      <w:r w:rsidRPr="00391207">
        <w:rPr>
          <w:rFonts w:ascii="Times New Roman" w:hAnsi="Times New Roman" w:cs="Times New Roman"/>
          <w:sz w:val="24"/>
          <w:szCs w:val="24"/>
        </w:rPr>
        <w:t xml:space="preserve"> summarizing</w:t>
      </w:r>
      <w:r w:rsidR="0042753B">
        <w:rPr>
          <w:rFonts w:ascii="Times New Roman" w:hAnsi="Times New Roman" w:cs="Times New Roman"/>
          <w:sz w:val="24"/>
          <w:szCs w:val="24"/>
        </w:rPr>
        <w:t xml:space="preserve"> </w:t>
      </w:r>
      <w:r w:rsidR="0042753B" w:rsidRPr="00391207">
        <w:rPr>
          <w:rFonts w:ascii="Times New Roman" w:hAnsi="Times New Roman" w:cs="Times New Roman"/>
          <w:sz w:val="24"/>
          <w:szCs w:val="24"/>
        </w:rPr>
        <w:t>of the 2017–2018 Crime Survey for England and Wales dataset</w:t>
      </w:r>
      <w:r w:rsidRPr="00391207">
        <w:rPr>
          <w:rFonts w:ascii="Times New Roman" w:hAnsi="Times New Roman" w:cs="Times New Roman"/>
          <w:sz w:val="24"/>
          <w:szCs w:val="24"/>
        </w:rPr>
        <w:t>.</w:t>
      </w:r>
    </w:p>
    <w:p w14:paraId="363224A8" w14:textId="3CB51D0B" w:rsidR="00B4764B" w:rsidRPr="00391207" w:rsidRDefault="00B4764B" w:rsidP="000A2E36">
      <w:pPr>
        <w:spacing w:line="480" w:lineRule="auto"/>
        <w:ind w:firstLine="720"/>
        <w:rPr>
          <w:rFonts w:ascii="Times New Roman" w:hAnsi="Times New Roman" w:cs="Times New Roman"/>
          <w:sz w:val="24"/>
          <w:szCs w:val="24"/>
        </w:rPr>
      </w:pPr>
    </w:p>
    <w:p w14:paraId="0B280AF0" w14:textId="1A3847CC" w:rsidR="00B4764B" w:rsidRPr="00391207" w:rsidRDefault="00B4764B" w:rsidP="000A2E36">
      <w:pPr>
        <w:spacing w:line="480" w:lineRule="auto"/>
        <w:ind w:firstLine="720"/>
        <w:rPr>
          <w:rFonts w:ascii="Times New Roman" w:hAnsi="Times New Roman" w:cs="Times New Roman"/>
          <w:sz w:val="24"/>
          <w:szCs w:val="24"/>
        </w:rPr>
      </w:pPr>
    </w:p>
    <w:p w14:paraId="26E92DBE" w14:textId="77777777" w:rsidR="00B4764B" w:rsidRPr="00391207" w:rsidRDefault="00B4764B" w:rsidP="000A2E36">
      <w:pPr>
        <w:spacing w:line="480" w:lineRule="auto"/>
        <w:ind w:firstLine="720"/>
        <w:rPr>
          <w:rFonts w:ascii="Times New Roman" w:hAnsi="Times New Roman" w:cs="Times New Roman"/>
          <w:sz w:val="24"/>
          <w:szCs w:val="24"/>
        </w:rPr>
      </w:pPr>
    </w:p>
    <w:p w14:paraId="7D15069D" w14:textId="0A63677C" w:rsidR="0075453D" w:rsidRPr="0075453D" w:rsidRDefault="00217E30" w:rsidP="0075453D">
      <w:pPr>
        <w:pStyle w:val="Heading1"/>
        <w:rPr>
          <w:rFonts w:cs="Times New Roman"/>
          <w:szCs w:val="24"/>
        </w:rPr>
      </w:pPr>
      <w:r w:rsidRPr="00391207">
        <w:rPr>
          <w:rFonts w:cs="Times New Roman"/>
          <w:szCs w:val="24"/>
        </w:rPr>
        <w:lastRenderedPageBreak/>
        <w:t>List of r</w:t>
      </w:r>
      <w:r w:rsidR="00B4764B" w:rsidRPr="00391207">
        <w:rPr>
          <w:rFonts w:cs="Times New Roman"/>
          <w:szCs w:val="24"/>
        </w:rPr>
        <w:t>eferences</w:t>
      </w:r>
      <w:r w:rsidRPr="00391207">
        <w:rPr>
          <w:rFonts w:cs="Times New Roman"/>
          <w:szCs w:val="24"/>
        </w:rPr>
        <w:t>:</w:t>
      </w:r>
    </w:p>
    <w:p w14:paraId="2AABA2F5" w14:textId="77777777" w:rsidR="0075453D" w:rsidRDefault="0075453D" w:rsidP="00480EF2">
      <w:pPr>
        <w:spacing w:before="100" w:beforeAutospacing="1" w:after="100" w:afterAutospacing="1" w:line="240" w:lineRule="auto"/>
        <w:rPr>
          <w:rFonts w:ascii="Times New Roman" w:eastAsia="Times New Roman" w:hAnsi="Times New Roman" w:cs="Times New Roman"/>
          <w:color w:val="000000"/>
          <w:sz w:val="24"/>
          <w:szCs w:val="24"/>
        </w:rPr>
      </w:pPr>
      <w:r w:rsidRPr="00FE316C">
        <w:rPr>
          <w:rFonts w:ascii="Times New Roman" w:eastAsia="Times New Roman" w:hAnsi="Times New Roman" w:cs="Times New Roman"/>
          <w:color w:val="000000"/>
          <w:sz w:val="24"/>
          <w:szCs w:val="24"/>
        </w:rPr>
        <w:t xml:space="preserve">Al-Anizy, M.S. (2022) </w:t>
      </w:r>
      <w:r w:rsidRPr="00FE316C">
        <w:rPr>
          <w:rFonts w:ascii="Times New Roman" w:eastAsia="Times New Roman" w:hAnsi="Times New Roman" w:cs="Times New Roman"/>
          <w:i/>
          <w:iCs/>
          <w:color w:val="000000"/>
          <w:sz w:val="24"/>
          <w:szCs w:val="24"/>
        </w:rPr>
        <w:t>Effects of family’s economic situation on crime rates</w:t>
      </w:r>
      <w:r w:rsidRPr="00FE316C">
        <w:rPr>
          <w:rFonts w:ascii="Times New Roman" w:eastAsia="Times New Roman" w:hAnsi="Times New Roman" w:cs="Times New Roman"/>
          <w:color w:val="000000"/>
          <w:sz w:val="24"/>
          <w:szCs w:val="24"/>
        </w:rPr>
        <w:t xml:space="preserve">. </w:t>
      </w:r>
      <w:hyperlink r:id="rId11" w:history="1">
        <w:r w:rsidRPr="00FE316C">
          <w:rPr>
            <w:rStyle w:val="Hyperlink"/>
            <w:rFonts w:ascii="Times New Roman" w:eastAsia="Times New Roman" w:hAnsi="Times New Roman" w:cs="Times New Roman"/>
            <w:sz w:val="24"/>
            <w:szCs w:val="24"/>
          </w:rPr>
          <w:t>https://resmilitaris.net/menu-script/index.php/resmilitaris/article/view/1319</w:t>
        </w:r>
      </w:hyperlink>
      <w:r w:rsidRPr="00FE316C">
        <w:rPr>
          <w:rFonts w:ascii="Times New Roman" w:eastAsia="Times New Roman" w:hAnsi="Times New Roman" w:cs="Times New Roman"/>
          <w:color w:val="000000"/>
          <w:sz w:val="24"/>
          <w:szCs w:val="24"/>
        </w:rPr>
        <w:t>.</w:t>
      </w:r>
    </w:p>
    <w:p w14:paraId="15975677" w14:textId="77777777" w:rsidR="0075453D" w:rsidRDefault="0075453D" w:rsidP="00480EF2">
      <w:pPr>
        <w:spacing w:after="0" w:line="240" w:lineRule="auto"/>
        <w:rPr>
          <w:rStyle w:val="Hyperlink"/>
          <w:rFonts w:ascii="Times New Roman" w:eastAsia="Times New Roman" w:hAnsi="Times New Roman" w:cs="Times New Roman"/>
          <w:sz w:val="24"/>
          <w:szCs w:val="24"/>
        </w:rPr>
      </w:pPr>
      <w:r w:rsidRPr="00391207">
        <w:rPr>
          <w:rFonts w:ascii="Times New Roman" w:eastAsia="Times New Roman" w:hAnsi="Times New Roman" w:cs="Times New Roman"/>
          <w:color w:val="000000"/>
          <w:sz w:val="24"/>
          <w:szCs w:val="24"/>
        </w:rPr>
        <w:t>Almquist, Ylva B, Kvart, Signild and Brännström, Lars (2020). A practical guide to quantitative methods with SPSS. </w:t>
      </w:r>
      <w:r w:rsidRPr="00391207">
        <w:rPr>
          <w:rFonts w:ascii="Times New Roman" w:eastAsia="Times New Roman" w:hAnsi="Times New Roman" w:cs="Times New Roman"/>
          <w:i/>
          <w:iCs/>
          <w:color w:val="000000"/>
          <w:sz w:val="24"/>
          <w:szCs w:val="24"/>
        </w:rPr>
        <w:t>figshare</w:t>
      </w:r>
      <w:r w:rsidRPr="00391207">
        <w:rPr>
          <w:rFonts w:ascii="Times New Roman" w:eastAsia="Times New Roman" w:hAnsi="Times New Roman" w:cs="Times New Roman"/>
          <w:color w:val="000000"/>
          <w:sz w:val="24"/>
          <w:szCs w:val="24"/>
        </w:rPr>
        <w:t xml:space="preserve">. [online] DOI: </w:t>
      </w:r>
      <w:hyperlink r:id="rId12" w:history="1">
        <w:r w:rsidRPr="00391207">
          <w:rPr>
            <w:rStyle w:val="Hyperlink"/>
            <w:rFonts w:ascii="Times New Roman" w:eastAsia="Times New Roman" w:hAnsi="Times New Roman" w:cs="Times New Roman"/>
            <w:sz w:val="24"/>
            <w:szCs w:val="24"/>
          </w:rPr>
          <w:t>https://doi.org/10.17045/sthlmuni.10321829.v2</w:t>
        </w:r>
      </w:hyperlink>
    </w:p>
    <w:p w14:paraId="69DCD551" w14:textId="77777777" w:rsidR="0075453D" w:rsidRDefault="0075453D" w:rsidP="00480EF2">
      <w:pPr>
        <w:spacing w:after="0" w:line="240" w:lineRule="auto"/>
        <w:rPr>
          <w:rFonts w:ascii="Times New Roman" w:eastAsia="Times New Roman" w:hAnsi="Times New Roman" w:cs="Times New Roman"/>
          <w:color w:val="000000"/>
          <w:sz w:val="24"/>
          <w:szCs w:val="24"/>
        </w:rPr>
      </w:pPr>
      <w:r w:rsidRPr="004C3F07">
        <w:rPr>
          <w:rFonts w:ascii="Times New Roman" w:eastAsia="Times New Roman" w:hAnsi="Times New Roman" w:cs="Times New Roman"/>
          <w:color w:val="000000"/>
          <w:sz w:val="24"/>
          <w:szCs w:val="24"/>
        </w:rPr>
        <w:t>Almquist, Ylva B, Kvart, Signild and Brännström, Lars (2020). A practical guide to quantitative methods with SPSS. </w:t>
      </w:r>
      <w:r w:rsidRPr="004C3F07">
        <w:rPr>
          <w:rFonts w:ascii="Times New Roman" w:eastAsia="Times New Roman" w:hAnsi="Times New Roman" w:cs="Times New Roman"/>
          <w:i/>
          <w:iCs/>
          <w:color w:val="000000"/>
          <w:sz w:val="24"/>
          <w:szCs w:val="24"/>
        </w:rPr>
        <w:t>figshare</w:t>
      </w:r>
      <w:r w:rsidRPr="004C3F07">
        <w:rPr>
          <w:rFonts w:ascii="Times New Roman" w:eastAsia="Times New Roman" w:hAnsi="Times New Roman" w:cs="Times New Roman"/>
          <w:color w:val="000000"/>
          <w:sz w:val="24"/>
          <w:szCs w:val="24"/>
        </w:rPr>
        <w:t xml:space="preserve">. [online] </w:t>
      </w:r>
      <w:r w:rsidRPr="00391207">
        <w:rPr>
          <w:rFonts w:ascii="Times New Roman" w:eastAsia="Times New Roman" w:hAnsi="Times New Roman" w:cs="Times New Roman"/>
          <w:color w:val="000000"/>
          <w:sz w:val="24"/>
          <w:szCs w:val="24"/>
        </w:rPr>
        <w:t>Doi</w:t>
      </w:r>
      <w:r w:rsidRPr="004C3F07">
        <w:rPr>
          <w:rFonts w:ascii="Times New Roman" w:eastAsia="Times New Roman" w:hAnsi="Times New Roman" w:cs="Times New Roman"/>
          <w:color w:val="000000"/>
          <w:sz w:val="24"/>
          <w:szCs w:val="24"/>
        </w:rPr>
        <w:t>:</w:t>
      </w:r>
      <w:r w:rsidRPr="00391207">
        <w:rPr>
          <w:rFonts w:ascii="Times New Roman" w:eastAsia="Times New Roman" w:hAnsi="Times New Roman" w:cs="Times New Roman"/>
          <w:color w:val="000000"/>
          <w:sz w:val="24"/>
          <w:szCs w:val="24"/>
        </w:rPr>
        <w:t xml:space="preserve"> </w:t>
      </w:r>
      <w:hyperlink r:id="rId13" w:history="1">
        <w:r w:rsidRPr="004C3F07">
          <w:rPr>
            <w:rStyle w:val="Hyperlink"/>
            <w:rFonts w:ascii="Times New Roman" w:eastAsia="Times New Roman" w:hAnsi="Times New Roman" w:cs="Times New Roman"/>
            <w:sz w:val="24"/>
            <w:szCs w:val="24"/>
          </w:rPr>
          <w:t>https://doi.org/10.17045/sthlmuni.10321829.v2</w:t>
        </w:r>
      </w:hyperlink>
      <w:r w:rsidRPr="004C3F07">
        <w:rPr>
          <w:rFonts w:ascii="Times New Roman" w:eastAsia="Times New Roman" w:hAnsi="Times New Roman" w:cs="Times New Roman"/>
          <w:color w:val="000000"/>
          <w:sz w:val="24"/>
          <w:szCs w:val="24"/>
        </w:rPr>
        <w:t>.</w:t>
      </w:r>
    </w:p>
    <w:p w14:paraId="57F06635" w14:textId="77777777" w:rsidR="0075453D" w:rsidRDefault="0075453D" w:rsidP="00480EF2">
      <w:pPr>
        <w:spacing w:after="0" w:line="240" w:lineRule="auto"/>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Bellitto, M. and Coccia, M. (2018). </w:t>
      </w:r>
      <w:r w:rsidRPr="00391207">
        <w:rPr>
          <w:rFonts w:ascii="Times New Roman" w:eastAsia="Times New Roman" w:hAnsi="Times New Roman" w:cs="Times New Roman"/>
          <w:i/>
          <w:iCs/>
          <w:color w:val="000000"/>
          <w:sz w:val="24"/>
          <w:szCs w:val="24"/>
        </w:rPr>
        <w:t>Interrelationships Between Violent Crime, Demographic and Socioeconomic Factors: A Preliminary Analysis Between Central-Northern European Countries and Mediterranean Countries</w:t>
      </w:r>
      <w:r w:rsidRPr="00391207">
        <w:rPr>
          <w:rFonts w:ascii="Times New Roman" w:eastAsia="Times New Roman" w:hAnsi="Times New Roman" w:cs="Times New Roman"/>
          <w:color w:val="000000"/>
          <w:sz w:val="24"/>
          <w:szCs w:val="24"/>
        </w:rPr>
        <w:t>. [online] papers.ssrn.com. Available at: https://papers.ssrn.com/sol3/papers.cfm?abstract_id=3275310 [Accessed 27 Apr. 2023].</w:t>
      </w:r>
    </w:p>
    <w:p w14:paraId="3C8DDAAB" w14:textId="77777777" w:rsidR="0075453D" w:rsidRDefault="0075453D" w:rsidP="00480EF2">
      <w:pPr>
        <w:spacing w:before="100" w:beforeAutospacing="1" w:after="100" w:afterAutospacing="1" w:line="240" w:lineRule="auto"/>
        <w:rPr>
          <w:rFonts w:ascii="Times New Roman" w:eastAsia="Times New Roman" w:hAnsi="Times New Roman" w:cs="Times New Roman"/>
          <w:color w:val="000000"/>
          <w:sz w:val="24"/>
          <w:szCs w:val="24"/>
        </w:rPr>
      </w:pPr>
      <w:r w:rsidRPr="00FE316C">
        <w:rPr>
          <w:rFonts w:ascii="Times New Roman" w:eastAsia="Times New Roman" w:hAnsi="Times New Roman" w:cs="Times New Roman"/>
          <w:color w:val="000000"/>
          <w:sz w:val="24"/>
          <w:szCs w:val="24"/>
        </w:rPr>
        <w:t xml:space="preserve">Boateng, F.D. (2016) 'Crime reporting behavior: Do attitudes toward the police matter?,' </w:t>
      </w:r>
      <w:r w:rsidRPr="00FE316C">
        <w:rPr>
          <w:rFonts w:ascii="Times New Roman" w:eastAsia="Times New Roman" w:hAnsi="Times New Roman" w:cs="Times New Roman"/>
          <w:i/>
          <w:iCs/>
          <w:color w:val="000000"/>
          <w:sz w:val="24"/>
          <w:szCs w:val="24"/>
        </w:rPr>
        <w:t>Journal of Interpersonal Violence</w:t>
      </w:r>
      <w:r w:rsidRPr="00FE316C">
        <w:rPr>
          <w:rFonts w:ascii="Times New Roman" w:eastAsia="Times New Roman" w:hAnsi="Times New Roman" w:cs="Times New Roman"/>
          <w:color w:val="000000"/>
          <w:sz w:val="24"/>
          <w:szCs w:val="24"/>
        </w:rPr>
        <w:t xml:space="preserve">, 33(18), pp. 2891–2916. </w:t>
      </w:r>
      <w:hyperlink r:id="rId14" w:history="1">
        <w:r w:rsidRPr="00FE316C">
          <w:rPr>
            <w:rStyle w:val="Hyperlink"/>
            <w:rFonts w:ascii="Times New Roman" w:eastAsia="Times New Roman" w:hAnsi="Times New Roman" w:cs="Times New Roman"/>
            <w:sz w:val="24"/>
            <w:szCs w:val="24"/>
          </w:rPr>
          <w:t>https://doi.org/10.1177/0886260516632356</w:t>
        </w:r>
      </w:hyperlink>
      <w:r w:rsidRPr="00FE316C">
        <w:rPr>
          <w:rFonts w:ascii="Times New Roman" w:eastAsia="Times New Roman" w:hAnsi="Times New Roman" w:cs="Times New Roman"/>
          <w:color w:val="000000"/>
          <w:sz w:val="24"/>
          <w:szCs w:val="24"/>
        </w:rPr>
        <w:t>.</w:t>
      </w:r>
    </w:p>
    <w:p w14:paraId="290A9CAD" w14:textId="77777777" w:rsidR="0075453D" w:rsidRDefault="0075453D" w:rsidP="00480EF2">
      <w:pPr>
        <w:spacing w:before="100" w:beforeAutospacing="1" w:after="100" w:afterAutospacing="1" w:line="240" w:lineRule="auto"/>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 xml:space="preserve">Bowers, J. and Robinson, P.H. (2011) 'Perceptions of Fairness and Justice: The Shared Aims &amp; Occasional Conflicts of Legitimacy and Moral Credibility,' </w:t>
      </w:r>
      <w:r w:rsidRPr="00391207">
        <w:rPr>
          <w:rFonts w:ascii="Times New Roman" w:eastAsia="Times New Roman" w:hAnsi="Times New Roman" w:cs="Times New Roman"/>
          <w:i/>
          <w:iCs/>
          <w:color w:val="000000"/>
          <w:sz w:val="24"/>
          <w:szCs w:val="24"/>
        </w:rPr>
        <w:t>Social Science Research Network</w:t>
      </w:r>
      <w:r w:rsidRPr="00391207">
        <w:rPr>
          <w:rFonts w:ascii="Times New Roman" w:eastAsia="Times New Roman" w:hAnsi="Times New Roman" w:cs="Times New Roman"/>
          <w:color w:val="000000"/>
          <w:sz w:val="24"/>
          <w:szCs w:val="24"/>
        </w:rPr>
        <w:t xml:space="preserve"> [Preprint]. </w:t>
      </w:r>
      <w:hyperlink r:id="rId15" w:history="1">
        <w:r w:rsidRPr="00391207">
          <w:rPr>
            <w:rStyle w:val="Hyperlink"/>
            <w:rFonts w:ascii="Times New Roman" w:eastAsia="Times New Roman" w:hAnsi="Times New Roman" w:cs="Times New Roman"/>
            <w:sz w:val="24"/>
            <w:szCs w:val="24"/>
          </w:rPr>
          <w:t>https://doi.org/10.2139/ssrn.1814006</w:t>
        </w:r>
      </w:hyperlink>
      <w:r w:rsidRPr="00391207">
        <w:rPr>
          <w:rFonts w:ascii="Times New Roman" w:eastAsia="Times New Roman" w:hAnsi="Times New Roman" w:cs="Times New Roman"/>
          <w:color w:val="000000"/>
          <w:sz w:val="24"/>
          <w:szCs w:val="24"/>
        </w:rPr>
        <w:t xml:space="preserve">. </w:t>
      </w:r>
    </w:p>
    <w:p w14:paraId="1729686D" w14:textId="77777777" w:rsidR="0075453D" w:rsidRDefault="0075453D" w:rsidP="00480EF2">
      <w:pPr>
        <w:spacing w:before="100" w:beforeAutospacing="1" w:after="100" w:afterAutospacing="1" w:line="240" w:lineRule="auto"/>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 xml:space="preserve">Chiulli, R.M. (2018) </w:t>
      </w:r>
      <w:r w:rsidRPr="00391207">
        <w:rPr>
          <w:rFonts w:ascii="Times New Roman" w:eastAsia="Times New Roman" w:hAnsi="Times New Roman" w:cs="Times New Roman"/>
          <w:i/>
          <w:iCs/>
          <w:color w:val="000000"/>
          <w:sz w:val="24"/>
          <w:szCs w:val="24"/>
        </w:rPr>
        <w:t>Quantitative analysis</w:t>
      </w:r>
      <w:r w:rsidRPr="00391207">
        <w:rPr>
          <w:rFonts w:ascii="Times New Roman" w:eastAsia="Times New Roman" w:hAnsi="Times New Roman" w:cs="Times New Roman"/>
          <w:color w:val="000000"/>
          <w:sz w:val="24"/>
          <w:szCs w:val="24"/>
        </w:rPr>
        <w:t xml:space="preserve">, </w:t>
      </w:r>
      <w:r w:rsidRPr="00391207">
        <w:rPr>
          <w:rFonts w:ascii="Times New Roman" w:eastAsia="Times New Roman" w:hAnsi="Times New Roman" w:cs="Times New Roman"/>
          <w:i/>
          <w:iCs/>
          <w:color w:val="000000"/>
          <w:sz w:val="24"/>
          <w:szCs w:val="24"/>
        </w:rPr>
        <w:t>Routledge eBooks</w:t>
      </w:r>
      <w:r w:rsidRPr="00391207">
        <w:rPr>
          <w:rFonts w:ascii="Times New Roman" w:eastAsia="Times New Roman" w:hAnsi="Times New Roman" w:cs="Times New Roman"/>
          <w:color w:val="000000"/>
          <w:sz w:val="24"/>
          <w:szCs w:val="24"/>
        </w:rPr>
        <w:t xml:space="preserve">. </w:t>
      </w:r>
      <w:hyperlink r:id="rId16" w:history="1">
        <w:r w:rsidRPr="00391207">
          <w:rPr>
            <w:rStyle w:val="Hyperlink"/>
            <w:rFonts w:ascii="Times New Roman" w:eastAsia="Times New Roman" w:hAnsi="Times New Roman" w:cs="Times New Roman"/>
            <w:sz w:val="24"/>
            <w:szCs w:val="24"/>
          </w:rPr>
          <w:t>https://doi.org/10.1201/9780203741559</w:t>
        </w:r>
      </w:hyperlink>
      <w:r w:rsidRPr="00391207">
        <w:rPr>
          <w:rFonts w:ascii="Times New Roman" w:eastAsia="Times New Roman" w:hAnsi="Times New Roman" w:cs="Times New Roman"/>
          <w:color w:val="000000"/>
          <w:sz w:val="24"/>
          <w:szCs w:val="24"/>
        </w:rPr>
        <w:t xml:space="preserve">. </w:t>
      </w:r>
    </w:p>
    <w:p w14:paraId="2A97CD54" w14:textId="77777777" w:rsidR="0075453D" w:rsidRDefault="0075453D" w:rsidP="00480EF2">
      <w:pPr>
        <w:spacing w:before="100" w:beforeAutospacing="1" w:after="100" w:afterAutospacing="1" w:line="240" w:lineRule="auto"/>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 xml:space="preserve">‌Gover, A.R. </w:t>
      </w:r>
      <w:r w:rsidRPr="00391207">
        <w:rPr>
          <w:rFonts w:ascii="Times New Roman" w:eastAsia="Times New Roman" w:hAnsi="Times New Roman" w:cs="Times New Roman"/>
          <w:i/>
          <w:iCs/>
          <w:color w:val="000000"/>
          <w:sz w:val="24"/>
          <w:szCs w:val="24"/>
        </w:rPr>
        <w:t>et al.</w:t>
      </w:r>
      <w:r w:rsidRPr="00391207">
        <w:rPr>
          <w:rFonts w:ascii="Times New Roman" w:eastAsia="Times New Roman" w:hAnsi="Times New Roman" w:cs="Times New Roman"/>
          <w:color w:val="000000"/>
          <w:sz w:val="24"/>
          <w:szCs w:val="24"/>
        </w:rPr>
        <w:t xml:space="preserve"> (2011) 'An exploratory study on perceptions of safety, fear of crime, and victimization experiences among faculty and staff at an urban university: a focus on gender,' </w:t>
      </w:r>
      <w:r w:rsidRPr="00391207">
        <w:rPr>
          <w:rFonts w:ascii="Times New Roman" w:eastAsia="Times New Roman" w:hAnsi="Times New Roman" w:cs="Times New Roman"/>
          <w:i/>
          <w:iCs/>
          <w:color w:val="000000"/>
          <w:sz w:val="24"/>
          <w:szCs w:val="24"/>
        </w:rPr>
        <w:t>Criminal Justice Studies</w:t>
      </w:r>
      <w:r w:rsidRPr="00391207">
        <w:rPr>
          <w:rFonts w:ascii="Times New Roman" w:eastAsia="Times New Roman" w:hAnsi="Times New Roman" w:cs="Times New Roman"/>
          <w:color w:val="000000"/>
          <w:sz w:val="24"/>
          <w:szCs w:val="24"/>
        </w:rPr>
        <w:t xml:space="preserve">, 24(1), pp. 37–55. </w:t>
      </w:r>
      <w:hyperlink r:id="rId17" w:history="1">
        <w:r w:rsidRPr="00391207">
          <w:rPr>
            <w:rStyle w:val="Hyperlink"/>
            <w:rFonts w:ascii="Times New Roman" w:eastAsia="Times New Roman" w:hAnsi="Times New Roman" w:cs="Times New Roman"/>
            <w:sz w:val="24"/>
            <w:szCs w:val="24"/>
          </w:rPr>
          <w:t>https://doi.org/10.1080/1478601x.2011.544193</w:t>
        </w:r>
      </w:hyperlink>
      <w:r w:rsidRPr="00391207">
        <w:rPr>
          <w:rFonts w:ascii="Times New Roman" w:eastAsia="Times New Roman" w:hAnsi="Times New Roman" w:cs="Times New Roman"/>
          <w:color w:val="000000"/>
          <w:sz w:val="24"/>
          <w:szCs w:val="24"/>
        </w:rPr>
        <w:t>.</w:t>
      </w:r>
    </w:p>
    <w:p w14:paraId="1CACDE0B" w14:textId="77777777" w:rsidR="0075453D" w:rsidRPr="00FE316C" w:rsidRDefault="0075453D" w:rsidP="00480EF2">
      <w:pPr>
        <w:spacing w:before="100" w:beforeAutospacing="1" w:after="100" w:afterAutospacing="1" w:line="240" w:lineRule="auto"/>
        <w:rPr>
          <w:rFonts w:ascii="Times New Roman" w:eastAsia="Times New Roman" w:hAnsi="Times New Roman" w:cs="Times New Roman"/>
          <w:color w:val="000000"/>
          <w:sz w:val="24"/>
          <w:szCs w:val="24"/>
        </w:rPr>
      </w:pPr>
      <w:r w:rsidRPr="00FE316C">
        <w:rPr>
          <w:rFonts w:ascii="Times New Roman" w:eastAsia="Times New Roman" w:hAnsi="Times New Roman" w:cs="Times New Roman"/>
          <w:color w:val="000000"/>
          <w:sz w:val="24"/>
          <w:szCs w:val="24"/>
        </w:rPr>
        <w:t>Holzmann, R. and Jørgensen, S., 2001. Social risk management: A new conceptual framework for social protection, and beyond. </w:t>
      </w:r>
      <w:r w:rsidRPr="00FE316C">
        <w:rPr>
          <w:rFonts w:ascii="Times New Roman" w:eastAsia="Times New Roman" w:hAnsi="Times New Roman" w:cs="Times New Roman"/>
          <w:i/>
          <w:iCs/>
          <w:color w:val="000000"/>
          <w:sz w:val="24"/>
          <w:szCs w:val="24"/>
        </w:rPr>
        <w:t>International Tax and Public Finance</w:t>
      </w:r>
      <w:r w:rsidRPr="00FE316C">
        <w:rPr>
          <w:rFonts w:ascii="Times New Roman" w:eastAsia="Times New Roman" w:hAnsi="Times New Roman" w:cs="Times New Roman"/>
          <w:color w:val="000000"/>
          <w:sz w:val="24"/>
          <w:szCs w:val="24"/>
        </w:rPr>
        <w:t>, </w:t>
      </w:r>
      <w:r w:rsidRPr="00FE316C">
        <w:rPr>
          <w:rFonts w:ascii="Times New Roman" w:eastAsia="Times New Roman" w:hAnsi="Times New Roman" w:cs="Times New Roman"/>
          <w:i/>
          <w:iCs/>
          <w:color w:val="000000"/>
          <w:sz w:val="24"/>
          <w:szCs w:val="24"/>
        </w:rPr>
        <w:t>8</w:t>
      </w:r>
      <w:r w:rsidRPr="00FE316C">
        <w:rPr>
          <w:rFonts w:ascii="Times New Roman" w:eastAsia="Times New Roman" w:hAnsi="Times New Roman" w:cs="Times New Roman"/>
          <w:color w:val="000000"/>
          <w:sz w:val="24"/>
          <w:szCs w:val="24"/>
        </w:rPr>
        <w:t>, pp.529-556.</w:t>
      </w:r>
    </w:p>
    <w:p w14:paraId="2ECF0D43" w14:textId="77777777" w:rsidR="0075453D" w:rsidRDefault="0075453D" w:rsidP="00480EF2">
      <w:pPr>
        <w:spacing w:line="240" w:lineRule="auto"/>
        <w:rPr>
          <w:rStyle w:val="Hyperlink"/>
          <w:rFonts w:ascii="Times New Roman" w:hAnsi="Times New Roman" w:cs="Times New Roman"/>
          <w:sz w:val="24"/>
          <w:szCs w:val="24"/>
        </w:rPr>
      </w:pPr>
      <w:r w:rsidRPr="00391207">
        <w:rPr>
          <w:rFonts w:ascii="Times New Roman" w:hAnsi="Times New Roman" w:cs="Times New Roman"/>
          <w:sz w:val="24"/>
          <w:szCs w:val="24"/>
        </w:rPr>
        <w:t>Office for National Statistics. (2020). </w:t>
      </w:r>
      <w:r w:rsidRPr="00391207">
        <w:rPr>
          <w:rFonts w:ascii="Times New Roman" w:hAnsi="Times New Roman" w:cs="Times New Roman"/>
          <w:i/>
          <w:iCs/>
          <w:sz w:val="24"/>
          <w:szCs w:val="24"/>
        </w:rPr>
        <w:t>Crime Survey for England and Wales, 2015-2016</w:t>
      </w:r>
      <w:r w:rsidRPr="00391207">
        <w:rPr>
          <w:rFonts w:ascii="Times New Roman" w:hAnsi="Times New Roman" w:cs="Times New Roman"/>
          <w:sz w:val="24"/>
          <w:szCs w:val="24"/>
        </w:rPr>
        <w:t>. [data collection]. </w:t>
      </w:r>
      <w:r w:rsidRPr="00391207">
        <w:rPr>
          <w:rFonts w:ascii="Times New Roman" w:hAnsi="Times New Roman" w:cs="Times New Roman"/>
          <w:i/>
          <w:iCs/>
          <w:sz w:val="24"/>
          <w:szCs w:val="24"/>
        </w:rPr>
        <w:t>2nd Edition. </w:t>
      </w:r>
      <w:r w:rsidRPr="00391207">
        <w:rPr>
          <w:rFonts w:ascii="Times New Roman" w:hAnsi="Times New Roman" w:cs="Times New Roman"/>
          <w:sz w:val="24"/>
          <w:szCs w:val="24"/>
        </w:rPr>
        <w:t>UK Data Service. SN: 8140, </w:t>
      </w:r>
      <w:hyperlink r:id="rId18" w:history="1">
        <w:r w:rsidRPr="00391207">
          <w:rPr>
            <w:rStyle w:val="Hyperlink"/>
            <w:rFonts w:ascii="Times New Roman" w:hAnsi="Times New Roman" w:cs="Times New Roman"/>
            <w:sz w:val="24"/>
            <w:szCs w:val="24"/>
          </w:rPr>
          <w:t>DOI: http://doi.org/10.5255/UKDA-SN-8140-2</w:t>
        </w:r>
      </w:hyperlink>
    </w:p>
    <w:p w14:paraId="583C7ED5" w14:textId="77777777" w:rsidR="0075453D" w:rsidRDefault="0075453D" w:rsidP="00480EF2">
      <w:pPr>
        <w:pStyle w:val="NormalWeb"/>
        <w:spacing w:after="0" w:line="240" w:lineRule="auto"/>
        <w:rPr>
          <w:color w:val="000000"/>
        </w:rPr>
      </w:pPr>
      <w:r w:rsidRPr="00391207">
        <w:rPr>
          <w:color w:val="000000"/>
        </w:rPr>
        <w:t>Podesva, R.J. and Sharma, D. (2014). </w:t>
      </w:r>
      <w:r w:rsidRPr="00391207">
        <w:rPr>
          <w:i/>
          <w:iCs/>
          <w:color w:val="000000"/>
        </w:rPr>
        <w:t>Research Methods in Linguistics</w:t>
      </w:r>
      <w:r w:rsidRPr="00391207">
        <w:rPr>
          <w:color w:val="000000"/>
        </w:rPr>
        <w:t>. [online] </w:t>
      </w:r>
      <w:r w:rsidRPr="00391207">
        <w:rPr>
          <w:i/>
          <w:iCs/>
          <w:color w:val="000000"/>
        </w:rPr>
        <w:t>Google Books</w:t>
      </w:r>
      <w:r w:rsidRPr="00391207">
        <w:rPr>
          <w:color w:val="000000"/>
        </w:rPr>
        <w:t xml:space="preserve">. Cambridge University Press. Available at: </w:t>
      </w:r>
      <w:r>
        <w:rPr>
          <w:color w:val="000000"/>
        </w:rPr>
        <w:t xml:space="preserve">    </w:t>
      </w:r>
      <w:r w:rsidRPr="00391207">
        <w:rPr>
          <w:color w:val="000000"/>
        </w:rPr>
        <w:t xml:space="preserve">https://books.google.com/books?hl=en&amp;lr=&amp;id=eeRRAgAAQBAJ&amp;oi=fnd&amp;pg=PA288&amp;dq=requency+distributions [Accessed 9 Jan. 2024]. </w:t>
      </w:r>
    </w:p>
    <w:p w14:paraId="23DA93C3" w14:textId="77777777" w:rsidR="0075453D" w:rsidRDefault="0075453D" w:rsidP="00480EF2">
      <w:pPr>
        <w:spacing w:before="100" w:beforeAutospacing="1" w:after="100" w:afterAutospacing="1" w:line="240" w:lineRule="auto"/>
        <w:rPr>
          <w:rFonts w:ascii="Times New Roman" w:eastAsia="Times New Roman" w:hAnsi="Times New Roman" w:cs="Times New Roman"/>
          <w:color w:val="000000"/>
          <w:sz w:val="24"/>
          <w:szCs w:val="24"/>
        </w:rPr>
      </w:pPr>
      <w:r w:rsidRPr="00391207">
        <w:rPr>
          <w:rFonts w:ascii="Times New Roman" w:eastAsia="Times New Roman" w:hAnsi="Times New Roman" w:cs="Times New Roman"/>
          <w:i/>
          <w:iCs/>
          <w:color w:val="000000"/>
          <w:sz w:val="24"/>
          <w:szCs w:val="24"/>
        </w:rPr>
        <w:t>Presenting Your Data with SPSS Explained</w:t>
      </w:r>
      <w:r w:rsidRPr="00391207">
        <w:rPr>
          <w:rFonts w:ascii="Times New Roman" w:eastAsia="Times New Roman" w:hAnsi="Times New Roman" w:cs="Times New Roman"/>
          <w:color w:val="000000"/>
          <w:sz w:val="24"/>
          <w:szCs w:val="24"/>
        </w:rPr>
        <w:t xml:space="preserve"> (no date). </w:t>
      </w:r>
      <w:hyperlink r:id="rId19" w:history="1">
        <w:r w:rsidRPr="00391207">
          <w:rPr>
            <w:rStyle w:val="Hyperlink"/>
            <w:rFonts w:ascii="Times New Roman" w:eastAsia="Times New Roman" w:hAnsi="Times New Roman" w:cs="Times New Roman"/>
            <w:sz w:val="24"/>
            <w:szCs w:val="24"/>
          </w:rPr>
          <w:t>https://books.google.com/books?hl=en&amp;lr=&amp;id=QggqDwAAQBAJ&amp;oi=fnd&amp;pg=PP1&amp;dq=analysing+Demographic+Variables+spss&amp;ots=CKVIS-cHq8&amp;sig=SY95owjC2m_2ujv31p0EmdPIN6c</w:t>
        </w:r>
      </w:hyperlink>
      <w:r w:rsidRPr="00391207">
        <w:rPr>
          <w:rFonts w:ascii="Times New Roman" w:eastAsia="Times New Roman" w:hAnsi="Times New Roman" w:cs="Times New Roman"/>
          <w:color w:val="000000"/>
          <w:sz w:val="24"/>
          <w:szCs w:val="24"/>
        </w:rPr>
        <w:t xml:space="preserve">. </w:t>
      </w:r>
    </w:p>
    <w:p w14:paraId="13636647" w14:textId="77777777" w:rsidR="0075453D" w:rsidRDefault="0075453D" w:rsidP="00480EF2">
      <w:pPr>
        <w:spacing w:before="100" w:beforeAutospacing="1" w:after="100" w:afterAutospacing="1" w:line="240" w:lineRule="auto"/>
        <w:rPr>
          <w:rFonts w:ascii="Times New Roman" w:eastAsia="Times New Roman" w:hAnsi="Times New Roman" w:cs="Times New Roman"/>
          <w:color w:val="000000"/>
          <w:sz w:val="24"/>
          <w:szCs w:val="24"/>
        </w:rPr>
      </w:pPr>
      <w:r w:rsidRPr="00FE316C">
        <w:rPr>
          <w:rFonts w:ascii="Times New Roman" w:eastAsia="Times New Roman" w:hAnsi="Times New Roman" w:cs="Times New Roman"/>
          <w:color w:val="000000"/>
          <w:sz w:val="24"/>
          <w:szCs w:val="24"/>
        </w:rPr>
        <w:lastRenderedPageBreak/>
        <w:t xml:space="preserve">Roberts, N. (2019) 'Gender, sexual danger and the everyday management of risks: the social control of young females,' </w:t>
      </w:r>
      <w:r w:rsidRPr="00FE316C">
        <w:rPr>
          <w:rFonts w:ascii="Times New Roman" w:eastAsia="Times New Roman" w:hAnsi="Times New Roman" w:cs="Times New Roman"/>
          <w:i/>
          <w:iCs/>
          <w:color w:val="000000"/>
          <w:sz w:val="24"/>
          <w:szCs w:val="24"/>
        </w:rPr>
        <w:t>Journal of Gender-based Violence</w:t>
      </w:r>
      <w:r w:rsidRPr="00FE316C">
        <w:rPr>
          <w:rFonts w:ascii="Times New Roman" w:eastAsia="Times New Roman" w:hAnsi="Times New Roman" w:cs="Times New Roman"/>
          <w:color w:val="000000"/>
          <w:sz w:val="24"/>
          <w:szCs w:val="24"/>
        </w:rPr>
        <w:t xml:space="preserve">, 3(1), pp. 29–43. </w:t>
      </w:r>
      <w:hyperlink r:id="rId20" w:history="1">
        <w:r w:rsidRPr="00FE316C">
          <w:rPr>
            <w:rStyle w:val="Hyperlink"/>
            <w:rFonts w:ascii="Times New Roman" w:eastAsia="Times New Roman" w:hAnsi="Times New Roman" w:cs="Times New Roman"/>
            <w:sz w:val="24"/>
            <w:szCs w:val="24"/>
          </w:rPr>
          <w:t>https://doi.org/10.1332/239868018x15265563342670</w:t>
        </w:r>
      </w:hyperlink>
      <w:r w:rsidRPr="00FE316C">
        <w:rPr>
          <w:rFonts w:ascii="Times New Roman" w:eastAsia="Times New Roman" w:hAnsi="Times New Roman" w:cs="Times New Roman"/>
          <w:color w:val="000000"/>
          <w:sz w:val="24"/>
          <w:szCs w:val="24"/>
        </w:rPr>
        <w:t>.</w:t>
      </w:r>
    </w:p>
    <w:p w14:paraId="67575B60" w14:textId="77777777" w:rsidR="0075453D" w:rsidRDefault="0075453D" w:rsidP="00480EF2">
      <w:pPr>
        <w:spacing w:after="0" w:line="240" w:lineRule="auto"/>
        <w:rPr>
          <w:rFonts w:ascii="Times New Roman" w:eastAsia="Times New Roman" w:hAnsi="Times New Roman" w:cs="Times New Roman"/>
          <w:color w:val="000000"/>
          <w:sz w:val="24"/>
          <w:szCs w:val="24"/>
        </w:rPr>
      </w:pPr>
      <w:r w:rsidRPr="00391207">
        <w:rPr>
          <w:rFonts w:ascii="Times New Roman" w:eastAsia="Times New Roman" w:hAnsi="Times New Roman" w:cs="Times New Roman"/>
          <w:color w:val="000000"/>
          <w:sz w:val="24"/>
          <w:szCs w:val="24"/>
        </w:rPr>
        <w:t>Roll, S., Taylor, S. and Grinstein-Weiss, M. (n.d.). </w:t>
      </w:r>
      <w:r w:rsidRPr="00391207">
        <w:rPr>
          <w:rFonts w:ascii="Times New Roman" w:eastAsia="Times New Roman" w:hAnsi="Times New Roman" w:cs="Times New Roman"/>
          <w:i/>
          <w:iCs/>
          <w:color w:val="000000"/>
          <w:sz w:val="24"/>
          <w:szCs w:val="24"/>
        </w:rPr>
        <w:t>Financial Anxiety in Low-and Moderate-Income Households: Findings from the Household Financial Survey</w:t>
      </w:r>
      <w:r w:rsidRPr="00391207">
        <w:rPr>
          <w:rFonts w:ascii="Times New Roman" w:eastAsia="Times New Roman" w:hAnsi="Times New Roman" w:cs="Times New Roman"/>
          <w:color w:val="000000"/>
          <w:sz w:val="24"/>
          <w:szCs w:val="24"/>
        </w:rPr>
        <w:t xml:space="preserve">. [online] Available at: </w:t>
      </w:r>
      <w:hyperlink r:id="rId21" w:history="1">
        <w:r w:rsidRPr="00391207">
          <w:rPr>
            <w:rStyle w:val="Hyperlink"/>
            <w:rFonts w:ascii="Times New Roman" w:eastAsia="Times New Roman" w:hAnsi="Times New Roman" w:cs="Times New Roman"/>
            <w:sz w:val="24"/>
            <w:szCs w:val="24"/>
          </w:rPr>
          <w:t>https://openscholarship.wustl.edu/cgi/viewcontent.cgi?article=1596&amp;context=csd_research</w:t>
        </w:r>
      </w:hyperlink>
      <w:r w:rsidRPr="00391207">
        <w:rPr>
          <w:rFonts w:ascii="Times New Roman" w:eastAsia="Times New Roman" w:hAnsi="Times New Roman" w:cs="Times New Roman"/>
          <w:color w:val="000000"/>
          <w:sz w:val="24"/>
          <w:szCs w:val="24"/>
        </w:rPr>
        <w:t>.</w:t>
      </w:r>
    </w:p>
    <w:p w14:paraId="1D596AD0" w14:textId="77777777" w:rsidR="0075453D" w:rsidRDefault="0075453D" w:rsidP="00480EF2">
      <w:pPr>
        <w:pStyle w:val="NormalWeb"/>
        <w:spacing w:after="0" w:line="240" w:lineRule="auto"/>
        <w:rPr>
          <w:color w:val="000000"/>
        </w:rPr>
      </w:pPr>
      <w:r w:rsidRPr="00391207">
        <w:rPr>
          <w:color w:val="000000"/>
        </w:rPr>
        <w:t>search.proquest.com. (n.d.). </w:t>
      </w:r>
      <w:r w:rsidRPr="00391207">
        <w:rPr>
          <w:i/>
          <w:iCs/>
          <w:color w:val="000000"/>
        </w:rPr>
        <w:t>Quantitative data analysis for social scientists - ProQuest</w:t>
      </w:r>
      <w:r w:rsidRPr="00391207">
        <w:rPr>
          <w:color w:val="000000"/>
        </w:rPr>
        <w:t xml:space="preserve">. [online] Available at: </w:t>
      </w:r>
      <w:hyperlink r:id="rId22" w:history="1">
        <w:r w:rsidRPr="00391207">
          <w:rPr>
            <w:rStyle w:val="Hyperlink"/>
          </w:rPr>
          <w:t>https://search.proquest.com/openview/71ba8781f88a269938b860d448e6e8d2/1?pq-origsite=gscholar&amp;cbl=1818083</w:t>
        </w:r>
      </w:hyperlink>
      <w:r w:rsidRPr="00391207">
        <w:rPr>
          <w:color w:val="000000"/>
        </w:rPr>
        <w:t xml:space="preserve">. </w:t>
      </w:r>
    </w:p>
    <w:p w14:paraId="430D5D63" w14:textId="0490D805" w:rsidR="000A2E36" w:rsidRPr="00391207" w:rsidRDefault="000A2E36" w:rsidP="000A2E36">
      <w:pPr>
        <w:pStyle w:val="NormalWeb"/>
        <w:spacing w:after="0" w:line="480" w:lineRule="auto"/>
        <w:ind w:left="720" w:hanging="720"/>
        <w:rPr>
          <w:color w:val="000000"/>
        </w:rPr>
      </w:pPr>
      <w:r w:rsidRPr="00391207">
        <w:rPr>
          <w:color w:val="000000"/>
        </w:rPr>
        <w:t xml:space="preserve"> </w:t>
      </w:r>
    </w:p>
    <w:p w14:paraId="72C473B5" w14:textId="77777777" w:rsidR="000A2E36" w:rsidRPr="00391207" w:rsidRDefault="000A2E36" w:rsidP="000A2E36">
      <w:pPr>
        <w:pStyle w:val="NormalWeb"/>
        <w:spacing w:line="480" w:lineRule="auto"/>
        <w:rPr>
          <w:color w:val="000000"/>
        </w:rPr>
      </w:pPr>
      <w:r w:rsidRPr="00391207">
        <w:rPr>
          <w:color w:val="000000"/>
        </w:rPr>
        <w:t>‌</w:t>
      </w:r>
    </w:p>
    <w:p w14:paraId="7597D14D" w14:textId="77777777" w:rsidR="000A2E36" w:rsidRPr="00391207" w:rsidRDefault="000A2E36" w:rsidP="000A2E36">
      <w:pPr>
        <w:spacing w:line="480" w:lineRule="auto"/>
        <w:rPr>
          <w:rFonts w:ascii="Times New Roman" w:hAnsi="Times New Roman" w:cs="Times New Roman"/>
          <w:sz w:val="24"/>
          <w:szCs w:val="24"/>
        </w:rPr>
      </w:pPr>
    </w:p>
    <w:p w14:paraId="54D17824" w14:textId="77777777" w:rsidR="00E31046" w:rsidRPr="00391207" w:rsidRDefault="00E31046" w:rsidP="000A2E36">
      <w:pPr>
        <w:spacing w:line="480" w:lineRule="auto"/>
        <w:rPr>
          <w:rFonts w:ascii="Times New Roman" w:hAnsi="Times New Roman" w:cs="Times New Roman"/>
          <w:sz w:val="24"/>
          <w:szCs w:val="24"/>
        </w:rPr>
      </w:pPr>
    </w:p>
    <w:sectPr w:rsidR="00E31046" w:rsidRPr="00391207">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A278F" w14:textId="77777777" w:rsidR="00562E18" w:rsidRDefault="00562E18" w:rsidP="008304D8">
      <w:pPr>
        <w:spacing w:after="0" w:line="240" w:lineRule="auto"/>
      </w:pPr>
      <w:r>
        <w:separator/>
      </w:r>
    </w:p>
  </w:endnote>
  <w:endnote w:type="continuationSeparator" w:id="0">
    <w:p w14:paraId="26005E16" w14:textId="77777777" w:rsidR="00562E18" w:rsidRDefault="00562E18" w:rsidP="00830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68CDD" w14:textId="77777777" w:rsidR="00562E18" w:rsidRDefault="00562E18" w:rsidP="008304D8">
      <w:pPr>
        <w:spacing w:after="0" w:line="240" w:lineRule="auto"/>
      </w:pPr>
      <w:r>
        <w:separator/>
      </w:r>
    </w:p>
  </w:footnote>
  <w:footnote w:type="continuationSeparator" w:id="0">
    <w:p w14:paraId="7EE5F112" w14:textId="77777777" w:rsidR="00562E18" w:rsidRDefault="00562E18" w:rsidP="00830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967438"/>
      <w:docPartObj>
        <w:docPartGallery w:val="Page Numbers (Top of Page)"/>
        <w:docPartUnique/>
      </w:docPartObj>
    </w:sdtPr>
    <w:sdtEndPr>
      <w:rPr>
        <w:noProof/>
      </w:rPr>
    </w:sdtEndPr>
    <w:sdtContent>
      <w:p w14:paraId="204D8D79" w14:textId="5C6124AD" w:rsidR="008304D8" w:rsidRDefault="008304D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C9E00B" w14:textId="77777777" w:rsidR="008304D8" w:rsidRDefault="008304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72FB9"/>
    <w:multiLevelType w:val="hybridMultilevel"/>
    <w:tmpl w:val="BF584344"/>
    <w:lvl w:ilvl="0" w:tplc="B76AD57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D51287"/>
    <w:multiLevelType w:val="hybridMultilevel"/>
    <w:tmpl w:val="E79E3D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5F"/>
    <w:rsid w:val="00004732"/>
    <w:rsid w:val="00020437"/>
    <w:rsid w:val="00037573"/>
    <w:rsid w:val="00064468"/>
    <w:rsid w:val="00073D5F"/>
    <w:rsid w:val="000768BF"/>
    <w:rsid w:val="000A2E36"/>
    <w:rsid w:val="000A2F24"/>
    <w:rsid w:val="001246D4"/>
    <w:rsid w:val="0015653D"/>
    <w:rsid w:val="001A16DB"/>
    <w:rsid w:val="00217E30"/>
    <w:rsid w:val="00247F08"/>
    <w:rsid w:val="0028134E"/>
    <w:rsid w:val="002A028F"/>
    <w:rsid w:val="002D1E4F"/>
    <w:rsid w:val="00334BCE"/>
    <w:rsid w:val="003675CC"/>
    <w:rsid w:val="00376E7D"/>
    <w:rsid w:val="00391207"/>
    <w:rsid w:val="003B0508"/>
    <w:rsid w:val="003E5906"/>
    <w:rsid w:val="003F5FFE"/>
    <w:rsid w:val="00405522"/>
    <w:rsid w:val="0041586C"/>
    <w:rsid w:val="0042753B"/>
    <w:rsid w:val="004809EA"/>
    <w:rsid w:val="00480EF2"/>
    <w:rsid w:val="004858A3"/>
    <w:rsid w:val="00495EE4"/>
    <w:rsid w:val="004B330F"/>
    <w:rsid w:val="004B78F0"/>
    <w:rsid w:val="004C3F07"/>
    <w:rsid w:val="00500286"/>
    <w:rsid w:val="00517125"/>
    <w:rsid w:val="00542E4C"/>
    <w:rsid w:val="0055096D"/>
    <w:rsid w:val="00555424"/>
    <w:rsid w:val="00562E18"/>
    <w:rsid w:val="00574FFA"/>
    <w:rsid w:val="0058316A"/>
    <w:rsid w:val="00586DD0"/>
    <w:rsid w:val="0059411F"/>
    <w:rsid w:val="005D48AF"/>
    <w:rsid w:val="0060509E"/>
    <w:rsid w:val="00611EA2"/>
    <w:rsid w:val="006236C5"/>
    <w:rsid w:val="006806C0"/>
    <w:rsid w:val="0069668E"/>
    <w:rsid w:val="006D4F7B"/>
    <w:rsid w:val="00716528"/>
    <w:rsid w:val="0075453D"/>
    <w:rsid w:val="007A424E"/>
    <w:rsid w:val="007C783C"/>
    <w:rsid w:val="007F0A92"/>
    <w:rsid w:val="008013A5"/>
    <w:rsid w:val="00822BB6"/>
    <w:rsid w:val="008304D8"/>
    <w:rsid w:val="008346C9"/>
    <w:rsid w:val="008678CA"/>
    <w:rsid w:val="0088568B"/>
    <w:rsid w:val="008B3BDE"/>
    <w:rsid w:val="00942715"/>
    <w:rsid w:val="009458D1"/>
    <w:rsid w:val="009579A3"/>
    <w:rsid w:val="00A23F84"/>
    <w:rsid w:val="00AB332B"/>
    <w:rsid w:val="00AB6A63"/>
    <w:rsid w:val="00B0072C"/>
    <w:rsid w:val="00B4764B"/>
    <w:rsid w:val="00B60115"/>
    <w:rsid w:val="00B72DC9"/>
    <w:rsid w:val="00B850C0"/>
    <w:rsid w:val="00B93818"/>
    <w:rsid w:val="00BF416D"/>
    <w:rsid w:val="00C62B41"/>
    <w:rsid w:val="00CA31F0"/>
    <w:rsid w:val="00CD7675"/>
    <w:rsid w:val="00CF4408"/>
    <w:rsid w:val="00D03280"/>
    <w:rsid w:val="00D26151"/>
    <w:rsid w:val="00DA4F3A"/>
    <w:rsid w:val="00DB50A4"/>
    <w:rsid w:val="00E125EE"/>
    <w:rsid w:val="00E31046"/>
    <w:rsid w:val="00E47784"/>
    <w:rsid w:val="00EA3CAA"/>
    <w:rsid w:val="00EA5308"/>
    <w:rsid w:val="00F174A6"/>
    <w:rsid w:val="00F55FD5"/>
    <w:rsid w:val="00F806AF"/>
    <w:rsid w:val="00F90DA4"/>
    <w:rsid w:val="00F95935"/>
    <w:rsid w:val="00FD1294"/>
    <w:rsid w:val="00FE316C"/>
    <w:rsid w:val="00FE3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02A1C"/>
  <w15:chartTrackingRefBased/>
  <w15:docId w15:val="{173FAFAE-7F7C-48E3-B311-6BC53ED9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17E30"/>
    <w:pPr>
      <w:keepNext/>
      <w:keepLines/>
      <w:spacing w:before="240" w:after="0" w:line="48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3B0508"/>
    <w:pPr>
      <w:keepNext/>
      <w:keepLines/>
      <w:spacing w:before="40" w:after="0" w:line="48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B007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E30"/>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B007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17125"/>
    <w:pPr>
      <w:ind w:left="720"/>
      <w:contextualSpacing/>
    </w:pPr>
  </w:style>
  <w:style w:type="table" w:styleId="GridTable1Light-Accent5">
    <w:name w:val="Grid Table 1 Light Accent 5"/>
    <w:basedOn w:val="TableNormal"/>
    <w:uiPriority w:val="46"/>
    <w:rsid w:val="007F0A9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
    <w:name w:val="Table Grid"/>
    <w:basedOn w:val="TableNormal"/>
    <w:uiPriority w:val="39"/>
    <w:rsid w:val="007F0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0508"/>
    <w:rPr>
      <w:rFonts w:ascii="Times New Roman" w:eastAsiaTheme="majorEastAsia" w:hAnsi="Times New Roman" w:cstheme="majorBidi"/>
      <w:b/>
      <w:sz w:val="24"/>
      <w:szCs w:val="26"/>
    </w:rPr>
  </w:style>
  <w:style w:type="table" w:styleId="GridTable6Colorful">
    <w:name w:val="Grid Table 6 Colorful"/>
    <w:basedOn w:val="TableNormal"/>
    <w:uiPriority w:val="51"/>
    <w:rsid w:val="00F90DA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6236C5"/>
    <w:rPr>
      <w:rFonts w:ascii="Times New Roman" w:hAnsi="Times New Roman" w:cs="Times New Roman"/>
      <w:sz w:val="24"/>
      <w:szCs w:val="24"/>
    </w:rPr>
  </w:style>
  <w:style w:type="character" w:styleId="Hyperlink">
    <w:name w:val="Hyperlink"/>
    <w:basedOn w:val="DefaultParagraphFont"/>
    <w:uiPriority w:val="99"/>
    <w:unhideWhenUsed/>
    <w:rsid w:val="000A2E36"/>
    <w:rPr>
      <w:color w:val="0563C1" w:themeColor="hyperlink"/>
      <w:u w:val="single"/>
    </w:rPr>
  </w:style>
  <w:style w:type="character" w:styleId="UnresolvedMention">
    <w:name w:val="Unresolved Mention"/>
    <w:basedOn w:val="DefaultParagraphFont"/>
    <w:uiPriority w:val="99"/>
    <w:semiHidden/>
    <w:unhideWhenUsed/>
    <w:rsid w:val="000A2E36"/>
    <w:rPr>
      <w:color w:val="605E5C"/>
      <w:shd w:val="clear" w:color="auto" w:fill="E1DFDD"/>
    </w:rPr>
  </w:style>
  <w:style w:type="paragraph" w:styleId="Header">
    <w:name w:val="header"/>
    <w:basedOn w:val="Normal"/>
    <w:link w:val="HeaderChar"/>
    <w:uiPriority w:val="99"/>
    <w:unhideWhenUsed/>
    <w:rsid w:val="00830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4D8"/>
  </w:style>
  <w:style w:type="paragraph" w:styleId="Footer">
    <w:name w:val="footer"/>
    <w:basedOn w:val="Normal"/>
    <w:link w:val="FooterChar"/>
    <w:uiPriority w:val="99"/>
    <w:unhideWhenUsed/>
    <w:rsid w:val="00830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9342">
      <w:bodyDiv w:val="1"/>
      <w:marLeft w:val="0"/>
      <w:marRight w:val="0"/>
      <w:marTop w:val="0"/>
      <w:marBottom w:val="0"/>
      <w:divBdr>
        <w:top w:val="none" w:sz="0" w:space="0" w:color="auto"/>
        <w:left w:val="none" w:sz="0" w:space="0" w:color="auto"/>
        <w:bottom w:val="none" w:sz="0" w:space="0" w:color="auto"/>
        <w:right w:val="none" w:sz="0" w:space="0" w:color="auto"/>
      </w:divBdr>
    </w:div>
    <w:div w:id="47150380">
      <w:bodyDiv w:val="1"/>
      <w:marLeft w:val="0"/>
      <w:marRight w:val="0"/>
      <w:marTop w:val="0"/>
      <w:marBottom w:val="0"/>
      <w:divBdr>
        <w:top w:val="none" w:sz="0" w:space="0" w:color="auto"/>
        <w:left w:val="none" w:sz="0" w:space="0" w:color="auto"/>
        <w:bottom w:val="none" w:sz="0" w:space="0" w:color="auto"/>
        <w:right w:val="none" w:sz="0" w:space="0" w:color="auto"/>
      </w:divBdr>
    </w:div>
    <w:div w:id="51542318">
      <w:bodyDiv w:val="1"/>
      <w:marLeft w:val="0"/>
      <w:marRight w:val="0"/>
      <w:marTop w:val="0"/>
      <w:marBottom w:val="0"/>
      <w:divBdr>
        <w:top w:val="none" w:sz="0" w:space="0" w:color="auto"/>
        <w:left w:val="none" w:sz="0" w:space="0" w:color="auto"/>
        <w:bottom w:val="none" w:sz="0" w:space="0" w:color="auto"/>
        <w:right w:val="none" w:sz="0" w:space="0" w:color="auto"/>
      </w:divBdr>
    </w:div>
    <w:div w:id="85807645">
      <w:bodyDiv w:val="1"/>
      <w:marLeft w:val="0"/>
      <w:marRight w:val="0"/>
      <w:marTop w:val="0"/>
      <w:marBottom w:val="0"/>
      <w:divBdr>
        <w:top w:val="none" w:sz="0" w:space="0" w:color="auto"/>
        <w:left w:val="none" w:sz="0" w:space="0" w:color="auto"/>
        <w:bottom w:val="none" w:sz="0" w:space="0" w:color="auto"/>
        <w:right w:val="none" w:sz="0" w:space="0" w:color="auto"/>
      </w:divBdr>
    </w:div>
    <w:div w:id="298078423">
      <w:bodyDiv w:val="1"/>
      <w:marLeft w:val="0"/>
      <w:marRight w:val="0"/>
      <w:marTop w:val="0"/>
      <w:marBottom w:val="0"/>
      <w:divBdr>
        <w:top w:val="none" w:sz="0" w:space="0" w:color="auto"/>
        <w:left w:val="none" w:sz="0" w:space="0" w:color="auto"/>
        <w:bottom w:val="none" w:sz="0" w:space="0" w:color="auto"/>
        <w:right w:val="none" w:sz="0" w:space="0" w:color="auto"/>
      </w:divBdr>
    </w:div>
    <w:div w:id="302270945">
      <w:bodyDiv w:val="1"/>
      <w:marLeft w:val="0"/>
      <w:marRight w:val="0"/>
      <w:marTop w:val="0"/>
      <w:marBottom w:val="0"/>
      <w:divBdr>
        <w:top w:val="none" w:sz="0" w:space="0" w:color="auto"/>
        <w:left w:val="none" w:sz="0" w:space="0" w:color="auto"/>
        <w:bottom w:val="none" w:sz="0" w:space="0" w:color="auto"/>
        <w:right w:val="none" w:sz="0" w:space="0" w:color="auto"/>
      </w:divBdr>
    </w:div>
    <w:div w:id="309988558">
      <w:bodyDiv w:val="1"/>
      <w:marLeft w:val="0"/>
      <w:marRight w:val="0"/>
      <w:marTop w:val="0"/>
      <w:marBottom w:val="0"/>
      <w:divBdr>
        <w:top w:val="none" w:sz="0" w:space="0" w:color="auto"/>
        <w:left w:val="none" w:sz="0" w:space="0" w:color="auto"/>
        <w:bottom w:val="none" w:sz="0" w:space="0" w:color="auto"/>
        <w:right w:val="none" w:sz="0" w:space="0" w:color="auto"/>
      </w:divBdr>
    </w:div>
    <w:div w:id="339358201">
      <w:bodyDiv w:val="1"/>
      <w:marLeft w:val="0"/>
      <w:marRight w:val="0"/>
      <w:marTop w:val="0"/>
      <w:marBottom w:val="0"/>
      <w:divBdr>
        <w:top w:val="none" w:sz="0" w:space="0" w:color="auto"/>
        <w:left w:val="none" w:sz="0" w:space="0" w:color="auto"/>
        <w:bottom w:val="none" w:sz="0" w:space="0" w:color="auto"/>
        <w:right w:val="none" w:sz="0" w:space="0" w:color="auto"/>
      </w:divBdr>
    </w:div>
    <w:div w:id="358317219">
      <w:bodyDiv w:val="1"/>
      <w:marLeft w:val="0"/>
      <w:marRight w:val="0"/>
      <w:marTop w:val="0"/>
      <w:marBottom w:val="0"/>
      <w:divBdr>
        <w:top w:val="none" w:sz="0" w:space="0" w:color="auto"/>
        <w:left w:val="none" w:sz="0" w:space="0" w:color="auto"/>
        <w:bottom w:val="none" w:sz="0" w:space="0" w:color="auto"/>
        <w:right w:val="none" w:sz="0" w:space="0" w:color="auto"/>
      </w:divBdr>
    </w:div>
    <w:div w:id="477039360">
      <w:bodyDiv w:val="1"/>
      <w:marLeft w:val="0"/>
      <w:marRight w:val="0"/>
      <w:marTop w:val="0"/>
      <w:marBottom w:val="0"/>
      <w:divBdr>
        <w:top w:val="none" w:sz="0" w:space="0" w:color="auto"/>
        <w:left w:val="none" w:sz="0" w:space="0" w:color="auto"/>
        <w:bottom w:val="none" w:sz="0" w:space="0" w:color="auto"/>
        <w:right w:val="none" w:sz="0" w:space="0" w:color="auto"/>
      </w:divBdr>
    </w:div>
    <w:div w:id="477192277">
      <w:bodyDiv w:val="1"/>
      <w:marLeft w:val="0"/>
      <w:marRight w:val="0"/>
      <w:marTop w:val="0"/>
      <w:marBottom w:val="0"/>
      <w:divBdr>
        <w:top w:val="none" w:sz="0" w:space="0" w:color="auto"/>
        <w:left w:val="none" w:sz="0" w:space="0" w:color="auto"/>
        <w:bottom w:val="none" w:sz="0" w:space="0" w:color="auto"/>
        <w:right w:val="none" w:sz="0" w:space="0" w:color="auto"/>
      </w:divBdr>
    </w:div>
    <w:div w:id="602343399">
      <w:bodyDiv w:val="1"/>
      <w:marLeft w:val="0"/>
      <w:marRight w:val="0"/>
      <w:marTop w:val="0"/>
      <w:marBottom w:val="0"/>
      <w:divBdr>
        <w:top w:val="none" w:sz="0" w:space="0" w:color="auto"/>
        <w:left w:val="none" w:sz="0" w:space="0" w:color="auto"/>
        <w:bottom w:val="none" w:sz="0" w:space="0" w:color="auto"/>
        <w:right w:val="none" w:sz="0" w:space="0" w:color="auto"/>
      </w:divBdr>
    </w:div>
    <w:div w:id="775059768">
      <w:bodyDiv w:val="1"/>
      <w:marLeft w:val="0"/>
      <w:marRight w:val="0"/>
      <w:marTop w:val="0"/>
      <w:marBottom w:val="0"/>
      <w:divBdr>
        <w:top w:val="none" w:sz="0" w:space="0" w:color="auto"/>
        <w:left w:val="none" w:sz="0" w:space="0" w:color="auto"/>
        <w:bottom w:val="none" w:sz="0" w:space="0" w:color="auto"/>
        <w:right w:val="none" w:sz="0" w:space="0" w:color="auto"/>
      </w:divBdr>
    </w:div>
    <w:div w:id="810246590">
      <w:bodyDiv w:val="1"/>
      <w:marLeft w:val="0"/>
      <w:marRight w:val="0"/>
      <w:marTop w:val="0"/>
      <w:marBottom w:val="0"/>
      <w:divBdr>
        <w:top w:val="none" w:sz="0" w:space="0" w:color="auto"/>
        <w:left w:val="none" w:sz="0" w:space="0" w:color="auto"/>
        <w:bottom w:val="none" w:sz="0" w:space="0" w:color="auto"/>
        <w:right w:val="none" w:sz="0" w:space="0" w:color="auto"/>
      </w:divBdr>
    </w:div>
    <w:div w:id="1014497401">
      <w:bodyDiv w:val="1"/>
      <w:marLeft w:val="0"/>
      <w:marRight w:val="0"/>
      <w:marTop w:val="0"/>
      <w:marBottom w:val="0"/>
      <w:divBdr>
        <w:top w:val="none" w:sz="0" w:space="0" w:color="auto"/>
        <w:left w:val="none" w:sz="0" w:space="0" w:color="auto"/>
        <w:bottom w:val="none" w:sz="0" w:space="0" w:color="auto"/>
        <w:right w:val="none" w:sz="0" w:space="0" w:color="auto"/>
      </w:divBdr>
    </w:div>
    <w:div w:id="1131750637">
      <w:bodyDiv w:val="1"/>
      <w:marLeft w:val="0"/>
      <w:marRight w:val="0"/>
      <w:marTop w:val="0"/>
      <w:marBottom w:val="0"/>
      <w:divBdr>
        <w:top w:val="none" w:sz="0" w:space="0" w:color="auto"/>
        <w:left w:val="none" w:sz="0" w:space="0" w:color="auto"/>
        <w:bottom w:val="none" w:sz="0" w:space="0" w:color="auto"/>
        <w:right w:val="none" w:sz="0" w:space="0" w:color="auto"/>
      </w:divBdr>
    </w:div>
    <w:div w:id="1242905995">
      <w:bodyDiv w:val="1"/>
      <w:marLeft w:val="0"/>
      <w:marRight w:val="0"/>
      <w:marTop w:val="0"/>
      <w:marBottom w:val="0"/>
      <w:divBdr>
        <w:top w:val="none" w:sz="0" w:space="0" w:color="auto"/>
        <w:left w:val="none" w:sz="0" w:space="0" w:color="auto"/>
        <w:bottom w:val="none" w:sz="0" w:space="0" w:color="auto"/>
        <w:right w:val="none" w:sz="0" w:space="0" w:color="auto"/>
      </w:divBdr>
      <w:divsChild>
        <w:div w:id="337344986">
          <w:marLeft w:val="-720"/>
          <w:marRight w:val="0"/>
          <w:marTop w:val="0"/>
          <w:marBottom w:val="0"/>
          <w:divBdr>
            <w:top w:val="none" w:sz="0" w:space="0" w:color="auto"/>
            <w:left w:val="none" w:sz="0" w:space="0" w:color="auto"/>
            <w:bottom w:val="none" w:sz="0" w:space="0" w:color="auto"/>
            <w:right w:val="none" w:sz="0" w:space="0" w:color="auto"/>
          </w:divBdr>
        </w:div>
      </w:divsChild>
    </w:div>
    <w:div w:id="1282417065">
      <w:bodyDiv w:val="1"/>
      <w:marLeft w:val="0"/>
      <w:marRight w:val="0"/>
      <w:marTop w:val="0"/>
      <w:marBottom w:val="0"/>
      <w:divBdr>
        <w:top w:val="none" w:sz="0" w:space="0" w:color="auto"/>
        <w:left w:val="none" w:sz="0" w:space="0" w:color="auto"/>
        <w:bottom w:val="none" w:sz="0" w:space="0" w:color="auto"/>
        <w:right w:val="none" w:sz="0" w:space="0" w:color="auto"/>
      </w:divBdr>
    </w:div>
    <w:div w:id="1311715419">
      <w:bodyDiv w:val="1"/>
      <w:marLeft w:val="0"/>
      <w:marRight w:val="0"/>
      <w:marTop w:val="0"/>
      <w:marBottom w:val="0"/>
      <w:divBdr>
        <w:top w:val="none" w:sz="0" w:space="0" w:color="auto"/>
        <w:left w:val="none" w:sz="0" w:space="0" w:color="auto"/>
        <w:bottom w:val="none" w:sz="0" w:space="0" w:color="auto"/>
        <w:right w:val="none" w:sz="0" w:space="0" w:color="auto"/>
      </w:divBdr>
    </w:div>
    <w:div w:id="1349140426">
      <w:bodyDiv w:val="1"/>
      <w:marLeft w:val="0"/>
      <w:marRight w:val="0"/>
      <w:marTop w:val="0"/>
      <w:marBottom w:val="0"/>
      <w:divBdr>
        <w:top w:val="none" w:sz="0" w:space="0" w:color="auto"/>
        <w:left w:val="none" w:sz="0" w:space="0" w:color="auto"/>
        <w:bottom w:val="none" w:sz="0" w:space="0" w:color="auto"/>
        <w:right w:val="none" w:sz="0" w:space="0" w:color="auto"/>
      </w:divBdr>
    </w:div>
    <w:div w:id="1397513177">
      <w:bodyDiv w:val="1"/>
      <w:marLeft w:val="0"/>
      <w:marRight w:val="0"/>
      <w:marTop w:val="0"/>
      <w:marBottom w:val="0"/>
      <w:divBdr>
        <w:top w:val="none" w:sz="0" w:space="0" w:color="auto"/>
        <w:left w:val="none" w:sz="0" w:space="0" w:color="auto"/>
        <w:bottom w:val="none" w:sz="0" w:space="0" w:color="auto"/>
        <w:right w:val="none" w:sz="0" w:space="0" w:color="auto"/>
      </w:divBdr>
    </w:div>
    <w:div w:id="1782676526">
      <w:bodyDiv w:val="1"/>
      <w:marLeft w:val="0"/>
      <w:marRight w:val="0"/>
      <w:marTop w:val="0"/>
      <w:marBottom w:val="0"/>
      <w:divBdr>
        <w:top w:val="none" w:sz="0" w:space="0" w:color="auto"/>
        <w:left w:val="none" w:sz="0" w:space="0" w:color="auto"/>
        <w:bottom w:val="none" w:sz="0" w:space="0" w:color="auto"/>
        <w:right w:val="none" w:sz="0" w:space="0" w:color="auto"/>
      </w:divBdr>
    </w:div>
    <w:div w:id="2068020944">
      <w:bodyDiv w:val="1"/>
      <w:marLeft w:val="0"/>
      <w:marRight w:val="0"/>
      <w:marTop w:val="0"/>
      <w:marBottom w:val="0"/>
      <w:divBdr>
        <w:top w:val="none" w:sz="0" w:space="0" w:color="auto"/>
        <w:left w:val="none" w:sz="0" w:space="0" w:color="auto"/>
        <w:bottom w:val="none" w:sz="0" w:space="0" w:color="auto"/>
        <w:right w:val="none" w:sz="0" w:space="0" w:color="auto"/>
      </w:divBdr>
    </w:div>
    <w:div w:id="2075739069">
      <w:bodyDiv w:val="1"/>
      <w:marLeft w:val="0"/>
      <w:marRight w:val="0"/>
      <w:marTop w:val="0"/>
      <w:marBottom w:val="0"/>
      <w:divBdr>
        <w:top w:val="none" w:sz="0" w:space="0" w:color="auto"/>
        <w:left w:val="none" w:sz="0" w:space="0" w:color="auto"/>
        <w:bottom w:val="none" w:sz="0" w:space="0" w:color="auto"/>
        <w:right w:val="none" w:sz="0" w:space="0" w:color="auto"/>
      </w:divBdr>
      <w:divsChild>
        <w:div w:id="458425354">
          <w:marLeft w:val="-720"/>
          <w:marRight w:val="0"/>
          <w:marTop w:val="0"/>
          <w:marBottom w:val="0"/>
          <w:divBdr>
            <w:top w:val="none" w:sz="0" w:space="0" w:color="auto"/>
            <w:left w:val="none" w:sz="0" w:space="0" w:color="auto"/>
            <w:bottom w:val="none" w:sz="0" w:space="0" w:color="auto"/>
            <w:right w:val="none" w:sz="0" w:space="0" w:color="auto"/>
          </w:divBdr>
        </w:div>
      </w:divsChild>
    </w:div>
    <w:div w:id="213937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7045/sthlmuni.10321829.v2" TargetMode="External"/><Relationship Id="rId18" Type="http://schemas.openxmlformats.org/officeDocument/2006/relationships/hyperlink" Target="http://doi.org/10.5255/UKDA-SN-8140-2" TargetMode="External"/><Relationship Id="rId3" Type="http://schemas.openxmlformats.org/officeDocument/2006/relationships/settings" Target="settings.xml"/><Relationship Id="rId21" Type="http://schemas.openxmlformats.org/officeDocument/2006/relationships/hyperlink" Target="https://openscholarship.wustl.edu/cgi/viewcontent.cgi?article=1596&amp;context=csd_research" TargetMode="External"/><Relationship Id="rId7" Type="http://schemas.openxmlformats.org/officeDocument/2006/relationships/image" Target="media/image1.png"/><Relationship Id="rId12" Type="http://schemas.openxmlformats.org/officeDocument/2006/relationships/hyperlink" Target="https://doi.org/10.17045/sthlmuni.10321829.v2" TargetMode="External"/><Relationship Id="rId17" Type="http://schemas.openxmlformats.org/officeDocument/2006/relationships/hyperlink" Target="https://doi.org/10.1080/1478601x.2011.54419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201/9780203741559" TargetMode="External"/><Relationship Id="rId20" Type="http://schemas.openxmlformats.org/officeDocument/2006/relationships/hyperlink" Target="https://doi.org/10.1332/239868018x152655633426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militaris.net/menu-script/index.php/resmilitaris/article/view/1319"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2139/ssrn.1814006" TargetMode="Externa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books.google.com/books?hl=en&amp;lr=&amp;id=QggqDwAAQBAJ&amp;oi=fnd&amp;pg=PP1&amp;dq=analysing+Demographic+Variables+spss&amp;ots=CKVIS-cHq8&amp;sig=SY95owjC2m_2ujv31p0EmdPIN6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77/0886260516632356" TargetMode="External"/><Relationship Id="rId22" Type="http://schemas.openxmlformats.org/officeDocument/2006/relationships/hyperlink" Target="https://search.proquest.com/openview/71ba8781f88a269938b860d448e6e8d2/1?pq-origsite=gscholar&amp;cbl=18180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14</Pages>
  <Words>2065</Words>
  <Characters>12432</Characters>
  <Application>Microsoft Office Word</Application>
  <DocSecurity>0</DocSecurity>
  <Lines>592</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lexx kirimi</dc:creator>
  <cp:keywords/>
  <dc:description/>
  <cp:lastModifiedBy>lexx kirimi</cp:lastModifiedBy>
  <cp:revision>39</cp:revision>
  <dcterms:created xsi:type="dcterms:W3CDTF">2024-01-09T12:15:00Z</dcterms:created>
  <dcterms:modified xsi:type="dcterms:W3CDTF">2024-01-09T15:19:00Z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9b7e13fa-0007-4166-889c-fe8d372654f5</vt:lpwstr>
  </property>
</Properties>
</file>