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OUTREACH BRIEF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PLASTIBIOFUEL LLC  ·  SDVOSB, SBA VETCERT VERIFIED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Getting on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the radar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Three federal offices whose job is to know companies like this one. No deadlines, no forms, no applications. Each letter asks for one thing an office can grant without a decision.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LETTERS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3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Ready to send today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QUEUE BEHIND THEM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7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One per run from here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COST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Under an hour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Total, for all three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DF0F5"/>
            <w:tcBorders>
              <w:top w:val="nil"/>
              <w:left w:val="single" w:sz="24" w:space="0" w:color="D50057"/>
              <w:bottom w:val="nil"/>
              <w:right w:val="nil"/>
            </w:tcBorders>
            <w:tcMar>
              <w:top w:w="140" w:type="dxa"/>
              <w:start w:w="280" w:type="dxa"/>
              <w:bottom w:w="140" w:type="dxa"/>
              <w:end w:w="28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Outreach does not win awards. It decides whether the people who write topics and run programs know the company exists before the next window opens.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WHY NOW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A DOE pitch lands September 10 and a DOE teaming list is open. Both give a reason to write that is not simply asking for attention.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WHAT IS ASKED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To be added to a notification list, to be pointed at the right program manager, or fifteen minutes. Nothing that costs an office a decision.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WHAT IS NEVER ASKED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Money, a set-aside, preferential treatment, or feedback on a pending proposal. The first three are improper and the fourth is unwise.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WHO SENDS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Michael Ward, from michael@plastibiofuel.com. Federal offices answer founders, not agents.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WHAT IS CLAIMED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Only what the signed UNT report establishes. No reactor is built, no ethanol has been produced, and neither letter says otherwise.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CADENCE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One outreach per funding-loop run, advancing the queue cursor. Batch 01 is three at once because they are the front doors.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00" w:line="312" w:lineRule="auto"/>
      </w:pPr>
      <w:r>
        <w:rPr>
          <w:rFonts w:ascii="Aptos" w:hAnsi="Aptos" w:cs="Aptos" w:eastAsia="Aptos"/>
          <w:b w:val="0"/>
          <w:i w:val="0"/>
          <w:color w:val="4A5561"/>
          <w:sz w:val="19"/>
        </w:rPr>
        <w:t>Every contact channel was read off the issuing office's own page and is dated in the Targets and Channels document. Verified August 25, 2026.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12380 Iveson Drive, Haslet, TX 76052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