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OUTREACH LETTERS</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STRATEGIC OUTREACH  ·  BATCH 01  ·  FEDERAL R&amp;D</w:t>
      </w:r>
    </w:p>
    <w:p>
      <w:pPr>
        <w:keepNext/>
        <w:spacing w:before="0" w:after="0" w:line="247" w:lineRule="auto"/>
      </w:pPr>
      <w:r>
        <w:rPr>
          <w:rFonts w:ascii="Aptos Display" w:hAnsi="Aptos Display" w:cs="Aptos Display" w:eastAsia="Aptos Display"/>
          <w:b/>
          <w:i w:val="0"/>
          <w:color w:val="2A2A2A"/>
          <w:sz w:val="56"/>
        </w:rPr>
        <w:t>Three letters,</w:t>
      </w:r>
    </w:p>
    <w:p>
      <w:pPr>
        <w:keepNext/>
        <w:spacing w:before="0" w:after="120" w:line="247" w:lineRule="auto"/>
      </w:pPr>
      <w:r>
        <w:rPr>
          <w:rFonts w:ascii="Aptos Display" w:hAnsi="Aptos Display" w:cs="Aptos Display" w:eastAsia="Aptos Display"/>
          <w:b/>
          <w:i w:val="0"/>
          <w:color w:val="2A2A2A"/>
          <w:sz w:val="56"/>
        </w:rPr>
        <w:t>ready to send</w:t>
      </w:r>
    </w:p>
    <w:p>
      <w:pPr>
        <w:spacing w:before="0" w:after="260" w:line="312" w:lineRule="auto"/>
      </w:pPr>
      <w:r>
        <w:rPr>
          <w:rFonts w:ascii="Aptos" w:hAnsi="Aptos" w:cs="Aptos" w:eastAsia="Aptos"/>
          <w:b w:val="0"/>
          <w:i w:val="0"/>
          <w:color w:val="4A5561"/>
          <w:sz w:val="22"/>
        </w:rPr>
        <w:t>Send from michael@plastibiofuel.com. Subject lines are written to survive a crowded inbox and to say SDVOSB in the first few words.</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LETTER 1  ·  DOE OFFICE OF SMALL BUSINESS PROGRAMS</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smallbusiness@hq.doe.gov</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264" w:lineRule="auto"/>
            </w:pPr>
            <w:r>
              <w:rPr>
                <w:rFonts w:ascii="Aptos Display" w:hAnsi="Aptos Display" w:cs="Aptos Display" w:eastAsia="Aptos Display"/>
                <w:b/>
                <w:i w:val="0"/>
                <w:color w:val="045AA9"/>
                <w:sz w:val="15"/>
                <w:spacing w:val="22"/>
              </w:rPr>
              <w:t>SUBJECT</w:t>
            </w:r>
          </w:p>
          <w:p>
            <w:pPr>
              <w:spacing w:before="60" w:after="0" w:line="302" w:lineRule="auto"/>
            </w:pPr>
            <w:r>
              <w:rPr>
                <w:rFonts w:ascii="Aptos" w:hAnsi="Aptos" w:cs="Aptos" w:eastAsia="Aptos"/>
                <w:b w:val="0"/>
                <w:i w:val="0"/>
                <w:color w:val="2A2A2A"/>
                <w:sz w:val="19"/>
              </w:rPr>
              <w:t>SDVOSB introduction: enzymatic PET to chemicals, Haslet TX (UEI KQAWZ54RDUM8)</w:t>
            </w:r>
          </w:p>
        </w:tc>
      </w:tr>
    </w:tbl>
    <w:p>
      <w:pPr>
        <w:spacing w:before="0" w:after="120" w:line="240" w:lineRule="auto"/>
      </w:pPr>
    </w:p>
    <w:p>
      <w:pPr>
        <w:spacing w:before="0" w:after="140" w:line="312" w:lineRule="auto"/>
      </w:pPr>
      <w:r>
        <w:rPr>
          <w:rFonts w:ascii="Aptos" w:hAnsi="Aptos" w:cs="Aptos" w:eastAsia="Aptos"/>
          <w:b w:val="0"/>
          <w:i w:val="0"/>
          <w:color w:val="2A2A2A"/>
          <w:sz w:val="21"/>
        </w:rPr>
        <w:t>Dear Office of Small Business Programs,</w:t>
        <w:br/>
        <w:br/>
        <w:t>I am writing to introduce PlastiBioFuel LLC, a service-disabled veteran-owned small business in Haslet, Texas, certified through SBA's Veteran Small Business Certification program. We convert post-consumer PET into chemicals using an enzyme immobilized in a covalent organic framework, with a sponsored research agreement at the University of North Texas.</w:t>
        <w:br/>
        <w:br/>
        <w:t>Where the work stands: an independent final report from UNT confirms that our enzyme breaks real post-consumer bottle PET down to terephthalic acid, and identifies mass transfer as the limit on rate. Our reactor design exists as a validated model and not yet as hardware. We are a first-time federal applicant with a DOE SBIR/STTR pitch going in on September 10 and an NSF SBIR proposal in preparation.</w:t>
        <w:br/>
        <w:br/>
        <w:t>Two questions, and I know your office fields many:</w:t>
        <w:br/>
        <w:br/>
        <w:t>1. Is there a small business program manager in the DOE offices working on chemicals from waste feedstocks that you would point me toward?</w:t>
        <w:br/>
        <w:br/>
        <w:t>2. How do I get on the notification list for vendor outreach sessions and the Mentor-Protege Program?</w:t>
        <w:br/>
        <w:br/>
        <w:t>I am not asking for consideration on anything pending. I would rather be known before the next window opens than introduce myself inside an application.</w:t>
        <w:br/>
        <w:br/>
        <w:t>Respectfully,</w:t>
        <w:br/>
        <w:br/>
        <w:t>Michael David Ward</w:t>
        <w:br/>
        <w:t>Founder and Chief Executive Officer, PlastiBioFuel LLC</w:t>
        <w:br/>
        <w:t>UEI KQAWZ54RDUM8  |  CAGE 175D6  |  SDVOSB, SBA VetCert verified</w:t>
        <w:br/>
        <w:t>michael@plastibiofuel.com  |  817-319-7383  |  plastibiofuel.com</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LETTER 2  ·  DOE SBIR/STTR PROGRAM OFFICE</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sbir-sttr@hq.doe.gov, copy sbir-sttr@connectwerx.org</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264" w:lineRule="auto"/>
            </w:pPr>
            <w:r>
              <w:rPr>
                <w:rFonts w:ascii="Aptos Display" w:hAnsi="Aptos Display" w:cs="Aptos Display" w:eastAsia="Aptos Display"/>
                <w:b/>
                <w:i w:val="0"/>
                <w:color w:val="045AA9"/>
                <w:sz w:val="15"/>
                <w:spacing w:val="22"/>
              </w:rPr>
              <w:t>SUBJECT</w:t>
            </w:r>
          </w:p>
          <w:p>
            <w:pPr>
              <w:spacing w:before="60" w:after="0" w:line="302" w:lineRule="auto"/>
            </w:pPr>
            <w:r>
              <w:rPr>
                <w:rFonts w:ascii="Aptos" w:hAnsi="Aptos" w:cs="Aptos" w:eastAsia="Aptos"/>
                <w:b w:val="0"/>
                <w:i w:val="0"/>
                <w:color w:val="2A2A2A"/>
                <w:sz w:val="19"/>
              </w:rPr>
              <w:t>FY26 Phase I notification list and topic questions, PlastiBioFuel LLC (SDVOSB)</w:t>
            </w:r>
          </w:p>
        </w:tc>
      </w:tr>
    </w:tbl>
    <w:p>
      <w:pPr>
        <w:spacing w:before="0" w:after="12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shd w:val="clear" w:color="auto" w:fill="FDF0F5"/>
            <w:tcBorders>
              <w:top w:val="nil"/>
              <w:left w:val="single" w:sz="24" w:space="0" w:color="D50057"/>
              <w:bottom w:val="nil"/>
              <w:right w:val="nil"/>
            </w:tcBorders>
            <w:tcMar>
              <w:top w:w="200" w:type="dxa"/>
              <w:start w:w="320" w:type="dxa"/>
              <w:bottom w:w="200" w:type="dxa"/>
              <w:end w:w="320" w:type="dxa"/>
            </w:tcMar>
          </w:tcPr>
          <w:p>
            <w:pPr>
              <w:spacing w:before="0" w:after="0" w:line="276" w:lineRule="auto"/>
            </w:pPr>
            <w:r>
              <w:rPr>
                <w:rFonts w:ascii="Aptos Display" w:hAnsi="Aptos Display" w:cs="Aptos Display" w:eastAsia="Aptos Display"/>
                <w:b/>
                <w:i w:val="0"/>
                <w:color w:val="D50057"/>
                <w:sz w:val="17"/>
                <w:spacing w:val="24"/>
              </w:rPr>
              <w:t>SEND THIS ONE AFTER THE PITCH IS IN</w:t>
            </w:r>
          </w:p>
          <w:p>
            <w:pPr>
              <w:spacing w:before="100" w:after="0" w:line="312" w:lineRule="auto"/>
            </w:pPr>
            <w:r>
              <w:rPr>
                <w:rFonts w:ascii="Aptos" w:hAnsi="Aptos" w:cs="Aptos" w:eastAsia="Aptos"/>
                <w:b w:val="0"/>
                <w:i w:val="0"/>
                <w:color w:val="2A2A2A"/>
                <w:sz w:val="21"/>
              </w:rPr>
              <w:t>The letter says it is not about the pending pitch, and that is true. It still reads better arriving after September 10 than during the review. If the pitch slips, send it anyway; nothing in it asks for consideration.</w:t>
            </w:r>
          </w:p>
        </w:tc>
      </w:tr>
    </w:tbl>
    <w:p>
      <w:pPr>
        <w:spacing w:before="0" w:after="200" w:line="240" w:lineRule="auto"/>
      </w:pPr>
    </w:p>
    <w:p>
      <w:pPr>
        <w:spacing w:before="0" w:after="140" w:line="312" w:lineRule="auto"/>
      </w:pPr>
      <w:r>
        <w:rPr>
          <w:rFonts w:ascii="Aptos" w:hAnsi="Aptos" w:cs="Aptos" w:eastAsia="Aptos"/>
          <w:b w:val="0"/>
          <w:i w:val="0"/>
          <w:color w:val="2A2A2A"/>
          <w:sz w:val="21"/>
        </w:rPr>
        <w:t>Dear DOE SBIR/STTR Program Office,</w:t>
        <w:br/>
        <w:br/>
        <w:t>PlastiBioFuel LLC is a service-disabled veteran-owned small business in Haslet, Texas working on enzymatic conversion of post-consumer PET to chemicals. We are preparing a pitch for the FY26 Phase I Genesis Mission opportunity under Topic 1, due September 10.</w:t>
        <w:br/>
        <w:br/>
        <w:t>This note is not about that pitch and needs no reply that touches it.</w:t>
        <w:br/>
        <w:br/>
        <w:t>The opportunity page states that a broader Phase I funding opportunity covering additional technology topics will follow later this summer. Our reactor hardware work fits that broader call better than it fits the Genesis Mission framing, so:</w:t>
        <w:br/>
        <w:br/>
        <w:t>1. Is there a notification list for the broader FY26 Phase I release, beyond the general mailing list?</w:t>
        <w:br/>
        <w:br/>
        <w:t>2. For future topic cycles, who is the right person to hear from small businesses working on chemical recycling and waste-to-chemical conversion?</w:t>
        <w:br/>
        <w:br/>
        <w:t>We are a first-time DOE applicant, which is the reason for asking rather than assuming.</w:t>
        <w:br/>
        <w:br/>
        <w:t>Respectfully,</w:t>
        <w:br/>
        <w:br/>
        <w:t>Michael David Ward</w:t>
        <w:br/>
        <w:t>Founder and Chief Executive Officer, PlastiBioFuel LLC</w:t>
        <w:br/>
        <w:t>UEI KQAWZ54RDUM8  |  CAGE 175D6  |  SDVOSB, SBA VetCert verified</w:t>
        <w:br/>
        <w:t>michael@plastibiofuel.com  |  817-319-7383  |  plastibiofuel.com</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5184"/>
            <w:tcBorders>
              <w:top w:val="nil"/>
              <w:left w:val="nil"/>
              <w:bottom w:val="nil"/>
              <w:right w:val="nil"/>
            </w:tcBorders>
            <w:tcMar>
              <w:top w:w="0" w:type="dxa"/>
              <w:start w:w="0" w:type="dxa"/>
              <w:bottom w:w="0" w:type="dxa"/>
              <w:end w:w="0" w:type="dxa"/>
            </w:tcMar>
            <w:shd w:val="clear" w:color="auto" w:fill="045AA9"/>
            <w:tcMar>
              <w:top w:w="100" w:type="dxa"/>
              <w:start w:w="200" w:type="dxa"/>
              <w:bottom w:w="100" w:type="dxa"/>
              <w:end w:w="200" w:type="dxa"/>
            </w:tcMar>
          </w:tcPr>
          <w:p>
            <w:pPr>
              <w:spacing w:before="0" w:after="0" w:line="264" w:lineRule="auto"/>
            </w:pPr>
            <w:r>
              <w:rPr>
                <w:rFonts w:ascii="Aptos Display" w:hAnsi="Aptos Display" w:cs="Aptos Display" w:eastAsia="Aptos Display"/>
                <w:b/>
                <w:i w:val="0"/>
                <w:color w:val="FFFFFF"/>
                <w:sz w:val="19"/>
                <w:spacing w:val="24"/>
              </w:rPr>
              <w:t>LETTER 3  ·  DEPARTMENT OF WAR, OFFICE OF INDUSTRIAL BASE GROWTH</w:t>
            </w:r>
          </w:p>
        </w:tc>
        <w:tc>
          <w:tcPr>
            <w:tcW w:type="dxa" w:w="4176"/>
            <w:tcBorders>
              <w:top w:val="nil"/>
              <w:left w:val="nil"/>
              <w:bottom w:val="nil"/>
              <w:right w:val="nil"/>
            </w:tcBorders>
            <w:tcMar>
              <w:top w:w="0" w:type="dxa"/>
              <w:start w:w="0" w:type="dxa"/>
              <w:bottom w:w="0" w:type="dxa"/>
              <w:end w:w="0" w:type="dxa"/>
            </w:tcMar>
            <w:tcMar>
              <w:top w:w="120" w:type="dxa"/>
              <w:start w:w="240" w:type="dxa"/>
              <w:bottom w:w="100" w:type="dxa"/>
              <w:end w:w="0" w:type="dxa"/>
            </w:tcMar>
          </w:tcPr>
          <w:p>
            <w:pPr>
              <w:spacing w:before="0" w:after="0" w:line="264" w:lineRule="auto"/>
              <w:jc w:val="right"/>
            </w:pPr>
            <w:r>
              <w:rPr>
                <w:rFonts w:ascii="Aptos Display" w:hAnsi="Aptos Display" w:cs="Aptos Display" w:eastAsia="Aptos Display"/>
                <w:b/>
                <w:i w:val="0"/>
                <w:color w:val="6B7684"/>
                <w:sz w:val="18"/>
              </w:rPr>
              <w:t>osd.business.defense@mail.mil</w:t>
            </w:r>
          </w:p>
        </w:tc>
      </w:tr>
    </w:tbl>
    <w:p>
      <w:pPr>
        <w:spacing w:before="0" w:after="160" w:line="240" w:lineRule="auto"/>
      </w:pPr>
    </w:p>
    <w:tbl>
      <w:tblPr>
        <w:tblW w:type="auto" w:w="0"/>
        <w:jc w:val="left"/>
        <w:tblLayout w:type="fixed"/>
        <w:tblLook w:firstColumn="1" w:firstRow="1" w:lastColumn="0" w:lastRow="0" w:noHBand="0" w:noVBand="1" w:val="04A0"/>
        <w:tblInd w:w="0" w:type="dxa"/>
        <w:tblLayout w:type="fixed"/>
      </w:tblPr>
      <w:tblGrid>
        <w:gridCol w:w="9360"/>
      </w:tblGrid>
      <w:tr>
        <w:tc>
          <w:tcPr>
            <w:tcW w:type="dxa" w:w="9360"/>
            <w:tcMar>
              <w:top w:w="0" w:type="dxa"/>
              <w:start w:w="0" w:type="dxa"/>
              <w:bottom w:w="0" w:type="dxa"/>
              <w:end w:w="0" w:type="dxa"/>
            </w:tcMar>
            <w:tcBorders>
              <w:top w:val="single" w:sz="6" w:space="0" w:color="E3E8EF"/>
              <w:left w:val="nil"/>
              <w:bottom w:val="nil"/>
              <w:right w:val="nil"/>
            </w:tcBorders>
            <w:tcMar>
              <w:top w:w="140" w:type="dxa"/>
              <w:start w:w="0" w:type="dxa"/>
              <w:bottom w:w="140" w:type="dxa"/>
              <w:end w:w="0" w:type="dxa"/>
            </w:tcMar>
          </w:tcPr>
          <w:p>
            <w:pPr>
              <w:spacing w:before="0" w:after="0" w:line="264" w:lineRule="auto"/>
            </w:pPr>
            <w:r>
              <w:rPr>
                <w:rFonts w:ascii="Aptos Display" w:hAnsi="Aptos Display" w:cs="Aptos Display" w:eastAsia="Aptos Display"/>
                <w:b/>
                <w:i w:val="0"/>
                <w:color w:val="045AA9"/>
                <w:sz w:val="15"/>
                <w:spacing w:val="22"/>
              </w:rPr>
              <w:t>SUBJECT</w:t>
            </w:r>
          </w:p>
          <w:p>
            <w:pPr>
              <w:spacing w:before="60" w:after="0" w:line="302" w:lineRule="auto"/>
            </w:pPr>
            <w:r>
              <w:rPr>
                <w:rFonts w:ascii="Aptos" w:hAnsi="Aptos" w:cs="Aptos" w:eastAsia="Aptos"/>
                <w:b w:val="0"/>
                <w:i w:val="0"/>
                <w:color w:val="2A2A2A"/>
                <w:sz w:val="19"/>
              </w:rPr>
              <w:t>SDVOSB capability introduction: waste plastic to fuel and chemicals (UEI KQAWZ54RDUM8)</w:t>
            </w:r>
          </w:p>
        </w:tc>
      </w:tr>
    </w:tbl>
    <w:p>
      <w:pPr>
        <w:spacing w:before="0" w:after="120" w:line="240" w:lineRule="auto"/>
      </w:pPr>
    </w:p>
    <w:p>
      <w:pPr>
        <w:spacing w:before="0" w:after="140" w:line="312" w:lineRule="auto"/>
      </w:pPr>
      <w:r>
        <w:rPr>
          <w:rFonts w:ascii="Aptos" w:hAnsi="Aptos" w:cs="Aptos" w:eastAsia="Aptos"/>
          <w:b w:val="0"/>
          <w:i w:val="0"/>
          <w:color w:val="2A2A2A"/>
          <w:sz w:val="21"/>
        </w:rPr>
        <w:t>Dear Office of Industrial Base Growth,</w:t>
        <w:br/>
        <w:br/>
        <w:t>PlastiBioFuel LLC is a service-disabled veteran-owned small business in Haslet, Texas, certified through SBA's Veteran Small Business Certification program. We work on converting waste PET plastic into chemicals, and our longer objective is fuel.</w:t>
        <w:br/>
        <w:br/>
        <w:t>The reason to write your office rather than a science office: fuel and its logistics are a tonnage problem before they are a chemistry problem, and waste plastic is one of the few feedstocks that is already present wherever people are. We are early. An independent university report confirms our enzyme converts real post-consumer bottle PET to terephthalic acid; our reactor exists as a validated model rather than hardware; and we have produced no fuel yet. I would rather say that plainly now than overstate it.</w:t>
        <w:br/>
        <w:br/>
        <w:t>Two questions:</w:t>
        <w:br/>
        <w:br/>
        <w:t>1. Which service or agency small business office would you point a first-time SDVOSB vendor toward for waste-to-energy and expeditionary fuel work?</w:t>
        <w:br/>
        <w:br/>
        <w:t>2. Is the Texas APEX Accelerator the right first stop for a company at our stage?</w:t>
        <w:br/>
        <w:br/>
        <w:t>Respectfully,</w:t>
        <w:br/>
        <w:br/>
        <w:t>Michael David Ward</w:t>
        <w:br/>
        <w:t>Founder and Chief Executive Officer, PlastiBioFuel LLC</w:t>
        <w:br/>
        <w:t>UEI KQAWZ54RDUM8  |  CAGE 175D6  |  SDVOSB, SBA VetCert verified</w:t>
        <w:br/>
        <w:t>michael@plastibiofuel.com  |  817-319-7383  |  plastibiofuel.com</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12380 Iveson Drive, Haslet, TX 76052  ·  michael@plastibiofuel.com  ·  817-319-7383</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