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440" w:type="dxa"/>
        <w:tblLayout w:type="fixed"/>
      </w:tblPr>
      <w:tblGrid>
        <w:gridCol w:w="4680"/>
        <w:gridCol w:w="4680"/>
      </w:tblGrid>
      <w:tr>
        <w:tc>
          <w:tcPr>
            <w:tcW w:type="dxa" w:w="61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40" w:type="dxa"/>
              <w:start w:w="1440" w:type="dxa"/>
              <w:bottom w:w="14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FFFFFF"/>
                <w:sz w:val="22"/>
                <w:spacing w:val="36"/>
              </w:rPr>
              <w:t>PLASTIBIOFUEL</w:t>
            </w:r>
          </w:p>
        </w:tc>
        <w:tc>
          <w:tcPr>
            <w:tcW w:type="dxa" w:w="61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40" w:type="dxa"/>
              <w:start w:w="0" w:type="dxa"/>
              <w:bottom w:w="140" w:type="dxa"/>
              <w:end w:w="14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ptos Display" w:hAnsi="Aptos Display" w:cs="Aptos Display" w:eastAsia="Aptos Display"/>
                <w:b/>
                <w:i w:val="0"/>
                <w:color w:val="9EC8F0"/>
                <w:sz w:val="16"/>
                <w:spacing w:val="38"/>
              </w:rPr>
              <w:t>CAPABILITY SNAPSHOT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440" w:type="dxa"/>
        <w:tblLayout w:type="fixed"/>
      </w:tblPr>
      <w:tblGrid>
        <w:gridCol w:w="9360"/>
      </w:tblGrid>
      <w:tr>
        <w:tc>
          <w:tcPr>
            <w:tcW w:type="dxa" w:w="122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D500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4"/>
              </w:rPr>
            </w:r>
          </w:p>
        </w:tc>
      </w:tr>
    </w:tbl>
    <w:p>
      <w:pPr>
        <w:spacing w:before="0" w:after="240" w:line="240" w:lineRule="auto"/>
      </w:pPr>
    </w:p>
    <w:p>
      <w:pPr>
        <w:keepNext/>
        <w:spacing w:before="0" w:after="100" w:line="264" w:lineRule="auto"/>
      </w:pPr>
      <w:r>
        <w:rPr>
          <w:rFonts w:ascii="Aptos Display" w:hAnsi="Aptos Display" w:cs="Aptos Display" w:eastAsia="Aptos Display"/>
          <w:b/>
          <w:i w:val="0"/>
          <w:color w:val="045AA9"/>
          <w:sz w:val="18"/>
          <w:spacing w:val="28"/>
        </w:rPr>
        <w:t>PLASTIBIOFUEL LLC  ·  HASLET, TEXAS</w:t>
      </w:r>
    </w:p>
    <w:p>
      <w:pPr>
        <w:keepNext/>
        <w:spacing w:before="0" w:after="0" w:line="247" w:lineRule="auto"/>
      </w:pPr>
      <w:r>
        <w:rPr>
          <w:rFonts w:ascii="Aptos Display" w:hAnsi="Aptos Display" w:cs="Aptos Display" w:eastAsia="Aptos Display"/>
          <w:b/>
          <w:i w:val="0"/>
          <w:color w:val="2A2A2A"/>
          <w:sz w:val="56"/>
        </w:rPr>
        <w:t>Post-consumer PET</w:t>
      </w:r>
    </w:p>
    <w:p>
      <w:pPr>
        <w:keepNext/>
        <w:spacing w:before="0" w:after="120" w:line="247" w:lineRule="auto"/>
      </w:pPr>
      <w:r>
        <w:rPr>
          <w:rFonts w:ascii="Aptos Display" w:hAnsi="Aptos Display" w:cs="Aptos Display" w:eastAsia="Aptos Display"/>
          <w:b/>
          <w:i w:val="0"/>
          <w:color w:val="2A2A2A"/>
          <w:sz w:val="56"/>
        </w:rPr>
        <w:t>to chemicals</w:t>
      </w:r>
    </w:p>
    <w:p>
      <w:pPr>
        <w:spacing w:before="0" w:after="260" w:line="312" w:lineRule="auto"/>
      </w:pPr>
      <w:r>
        <w:rPr>
          <w:rFonts w:ascii="Aptos" w:hAnsi="Aptos" w:cs="Aptos" w:eastAsia="Aptos"/>
          <w:b w:val="0"/>
          <w:i w:val="0"/>
          <w:color w:val="4A5561"/>
          <w:sz w:val="22"/>
        </w:rPr>
        <w:t>One page, written to be forwarded. Every number on it traces to a signed independent report.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2" w:space="0" w:color="2A2A2A"/>
              <w:left w:val="nil"/>
              <w:bottom w:val="single" w:sz="6" w:space="0" w:color="E3E8EF"/>
              <w:right w:val="single" w:sz="6" w:space="0" w:color="E3E8EF"/>
            </w:tcBorders>
            <w:tcMar>
              <w:top w:w="160" w:type="dxa"/>
              <w:start w:w="0" w:type="dxa"/>
              <w:bottom w:w="160" w:type="dxa"/>
              <w:end w:w="24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34"/>
              </w:rPr>
              <w:t>122</w:t>
            </w:r>
          </w:p>
          <w:p>
            <w:pPr>
              <w:spacing w:before="8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5"/>
                <w:spacing w:val="22"/>
              </w:rPr>
              <w:t>MICROMOL/H/MG TURNOVER, IMMOBILIZED</w:t>
            </w:r>
          </w:p>
        </w:tc>
        <w:tc>
          <w:tcPr>
            <w:tcW w:type="dxa" w:w="31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2" w:space="0" w:color="2A2A2A"/>
              <w:left w:val="nil"/>
              <w:bottom w:val="single" w:sz="6" w:space="0" w:color="E3E8EF"/>
              <w:right w:val="single" w:sz="6" w:space="0" w:color="E3E8EF"/>
            </w:tcBorders>
            <w:tcMar>
              <w:top w:w="160" w:type="dxa"/>
              <w:start w:w="240" w:type="dxa"/>
              <w:bottom w:w="160" w:type="dxa"/>
              <w:end w:w="24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34"/>
              </w:rPr>
              <w:t>3</w:t>
            </w:r>
          </w:p>
          <w:p>
            <w:pPr>
              <w:spacing w:before="8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5"/>
                <w:spacing w:val="22"/>
              </w:rPr>
              <w:t>MILESTONES CLOSED EARLY</w:t>
            </w:r>
          </w:p>
        </w:tc>
        <w:tc>
          <w:tcPr>
            <w:tcW w:type="dxa" w:w="31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2" w:space="0" w:color="2A2A2A"/>
              <w:left w:val="nil"/>
              <w:bottom w:val="single" w:sz="6" w:space="0" w:color="E3E8EF"/>
              <w:right w:val="nil"/>
            </w:tcBorders>
            <w:tcMar>
              <w:top w:w="160" w:type="dxa"/>
              <w:start w:w="240" w:type="dxa"/>
              <w:bottom w:w="160" w:type="dxa"/>
              <w:end w:w="24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34"/>
              </w:rPr>
              <w:t>1</w:t>
            </w:r>
          </w:p>
          <w:p>
            <w:pPr>
              <w:spacing w:before="8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5"/>
                <w:spacing w:val="22"/>
              </w:rPr>
              <w:t>PROVISIONAL PATENT</w:t>
            </w:r>
          </w:p>
        </w:tc>
      </w:tr>
    </w:tbl>
    <w:p>
      <w:pPr>
        <w:spacing w:before="0" w:after="18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4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ENTITY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PlastiBioFuel LLC. UEI KQAWZ54RDUM8, CAGE 175D6. Service-disabled veteran-owned small business, certified through SBA's Veteran Small Business Certification program.</w:t>
            </w:r>
          </w:p>
        </w:tc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NAICS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325199 other basic organic chemical manufacturing; 325193 ethyl alcohol manufacturing; 541715 research and development.</w:t>
            </w:r>
          </w:p>
        </w:tc>
      </w:tr>
      <w:tr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4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WHAT WE DO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A PET hydrolase immobilized in a covalent organic framework depolymerizes post-consumer PET. A continuous spiral-flow reactor, designed in simulation, is the intended production form.</w:t>
            </w:r>
          </w:p>
        </w:tc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RESEARCH PARTNER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University of North Texas, Prof. Shengqian Ma, under Sponsored Research Agreement SRA1016. Framework and immobilization chemistry.</w:t>
            </w:r>
          </w:p>
        </w:tc>
      </w:tr>
      <w:tr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4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INTELLECTUAL PROPERTY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USPTO provisional application 63/848,456, filed July 2025. Framework immobilization, spiral-flow reactor geometry, and the integrated process.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0" w:after="8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00" w:type="dxa"/>
              <w:start w:w="200" w:type="dxa"/>
              <w:bottom w:w="100" w:type="dxa"/>
              <w:end w:w="2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FFFFFF"/>
                <w:sz w:val="19"/>
                <w:spacing w:val="24"/>
              </w:rPr>
              <w:t>ESTABLISHED BY INDEPENDENT REPORT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120" w:type="dxa"/>
              <w:start w:w="240" w:type="dxa"/>
              <w:bottom w:w="100" w:type="dxa"/>
              <w:end w:w="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8"/>
              </w:rPr>
              <w:t>UNT Final Project Report, Phase I, signed 2026-08-07</w:t>
            </w:r>
          </w:p>
        </w:tc>
      </w:tr>
    </w:tbl>
    <w:p>
      <w:pPr>
        <w:spacing w:before="0" w:after="16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28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19"/>
              </w:rPr>
              <w:t>Depolymerization confirmed</w:t>
            </w:r>
          </w:p>
        </w:tc>
        <w:tc>
          <w:tcPr>
            <w:tcW w:type="dxa" w:w="669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Free FAST-PETase breaks real post-consumer water bottle PET down to terephthalic acid, confirmed by HPLC against standards.</w:t>
            </w:r>
          </w:p>
        </w:tc>
      </w:tr>
      <w:tr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28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19"/>
              </w:rPr>
              <w:t>Immobilization confirmed</w:t>
            </w:r>
          </w:p>
        </w:tc>
        <w:tc>
          <w:tcPr>
            <w:tcW w:type="dxa" w:w="669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The enzyme loads into a TAPB-BPDA-COF with no protein detectable in the supernatant at 280 nm.</w:t>
            </w:r>
          </w:p>
        </w:tc>
      </w:tr>
      <w:tr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28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19"/>
              </w:rPr>
              <w:t>Activity retained</w:t>
            </w:r>
          </w:p>
        </w:tc>
        <w:tc>
          <w:tcPr>
            <w:tcW w:type="dxa" w:w="669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Immobilized turnover measured 122 micromol per hour per milligram at 24 hours, against a 246 to 348 literature range for the free enzyme.</w:t>
            </w:r>
          </w:p>
        </w:tc>
      </w:tr>
      <w:tr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28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19"/>
              </w:rPr>
              <w:t>Bottleneck identified</w:t>
            </w:r>
          </w:p>
        </w:tc>
        <w:tc>
          <w:tcPr>
            <w:tcW w:type="dxa" w:w="669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The laboratory attributes that gap to mass transfer down the framework channel rather than to loss of enzyme activity. Transport is what reactor geometry decides.</w:t>
            </w:r>
          </w:p>
        </w:tc>
      </w:tr>
      <w:tr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single" w:sz="6" w:space="0" w:color="E3E8EF"/>
              <w:right w:val="nil"/>
            </w:tcBorders>
            <w:tcMar>
              <w:top w:w="140" w:type="dxa"/>
              <w:start w:w="0" w:type="dxa"/>
              <w:bottom w:w="140" w:type="dxa"/>
              <w:end w:w="28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19"/>
              </w:rPr>
              <w:t>Schedule</w:t>
            </w:r>
          </w:p>
        </w:tc>
        <w:tc>
          <w:tcPr>
            <w:tcW w:type="dxa" w:w="669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single" w:sz="6" w:space="0" w:color="E3E8EF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Three milestones completed ahead of schedule.</w:t>
            </w:r>
          </w:p>
        </w:tc>
      </w:tr>
    </w:tbl>
    <w:p>
      <w:pPr>
        <w:spacing w:before="0" w:after="12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00" w:type="dxa"/>
              <w:start w:w="200" w:type="dxa"/>
              <w:bottom w:w="100" w:type="dxa"/>
              <w:end w:w="2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FFFFFF"/>
                <w:sz w:val="19"/>
                <w:spacing w:val="24"/>
              </w:rPr>
              <w:t>NOT YET ESTABLISHED, STATED PLAINLY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120" w:type="dxa"/>
              <w:start w:w="240" w:type="dxa"/>
              <w:bottom w:w="100" w:type="dxa"/>
              <w:end w:w="0" w:type="dxa"/>
            </w:tcMar>
          </w:tcPr>
          <w:p>
            <w:pPr>
              <w:spacing w:before="0" w:after="0" w:line="264" w:lineRule="auto"/>
              <w:jc w:val="right"/>
            </w:pPr>
          </w:p>
        </w:tc>
      </w:tr>
    </w:tbl>
    <w:p>
      <w:pPr>
        <w:spacing w:before="0" w:after="16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28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19"/>
              </w:rPr>
              <w:t>No reactor built</w:t>
            </w:r>
          </w:p>
        </w:tc>
        <w:tc>
          <w:tcPr>
            <w:tcW w:type="dxa" w:w="669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The spiral-flow reactor exists as a validated model. The report lists vessel shape and size as future work.</w:t>
            </w:r>
          </w:p>
        </w:tc>
      </w:tr>
      <w:tr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28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19"/>
              </w:rPr>
              <w:t>No ethanol produced</w:t>
            </w:r>
          </w:p>
        </w:tc>
        <w:tc>
          <w:tcPr>
            <w:tcW w:type="dxa" w:w="669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The route from monomer to fuel-grade ethanol is the objective and has not been demonstrated.</w:t>
            </w:r>
          </w:p>
        </w:tc>
      </w:tr>
      <w:tr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28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19"/>
              </w:rPr>
              <w:t>No offtake executed</w:t>
            </w:r>
          </w:p>
        </w:tc>
        <w:tc>
          <w:tcPr>
            <w:tcW w:type="dxa" w:w="669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Commercial offtake is in discussion. There is no signed letter of intent and no executed agreement.</w:t>
            </w:r>
          </w:p>
        </w:tc>
      </w:tr>
      <w:tr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single" w:sz="6" w:space="0" w:color="E3E8EF"/>
              <w:right w:val="nil"/>
            </w:tcBorders>
            <w:tcMar>
              <w:top w:w="140" w:type="dxa"/>
              <w:start w:w="0" w:type="dxa"/>
              <w:bottom w:w="140" w:type="dxa"/>
              <w:end w:w="280" w:type="dxa"/>
            </w:tcMar>
          </w:tcPr>
          <w:p>
            <w:pPr>
              <w:spacing w:before="0" w:after="0" w:line="288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2A2A2A"/>
                <w:sz w:val="19"/>
              </w:rPr>
              <w:t>Fuel credits unqualified</w:t>
            </w:r>
          </w:p>
        </w:tc>
        <w:tc>
          <w:tcPr>
            <w:tcW w:type="dxa" w:w="669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single" w:sz="6" w:space="0" w:color="E3E8EF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307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Any renewable fuel credit eligibility remains subject to final pathway qualification.</w:t>
            </w:r>
          </w:p>
        </w:tc>
      </w:tr>
    </w:tbl>
    <w:p>
      <w:pPr>
        <w:spacing w:before="0" w:after="12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2F7FC"/>
            <w:tcMar>
              <w:top w:w="220" w:type="dxa"/>
              <w:start w:w="360" w:type="dxa"/>
              <w:bottom w:w="220" w:type="dxa"/>
              <w:end w:w="36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7"/>
                <w:spacing w:val="24"/>
              </w:rPr>
              <w:t>WHAT WE ARE LOOKING FOR</w:t>
            </w:r>
          </w:p>
          <w:p>
            <w:pPr>
              <w:spacing w:before="100" w:after="0" w:line="317" w:lineRule="auto"/>
              <w:ind w:left="200"/>
              <w:pBdr>
                <w:left w:val="single" w:sz="12" w:space="6" w:color="045AA9"/>
              </w:pBdr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0"/>
              </w:rPr>
              <w:t>Partners and programs in chemicals from waste feedstocks, pre-pilot reactor capacity, and downstream separations. First-time federal applicant, prepared to work as prime or subrecipient.</w:t>
            </w:r>
          </w:p>
        </w:tc>
      </w:tr>
    </w:tbl>
    <w:p>
      <w:pPr>
        <w:spacing w:before="0" w:after="20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19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6"/>
              </w:rPr>
              <w:t>PlastiBioFuel LLC  ·  12380 Iveson Drive, Haslet, TX 76052  ·  michael@plastibiofuel.com  ·  817-319-7383</w:t>
            </w:r>
          </w:p>
        </w:tc>
        <w:tc>
          <w:tcPr>
            <w:tcW w:type="dxa" w:w="316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00" w:lineRule="auto"/>
              <w:jc w:val="right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6"/>
              </w:rPr>
              <w:t>UEI KQAWZ54RDUM8  ·  CAGE 175D6</w:t>
            </w:r>
          </w:p>
        </w:tc>
      </w:tr>
    </w:tbl>
    <w:sectPr w:rsidR="00FC693F" w:rsidRPr="0006063C" w:rsidSect="00034616">
      <w:pgSz w:w="12240" w:h="15840"/>
      <w:pgMar w:top="79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Aptos" w:hAnsi="Aptos" w:cs="Aptos" w:eastAsia="Aptos"/>
      <w:rFonts w:ascii="Aptos" w:hAnsi="Aptos"/>
      <w:color w:val="2A2A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