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SEND CHECKLIST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STRATEGIC OUTREACH  ·  BATCH 01  ·  FEDERAL R&amp;D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Send, log,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and handle replies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The letters are written. What follows is the part that decides whether outreach compounds or evaporates.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1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Send Letter 1 and Letter 3 today, from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michael@plastibiofuel.com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. They stand on their own and wait on nothing.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2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Attach the Capability Snapshot PDF to both. It is the page that gets forwarded internally when someone decides you are worth passing along.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3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Hold Letter 2 until the DOE pitch is submitted on September 10, then send it. If the pitch slips, send it anyway.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4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Copy </w:t>
            </w:r>
            <w:r>
              <w:rPr>
                <w:rFonts w:ascii="Aptos" w:hAnsi="Aptos" w:cs="Aptos" w:eastAsia="Aptos"/>
                <w:b/>
                <w:i w:val="0"/>
                <w:color w:val="2A2A2A"/>
                <w:sz w:val="21"/>
              </w:rPr>
              <w:t>sbir-sttr@connectwerx.org</w:t>
            </w: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 xml:space="preserve"> on Letter 2. ConnectWerx administers the program and answers faster than the department.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5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Log each send in the outreach queue with the date. The next loop run reads that file and will not write the same office twice.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6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If no reply in 21 days, send one short follow-up. One. A second follow-up to a federal small business office costs more goodwill than it buys.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7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When a reply names a person, that name enters the queue as its own entry with the date and the referral source. A referral is the whole point of the exercise.</w:t>
            </w:r>
          </w:p>
        </w:tc>
      </w:tr>
    </w:tbl>
    <w:p>
      <w:pPr>
        <w:spacing w:before="0" w:after="14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4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8" w:space="0" w:color="045AA9"/>
              <w:left w:val="single" w:sz="8" w:space="0" w:color="045AA9"/>
              <w:bottom w:val="single" w:sz="8" w:space="0" w:color="045AA9"/>
              <w:right w:val="single" w:sz="8" w:space="0" w:color="045AA9"/>
            </w:tcBorders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21"/>
              </w:rPr>
              <w:t>8</w:t>
            </w:r>
          </w:p>
        </w:tc>
        <w:tc>
          <w:tcPr>
            <w:tcW w:type="dxa" w:w="87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tcMar>
              <w:top w:w="60" w:type="dxa"/>
              <w:start w:w="280" w:type="dxa"/>
              <w:bottom w:w="0" w:type="dxa"/>
              <w:end w:w="0" w:type="dxa"/>
            </w:tcMar>
          </w:tcPr>
          <w:p>
            <w:pPr>
              <w:spacing w:before="0" w:after="0" w:line="312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When a reply offers a call, take it and write down what they say about upcoming topics. Topic language is written months before a solicitation posts.</w:t>
            </w:r>
          </w:p>
        </w:tc>
      </w:tr>
    </w:tbl>
    <w:p>
      <w:pPr>
        <w:spacing w:before="0" w:after="140" w:line="240" w:lineRule="auto"/>
      </w:pPr>
    </w:p>
    <w:p>
      <w:pPr>
        <w:keepNext/>
        <w:spacing w:before="240" w:after="80" w:line="288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26"/>
        </w:rPr>
        <w:t>What counts as this working</w:t>
      </w: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Not a grant. A name, a notification list, or an invitation to a vendor session. Those are the things that turn the next application from a cold submission into one from a company somebody already recognizes. Three replies out of ten letters would be a good rate for cold federal outreach, and the ones that answer are usually the ones whose job it is to answer.</w:t>
      </w:r>
    </w:p>
    <w:p>
      <w:pPr>
        <w:keepNext/>
        <w:spacing w:before="240" w:after="80" w:line="288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26"/>
        </w:rPr>
        <w:t>One rule that protects everything else</w:t>
      </w:r>
    </w:p>
    <w:p>
      <w:pPr>
        <w:spacing w:before="0" w:after="140" w:line="312" w:lineRule="auto"/>
      </w:pPr>
      <w:r>
        <w:rPr>
          <w:rFonts w:ascii="Aptos" w:hAnsi="Aptos" w:cs="Aptos" w:eastAsia="Aptos"/>
          <w:b w:val="0"/>
          <w:i w:val="0"/>
          <w:color w:val="2A2A2A"/>
          <w:sz w:val="21"/>
        </w:rPr>
        <w:t>Never ask any of these offices about a pending proposal, and never imply that an introduction should bear on a review. Say plainly, as all three letters do, that nothing is being asked for on anything pending. Small business offices talk to program offices, and a company that appears to be working an angle is remembered for that.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michael@plastibiofuel.com  ·  SDVOSB, SBA VetCert verified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