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TARGETS AND TERMS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PRIVATE CAPITAL AND ACCELERATORS  ·  CATEGORY 5</w:t>
      </w:r>
    </w:p>
    <w:p>
      <w:pPr>
        <w:keepNext/>
        <w:spacing w:before="0" w:after="0" w:line="247" w:lineRule="auto"/>
      </w:pPr>
      <w:r>
        <w:rPr>
          <w:rFonts w:ascii="Aptos Display" w:hAnsi="Aptos Display" w:cs="Aptos Display" w:eastAsia="Aptos Display"/>
          <w:b/>
          <w:i w:val="0"/>
          <w:color w:val="2A2A2A"/>
          <w:sz w:val="56"/>
        </w:rPr>
        <w:t>Verified terms,</w:t>
      </w:r>
    </w:p>
    <w:p>
      <w:pPr>
        <w:keepNext/>
        <w:spacing w:before="0" w:after="120" w:line="247" w:lineRule="auto"/>
      </w:pPr>
      <w:r>
        <w:rPr>
          <w:rFonts w:ascii="Aptos Display" w:hAnsi="Aptos Display" w:cs="Aptos Display" w:eastAsia="Aptos Display"/>
          <w:b/>
          <w:i w:val="0"/>
          <w:color w:val="2A2A2A"/>
          <w:sz w:val="56"/>
        </w:rPr>
        <w:t>not reputations</w:t>
      </w:r>
    </w:p>
    <w:p>
      <w:pPr>
        <w:spacing w:before="0" w:after="260" w:line="312" w:lineRule="auto"/>
      </w:pPr>
      <w:r>
        <w:rPr>
          <w:rFonts w:ascii="Aptos" w:hAnsi="Aptos" w:cs="Aptos" w:eastAsia="Aptos"/>
          <w:b w:val="0"/>
          <w:i w:val="0"/>
          <w:color w:val="4A5561"/>
          <w:sz w:val="22"/>
        </w:rPr>
        <w:t>Each entry states what the firm publishes, what it does not publish, and the fit question that decides whether an application is worth writing.</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0F766E"/>
                <w:sz w:val="14"/>
                <w:spacing w:val="20"/>
                <w:shd w:val="clear" w:color="auto" w:fill="E6F4F1"/>
              </w:rPr>
              <w:t xml:space="preserve"> READY </w:t>
            </w:r>
            <w:r>
              <w:rPr>
                <w:rFonts w:ascii="Aptos" w:hAnsi="Aptos" w:cs="Aptos" w:eastAsia="Aptos"/>
                <w:b w:val="0"/>
                <w:i w:val="0"/>
                <w:color w:val="6B7684"/>
                <w:sz w:val="17"/>
              </w:rPr>
              <w:t xml:space="preserve">   Window open now</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r>
              <w:rPr>
                <w:rFonts w:ascii="Aptos" w:hAnsi="Aptos" w:cs="Aptos" w:eastAsia="Aptos"/>
                <w:b w:val="0"/>
                <w:i w:val="0"/>
                <w:color w:val="6B7684"/>
                <w:sz w:val="17"/>
              </w:rPr>
              <w:t xml:space="preserve">   No open window found</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6B7684"/>
                <w:sz w:val="14"/>
                <w:spacing w:val="20"/>
                <w:shd w:val="clear" w:color="auto" w:fill="F1F3F5"/>
              </w:rPr>
              <w:t xml:space="preserve"> NOT APPLICABLE </w:t>
            </w:r>
            <w:r>
              <w:rPr>
                <w:rFonts w:ascii="Aptos" w:hAnsi="Aptos" w:cs="Aptos" w:eastAsia="Aptos"/>
                <w:b w:val="0"/>
                <w:i w:val="0"/>
                <w:color w:val="6B7684"/>
                <w:sz w:val="17"/>
              </w:rPr>
              <w:t xml:space="preserve">   Channel could not be verified</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F766E"/>
                <w:sz w:val="14"/>
                <w:spacing w:val="20"/>
                <w:shd w:val="clear" w:color="auto" w:fill="E6F4F1"/>
              </w:rPr>
              <w:t xml:space="preserve"> READY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Y Combinator, Fall 2026 batch</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ycombinator.com/apply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On-time deadline was July 27, 2026, and late applications are still accepted with no promised decision date. Batch runs October to December, in person in San Francisco. Standard deal is $500,000: $125,000 on a post-money SAFE for 7 percent, plus $375,000 on an uncapped MFN SAFE that converted at a $15M cap would be a further 2.5 percent. No fees. Pro rata rights on later rounds. Requires a US, Canada, Cayman, or Singapore corporation.</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F766E"/>
                <w:sz w:val="14"/>
                <w:spacing w:val="20"/>
                <w:shd w:val="clear" w:color="auto" w:fill="E6F4F1"/>
              </w:rPr>
              <w:t xml:space="preserve"> READY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SOSV and IndieBio</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sosv.com/apply/sosv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Rolling application, no deadline published. Choose the New York or San Francisco program. Topic categories on the form that fit include Sustainability and Decarbonization, Energy and Industrial Resilience, and Advanced Research Tools. The form asks directly about patents and prior outside investment. Terms are not published on the application page: confirm the check size and equity percentage in writing before accepting anything.</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F766E"/>
                <w:sz w:val="14"/>
                <w:spacing w:val="20"/>
                <w:shd w:val="clear" w:color="auto" w:fill="E6F4F1"/>
              </w:rPr>
              <w:t xml:space="preserve"> READY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LabCentral Golden Tickets</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labcentral.org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Sponsor-funded residency, which is lab access rather than a check and is the only item in this category that is not equity. Three application events are posted: BioMarin on September 4, 2026, and AbbVie and Breakthrough T1D on September 11, 2026. **Fit question:** LabCentral describes its labs as biological R&amp;D in service of human health, and all three sponsors are therapeutics companies. PlastiBioFuel is industrial biotechnology. Read the eligibility on each ticket before spending a day on it.</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Breakthrough Energy</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breakthroughenergy.org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The fellows program URL redirects to the home page and no open application window is published. Recheck each run. Breakthrough Energy Ventures invests rather than granting, and does so by introduction.</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6B7684"/>
                <w:sz w:val="14"/>
                <w:spacing w:val="20"/>
                <w:shd w:val="clear" w:color="auto" w:fill="F1F3F5"/>
              </w:rPr>
              <w:t xml:space="preserve"> NOT APPLICABLE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Lowercarbon Capital</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lowercarboncapital.com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The site returns 403 to this environment, so nothing about their process could be verified. Not recorded as closed. A warm introduction through an accelerator or a portfolio founder is the realistic path regardless of what the site says.</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Radical Ventures</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radical.vc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Thesis is artificial intelligence, and the portfolio is AI infrastructure, models, and AI-native biotechnology. The company's modeling loop is the only part of this business that fits that thesis, and it is a component rather than the product. Weakest fit of the named funds. Revisit if the modeling work becomes a product in its own right.</w:t>
            </w:r>
          </w:p>
        </w:tc>
      </w:tr>
    </w:tbl>
    <w:tbl>
      <w:tblPr>
        <w:tblW w:type="auto" w:w="0"/>
        <w:jc w:val="left"/>
        <w:tblLayout w:type="fixed"/>
        <w:tblLook w:firstColumn="1" w:firstRow="1" w:lastColumn="0" w:lastRow="0" w:noHBand="0" w:noVBand="1" w:val="04A0"/>
        <w:tblInd w:w="0" w:type="dxa"/>
        <w:tblLayout w:type="fixed"/>
      </w:tblPr>
      <w:tblGrid>
        <w:gridCol w:w="9360"/>
      </w:tblGrid>
      <w:tr>
        <w:tc>
          <w:tcPr>
            <w:tcW w:type="dxa" w:w="9360"/>
            <w:tcBorders>
              <w:top w:val="nil"/>
              <w:left w:val="nil"/>
              <w:bottom w:val="nil"/>
              <w:right w:val="nil"/>
            </w:tcBorders>
            <w:tcMar>
              <w:top w:w="0" w:type="dxa"/>
              <w:start w:w="0" w:type="dxa"/>
              <w:bottom w:w="0" w:type="dxa"/>
              <w:end w:w="0" w:type="dxa"/>
            </w:tcMar>
            <w:shd w:val="clear" w:color="auto" w:fill="F2F7FC"/>
            <w:tcMar>
              <w:top w:w="220" w:type="dxa"/>
              <w:start w:w="360" w:type="dxa"/>
              <w:bottom w:w="220" w:type="dxa"/>
              <w:end w:w="360" w:type="dxa"/>
            </w:tcMar>
          </w:tcPr>
          <w:p>
            <w:pPr>
              <w:spacing w:before="0" w:after="0" w:line="276" w:lineRule="auto"/>
            </w:pPr>
            <w:r>
              <w:rPr>
                <w:rFonts w:ascii="Aptos Display" w:hAnsi="Aptos Display" w:cs="Aptos Display" w:eastAsia="Aptos Display"/>
                <w:b/>
                <w:i w:val="0"/>
                <w:color w:val="045AA9"/>
                <w:sz w:val="17"/>
                <w:spacing w:val="24"/>
              </w:rPr>
              <w:t>ON WARM INTRODUCTIONS</w:t>
            </w:r>
          </w:p>
          <w:p>
            <w:pPr>
              <w:spacing w:before="100" w:after="0" w:line="317" w:lineRule="auto"/>
              <w:ind w:left="200"/>
              <w:pBdr>
                <w:left w:val="single" w:sz="12" w:space="6" w:color="045AA9"/>
              </w:pBdr>
            </w:pPr>
            <w:r>
              <w:rPr>
                <w:rFonts w:ascii="Aptos" w:hAnsi="Aptos" w:cs="Aptos" w:eastAsia="Aptos"/>
                <w:b w:val="0"/>
                <w:i w:val="0"/>
                <w:color w:val="2A2A2A"/>
                <w:sz w:val="20"/>
              </w:rPr>
              <w:t>Every seed fund named in the plan is introduction-driven, which is exactly why the accelerators sit first in the sequence. An accelerator is the introduction. Cold email to a seed fund with no traction is the lowest-yield activity available and it is not in the outreach queue for that reason.</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