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4680"/>
        <w:gridCol w:w="4680"/>
      </w:tblGrid>
      <w:tr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1440" w:type="dxa"/>
              <w:bottom w:w="14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FFFFFF"/>
                <w:sz w:val="22"/>
                <w:spacing w:val="36"/>
              </w:rPr>
              <w:t>PLASTIBIOFUEL</w:t>
            </w:r>
          </w:p>
        </w:tc>
        <w:tc>
          <w:tcPr>
            <w:tcW w:type="dxa" w:w="61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045AA9"/>
            <w:tcMar>
              <w:top w:w="140" w:type="dxa"/>
              <w:start w:w="0" w:type="dxa"/>
              <w:bottom w:w="140" w:type="dxa"/>
              <w:end w:w="14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ptos Display" w:hAnsi="Aptos Display" w:cs="Aptos Display" w:eastAsia="Aptos Display"/>
                <w:b/>
                <w:i w:val="0"/>
                <w:color w:val="9EC8F0"/>
                <w:sz w:val="16"/>
                <w:spacing w:val="38"/>
              </w:rPr>
              <w:t>OUTREACH BRIEF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-1440" w:type="dxa"/>
        <w:tblLayout w:type="fixed"/>
      </w:tblPr>
      <w:tblGrid>
        <w:gridCol w:w="9360"/>
      </w:tblGrid>
      <w:tr>
        <w:tc>
          <w:tcPr>
            <w:tcW w:type="dxa" w:w="122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D500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4"/>
              </w:rPr>
            </w:r>
          </w:p>
        </w:tc>
      </w:tr>
    </w:tbl>
    <w:p>
      <w:pPr>
        <w:spacing w:before="0" w:after="240" w:line="240" w:lineRule="auto"/>
      </w:pPr>
    </w:p>
    <w:p>
      <w:pPr>
        <w:keepNext/>
        <w:spacing w:before="0" w:after="100" w:line="264" w:lineRule="auto"/>
      </w:pPr>
      <w:r>
        <w:rPr>
          <w:rFonts w:ascii="Aptos Display" w:hAnsi="Aptos Display" w:cs="Aptos Display" w:eastAsia="Aptos Display"/>
          <w:b/>
          <w:i w:val="0"/>
          <w:color w:val="045AA9"/>
          <w:sz w:val="18"/>
          <w:spacing w:val="28"/>
        </w:rPr>
        <w:t>PLASTIBIOFUEL LLC  ·  SDVOSB</w:t>
      </w:r>
    </w:p>
    <w:p>
      <w:pPr>
        <w:keepNext/>
        <w:spacing w:before="0" w:after="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Getting on</w:t>
      </w:r>
    </w:p>
    <w:p>
      <w:pPr>
        <w:keepNext/>
        <w:spacing w:before="0" w:after="120" w:line="247" w:lineRule="auto"/>
      </w:pPr>
      <w:r>
        <w:rPr>
          <w:rFonts w:ascii="Aptos Display" w:hAnsi="Aptos Display" w:cs="Aptos Display" w:eastAsia="Aptos Display"/>
          <w:b/>
          <w:i w:val="0"/>
          <w:color w:val="2A2A2A"/>
          <w:sz w:val="56"/>
        </w:rPr>
        <w:t>the radar</w:t>
      </w:r>
    </w:p>
    <w:p>
      <w:pPr>
        <w:spacing w:before="0" w:after="260" w:line="312" w:lineRule="auto"/>
      </w:pPr>
      <w:r>
        <w:rPr>
          <w:rFonts w:ascii="Aptos" w:hAnsi="Aptos" w:cs="Aptos" w:eastAsia="Aptos"/>
          <w:b w:val="0"/>
          <w:i w:val="0"/>
          <w:color w:val="4A5561"/>
          <w:sz w:val="22"/>
        </w:rPr>
        <w:t>Three federal offices whose job is to know companies like this one. No deadlines, no forms, no applications. Each letter asks for one thing an office can grant without a decision.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LETTERS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3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Ready to send today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single" w:sz="6" w:space="0" w:color="E3E8EF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QUEUE BEHIND THEM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7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One per run from here</w:t>
            </w:r>
          </w:p>
        </w:tc>
        <w:tc>
          <w:tcPr>
            <w:tcW w:type="dxa" w:w="31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12" w:space="0" w:color="2A2A2A"/>
              <w:left w:val="nil"/>
              <w:bottom w:val="single" w:sz="6" w:space="0" w:color="E3E8EF"/>
              <w:right w:val="nil"/>
            </w:tcBorders>
            <w:tcMar>
              <w:top w:w="160" w:type="dxa"/>
              <w:start w:w="240" w:type="dxa"/>
              <w:bottom w:w="160" w:type="dxa"/>
              <w:end w:w="24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6B7684"/>
                <w:sz w:val="15"/>
                <w:spacing w:val="22"/>
              </w:rPr>
              <w:t>COST</w:t>
            </w:r>
          </w:p>
          <w:p>
            <w:pPr>
              <w:spacing w:before="80" w:after="0" w:line="240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46"/>
              </w:rPr>
              <w:t>Under an hour</w:t>
            </w:r>
          </w:p>
          <w:p>
            <w:pPr>
              <w:spacing w:before="80" w:after="0" w:line="264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8"/>
              </w:rPr>
              <w:t>Total, for all three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FDF0F5"/>
            <w:tcBorders>
              <w:top w:val="nil"/>
              <w:left w:val="single" w:sz="24" w:space="0" w:color="D50057"/>
              <w:bottom w:val="nil"/>
              <w:right w:val="nil"/>
            </w:tcBorders>
            <w:tcMar>
              <w:top w:w="140" w:type="dxa"/>
              <w:start w:w="280" w:type="dxa"/>
              <w:bottom w:w="140" w:type="dxa"/>
              <w:end w:w="28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21"/>
              </w:rPr>
              <w:t>Outreach does not win awards. It decides whether the people who write topics and run programs know the company exists before the next window opens.</w:t>
            </w:r>
          </w:p>
        </w:tc>
      </w:tr>
    </w:tbl>
    <w:p>
      <w:pPr>
        <w:spacing w:before="0" w:after="1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WHY NOW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A DOE pitch lands September 10 and a DOE teaming list is open. Both give a reason to write that is not simply asking for attention.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IS ASKED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To be added to a notification list, to be pointed at the right program manager, or fifteen minutes. Nothing that costs an office a decision.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IS NEVER ASKED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Money, a set-aside, preferential treatment, or feedback on a pending proposal. The first three are improper and the fourth is unwise.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WHO SENDS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Michael Ward, from michael@plastibiofuel.com. Federal offices answer founders, not agents.</w:t>
            </w:r>
          </w:p>
        </w:tc>
      </w:tr>
      <w:tr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40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WHAT IS CLAIMED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Only what the signed UNT report establishes. No reactor is built, no ethanol has been produced, and neither letter says otherwise.</w:t>
            </w:r>
          </w:p>
        </w:tc>
        <w:tc>
          <w:tcPr>
            <w:tcW w:type="dxa" w:w="46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140" w:type="dxa"/>
              <w:end w:w="0" w:type="dxa"/>
            </w:tcMar>
          </w:tcPr>
          <w:p>
            <w:pPr>
              <w:spacing w:before="0" w:after="0" w:line="264" w:lineRule="auto"/>
            </w:pPr>
            <w:r>
              <w:rPr>
                <w:rFonts w:ascii="Aptos Display" w:hAnsi="Aptos Display" w:cs="Aptos Display" w:eastAsia="Aptos Display"/>
                <w:b/>
                <w:i w:val="0"/>
                <w:color w:val="045AA9"/>
                <w:sz w:val="15"/>
                <w:spacing w:val="22"/>
              </w:rPr>
              <w:t>CADENCE</w:t>
            </w:r>
          </w:p>
          <w:p>
            <w:pPr>
              <w:spacing w:before="60" w:after="0" w:line="298" w:lineRule="auto"/>
            </w:pPr>
            <w:r>
              <w:rPr>
                <w:rFonts w:ascii="Aptos" w:hAnsi="Aptos" w:cs="Aptos" w:eastAsia="Aptos"/>
                <w:b w:val="0"/>
                <w:i w:val="0"/>
                <w:color w:val="2A2A2A"/>
                <w:sz w:val="19"/>
              </w:rPr>
              <w:t>One outreach per funding-loop run, advancing the queue cursor. Batch 01 is three at once because they are the front doors.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00" w:line="312" w:lineRule="auto"/>
      </w:pPr>
      <w:r>
        <w:rPr>
          <w:rFonts w:ascii="Aptos" w:hAnsi="Aptos" w:cs="Aptos" w:eastAsia="Aptos"/>
          <w:b w:val="0"/>
          <w:i w:val="0"/>
          <w:color w:val="4A5561"/>
          <w:sz w:val="19"/>
        </w:rPr>
        <w:t>Every contact channel was read off the issuing office's own page and is dated in the Targets and Channels document. Verified August 25, 2026.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0" w:type="dxa"/>
        <w:tblLayout w:type="fixed"/>
      </w:tblPr>
      <w:tblGrid>
        <w:gridCol w:w="4680"/>
        <w:gridCol w:w="4680"/>
      </w:tblGrid>
      <w:tr>
        <w:tc>
          <w:tcPr>
            <w:tcW w:type="dxa" w:w="6192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PlastiBioFuel LLC  ·  12380 Iveson Drive, Haslet, TX 76052  ·  michael@plastibiofuel.com  ·  817-319-7383</w:t>
            </w:r>
          </w:p>
        </w:tc>
        <w:tc>
          <w:tcPr>
            <w:tcW w:type="dxa" w:w="3168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6" w:space="0" w:color="E3E8EF"/>
              <w:left w:val="nil"/>
              <w:bottom w:val="nil"/>
              <w:right w:val="nil"/>
            </w:tcBorders>
            <w:tcMar>
              <w:top w:w="14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300" w:lineRule="auto"/>
              <w:jc w:val="right"/>
            </w:pPr>
            <w:r>
              <w:rPr>
                <w:rFonts w:ascii="Aptos" w:hAnsi="Aptos" w:cs="Aptos" w:eastAsia="Aptos"/>
                <w:b w:val="0"/>
                <w:i w:val="0"/>
                <w:color w:val="6B7684"/>
                <w:sz w:val="16"/>
              </w:rPr>
              <w:t>UEI KQAWZ54RDUM8  ·  CAGE 175D6</w:t>
            </w:r>
          </w:p>
        </w:tc>
      </w:tr>
    </w:tbl>
    <w:sectPr w:rsidR="00FC693F" w:rsidRPr="0006063C" w:rsidSect="00034616">
      <w:pgSz w:w="12240" w:h="15840"/>
      <w:pgMar w:top="79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Aptos" w:hAnsi="Aptos" w:cs="Aptos" w:eastAsia="Aptos"/>
      <w:rFonts w:ascii="Aptos" w:hAnsi="Aptos"/>
      <w:color w:val="2A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