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SEND CHECKLIST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STRATEGIC OUTREACH  ·  BATCH 01  ·  FEDERAL R&amp;D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Send, log,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and handle replies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The letters are written. What follows is the part that decides whether outreach compounds or evaporates.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1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Send Letter 1 and Letter 3 today, from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1"/>
              </w:rPr>
              <w:t>michael@plastibiofuel.com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. They stand on their own and wait on nothing.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2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Attach the Capability Snapshot PDF to both. It is the page that gets forwarded internally when someone decides you are worth passing along.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3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Hold Letter 2 until the DOE pitch is submitted on September 10, then send it. If the pitch slips, send it anyway.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4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Copy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1"/>
              </w:rPr>
              <w:t>sbir-sttr@connectwerx.org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 on Letter 2. ConnectWerx administers the program and answers faster than the department.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5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Log each send in the outreach queue with the date. The next loop run reads that file and will not write the same office twice.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6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If no reply in 21 days, send one short follow-up. One. A second follow-up to a federal small business office costs more goodwill than it buys.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7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When a reply names a person, that name enters the queue as its own entry with the date and the referral source. A referral is the whole point of the exercise.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8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When a reply offers a call, take it and write down what they say about upcoming topics. Topic language is written months before a solicitation posts.</w:t>
            </w:r>
          </w:p>
        </w:tc>
      </w:tr>
    </w:tbl>
    <w:p>
      <w:pPr>
        <w:spacing w:before="0" w:after="140" w:line="240" w:lineRule="auto"/>
      </w:pPr>
    </w:p>
    <w:p>
      <w:pPr>
        <w:keepNext/>
        <w:spacing w:before="240" w:after="80" w:line="288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26"/>
        </w:rPr>
        <w:t>What counts as this working</w:t>
      </w:r>
    </w:p>
    <w:p>
      <w:pPr>
        <w:spacing w:before="0" w:after="140" w:line="312" w:lineRule="auto"/>
      </w:pPr>
      <w:r>
        <w:rPr>
          <w:rFonts w:ascii="Aptos" w:hAnsi="Aptos" w:cs="Aptos" w:eastAsia="Aptos"/>
          <w:b w:val="0"/>
          <w:i w:val="0"/>
          <w:color w:val="2A2A2A"/>
          <w:sz w:val="21"/>
        </w:rPr>
        <w:t>Not a grant. A name, a notification list, or an invitation to a vendor session. Those are the things that turn the next application from a cold submission into one from a company somebody already recognizes. Three replies out of ten letters would be a good rate for cold federal outreach, and the ones that answer are usually the ones whose job it is to answer.</w:t>
      </w:r>
    </w:p>
    <w:p>
      <w:pPr>
        <w:keepNext/>
        <w:spacing w:before="240" w:after="80" w:line="288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26"/>
        </w:rPr>
        <w:t>One rule that protects everything else</w:t>
      </w:r>
    </w:p>
    <w:p>
      <w:pPr>
        <w:spacing w:before="0" w:after="140" w:line="312" w:lineRule="auto"/>
      </w:pPr>
      <w:r>
        <w:rPr>
          <w:rFonts w:ascii="Aptos" w:hAnsi="Aptos" w:cs="Aptos" w:eastAsia="Aptos"/>
          <w:b w:val="0"/>
          <w:i w:val="0"/>
          <w:color w:val="2A2A2A"/>
          <w:sz w:val="21"/>
        </w:rPr>
        <w:t>Never ask any of these offices about a pending proposal, and never imply that an introduction should bear on a review. Say plainly, as all three letters do, that nothing is being asked for on anything pending. Small business offices talk to program offices, and a company that appears to be working an angle is remembered for that.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michael@plastibiofuel.com  ·  SDVOSB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