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Ind w:w="-1440" w:type="dxa"/>
        <w:tblLayout w:type="fixed"/>
      </w:tblPr>
      <w:tblGrid>
        <w:gridCol w:w="4680"/>
        <w:gridCol w:w="4680"/>
      </w:tblGrid>
      <w:tr>
        <w:tc>
          <w:tcPr>
            <w:tcW w:type="dxa" w:w="6120"/>
            <w:tcBorders>
              <w:top w:val="nil"/>
              <w:left w:val="nil"/>
              <w:bottom w:val="nil"/>
              <w:right w:val="nil"/>
            </w:tcBorders>
            <w:tcMar>
              <w:top w:w="0" w:type="dxa"/>
              <w:start w:w="0" w:type="dxa"/>
              <w:bottom w:w="0" w:type="dxa"/>
              <w:end w:w="0" w:type="dxa"/>
            </w:tcMar>
            <w:shd w:val="clear" w:color="auto" w:fill="045AA9"/>
            <w:tcMar>
              <w:top w:w="140" w:type="dxa"/>
              <w:start w:w="1440" w:type="dxa"/>
              <w:bottom w:w="140" w:type="dxa"/>
              <w:end w:w="0" w:type="dxa"/>
            </w:tcMar>
          </w:tcPr>
          <w:p>
            <w:pPr>
              <w:spacing w:before="0" w:after="0" w:line="240" w:lineRule="auto"/>
            </w:pPr>
            <w:r>
              <w:rPr>
                <w:rFonts w:ascii="Aptos Display" w:hAnsi="Aptos Display" w:cs="Aptos Display" w:eastAsia="Aptos Display"/>
                <w:b/>
                <w:i w:val="0"/>
                <w:color w:val="FFFFFF"/>
                <w:sz w:val="22"/>
                <w:spacing w:val="36"/>
              </w:rPr>
              <w:t>PLASTIBIOFUEL</w:t>
            </w:r>
          </w:p>
        </w:tc>
        <w:tc>
          <w:tcPr>
            <w:tcW w:type="dxa" w:w="6120"/>
            <w:tcBorders>
              <w:top w:val="nil"/>
              <w:left w:val="nil"/>
              <w:bottom w:val="nil"/>
              <w:right w:val="nil"/>
            </w:tcBorders>
            <w:tcMar>
              <w:top w:w="0" w:type="dxa"/>
              <w:start w:w="0" w:type="dxa"/>
              <w:bottom w:w="0" w:type="dxa"/>
              <w:end w:w="0" w:type="dxa"/>
            </w:tcMar>
            <w:shd w:val="clear" w:color="auto" w:fill="045AA9"/>
            <w:tcMar>
              <w:top w:w="140" w:type="dxa"/>
              <w:start w:w="0" w:type="dxa"/>
              <w:bottom w:w="140" w:type="dxa"/>
              <w:end w:w="1440" w:type="dxa"/>
            </w:tcMar>
          </w:tcPr>
          <w:p>
            <w:pPr>
              <w:spacing w:before="0" w:after="0" w:line="240" w:lineRule="auto"/>
              <w:jc w:val="right"/>
            </w:pPr>
            <w:r>
              <w:rPr>
                <w:rFonts w:ascii="Aptos Display" w:hAnsi="Aptos Display" w:cs="Aptos Display" w:eastAsia="Aptos Display"/>
                <w:b/>
                <w:i w:val="0"/>
                <w:color w:val="9EC8F0"/>
                <w:sz w:val="16"/>
                <w:spacing w:val="38"/>
              </w:rPr>
              <w:t>SEND CHECKLIST</w:t>
            </w:r>
          </w:p>
        </w:tc>
      </w:tr>
    </w:tbl>
    <w:tbl>
      <w:tblPr>
        <w:tblW w:type="auto" w:w="0"/>
        <w:jc w:val="left"/>
        <w:tblLayout w:type="fixed"/>
        <w:tblLook w:firstColumn="1" w:firstRow="1" w:lastColumn="0" w:lastRow="0" w:noHBand="0" w:noVBand="1" w:val="04A0"/>
        <w:tblInd w:w="-1440" w:type="dxa"/>
        <w:tblLayout w:type="fixed"/>
      </w:tblPr>
      <w:tblGrid>
        <w:gridCol w:w="9360"/>
      </w:tblGrid>
      <w:tr>
        <w:tc>
          <w:tcPr>
            <w:tcW w:type="dxa" w:w="12240"/>
            <w:tcBorders>
              <w:top w:val="nil"/>
              <w:left w:val="nil"/>
              <w:bottom w:val="nil"/>
              <w:right w:val="nil"/>
            </w:tcBorders>
            <w:tcMar>
              <w:top w:w="0" w:type="dxa"/>
              <w:start w:w="0" w:type="dxa"/>
              <w:bottom w:w="0" w:type="dxa"/>
              <w:end w:w="0" w:type="dxa"/>
            </w:tcMar>
            <w:shd w:val="clear" w:color="auto" w:fill="D50057"/>
            <w:tcMar>
              <w:top w:w="0" w:type="dxa"/>
              <w:start w:w="0" w:type="dxa"/>
              <w:bottom w:w="0" w:type="dxa"/>
              <w:end w:w="0" w:type="dxa"/>
            </w:tcMar>
          </w:tcPr>
          <w:p>
            <w:pPr>
              <w:spacing w:before="0" w:after="0" w:line="240" w:lineRule="auto"/>
            </w:pPr>
            <w:r>
              <w:rPr>
                <w:rFonts w:ascii="Aptos" w:hAnsi="Aptos" w:cs="Aptos" w:eastAsia="Aptos"/>
                <w:b w:val="0"/>
                <w:i w:val="0"/>
                <w:color w:val="2A2A2A"/>
                <w:sz w:val="4"/>
              </w:rPr>
            </w:r>
          </w:p>
        </w:tc>
      </w:tr>
    </w:tbl>
    <w:p>
      <w:pPr>
        <w:spacing w:before="0" w:after="240" w:line="240" w:lineRule="auto"/>
      </w:pPr>
    </w:p>
    <w:p>
      <w:pPr>
        <w:keepNext/>
        <w:spacing w:before="0" w:after="100" w:line="264" w:lineRule="auto"/>
      </w:pPr>
      <w:r>
        <w:rPr>
          <w:rFonts w:ascii="Aptos Display" w:hAnsi="Aptos Display" w:cs="Aptos Display" w:eastAsia="Aptos Display"/>
          <w:b/>
          <w:i w:val="0"/>
          <w:color w:val="045AA9"/>
          <w:sz w:val="18"/>
          <w:spacing w:val="28"/>
        </w:rPr>
        <w:t>STRATEGIC OUTREACH  ·  BATCH 02  ·  QUEUE COMPLETE</w:t>
      </w:r>
    </w:p>
    <w:p>
      <w:pPr>
        <w:keepNext/>
        <w:spacing w:before="0" w:after="0" w:line="247" w:lineRule="auto"/>
      </w:pPr>
      <w:r>
        <w:rPr>
          <w:rFonts w:ascii="Aptos Display" w:hAnsi="Aptos Display" w:cs="Aptos Display" w:eastAsia="Aptos Display"/>
          <w:b/>
          <w:i w:val="0"/>
          <w:color w:val="2A2A2A"/>
          <w:sz w:val="56"/>
        </w:rPr>
        <w:t>Order of</w:t>
      </w:r>
    </w:p>
    <w:p>
      <w:pPr>
        <w:keepNext/>
        <w:spacing w:before="0" w:after="120" w:line="247" w:lineRule="auto"/>
      </w:pPr>
      <w:r>
        <w:rPr>
          <w:rFonts w:ascii="Aptos Display" w:hAnsi="Aptos Display" w:cs="Aptos Display" w:eastAsia="Aptos Display"/>
          <w:b/>
          <w:i w:val="0"/>
          <w:color w:val="2A2A2A"/>
          <w:sz w:val="56"/>
        </w:rPr>
        <w:t>operations</w:t>
      </w:r>
    </w:p>
    <w:p>
      <w:pPr>
        <w:spacing w:before="0" w:after="260" w:line="312" w:lineRule="auto"/>
      </w:pPr>
      <w:r>
        <w:rPr>
          <w:rFonts w:ascii="Aptos" w:hAnsi="Aptos" w:cs="Aptos" w:eastAsia="Aptos"/>
          <w:b w:val="0"/>
          <w:i w:val="0"/>
          <w:color w:val="4A5561"/>
          <w:sz w:val="22"/>
        </w:rPr>
        <w:t>Six letters now exist across both batches. This is the order that gets the most out of them.</w:t>
      </w: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648"/>
            <w:tcMar>
              <w:top w:w="0" w:type="dxa"/>
              <w:start w:w="0" w:type="dxa"/>
              <w:bottom w:w="0" w:type="dxa"/>
              <w:end w:w="0" w:type="dxa"/>
            </w:tcMar>
            <w:tcBorders>
              <w:top w:val="single" w:sz="8" w:space="0" w:color="045AA9"/>
              <w:left w:val="single" w:sz="8" w:space="0" w:color="045AA9"/>
              <w:bottom w:val="single" w:sz="8" w:space="0" w:color="045AA9"/>
              <w:right w:val="single" w:sz="8" w:space="0" w:color="045AA9"/>
            </w:tcBorders>
            <w:tcMar>
              <w:top w:w="80" w:type="dxa"/>
              <w:start w:w="0" w:type="dxa"/>
              <w:bottom w:w="80" w:type="dxa"/>
              <w:end w:w="0" w:type="dxa"/>
            </w:tcMar>
          </w:tcPr>
          <w:p>
            <w:pPr>
              <w:spacing w:before="0" w:after="0" w:line="240" w:lineRule="auto"/>
              <w:jc w:val="center"/>
            </w:pPr>
            <w:r>
              <w:rPr>
                <w:rFonts w:ascii="Aptos Display" w:hAnsi="Aptos Display" w:cs="Aptos Display" w:eastAsia="Aptos Display"/>
                <w:b/>
                <w:i w:val="0"/>
                <w:color w:val="045AA9"/>
                <w:sz w:val="21"/>
              </w:rPr>
              <w:t>1</w:t>
            </w:r>
          </w:p>
        </w:tc>
        <w:tc>
          <w:tcPr>
            <w:tcW w:type="dxa" w:w="8712"/>
            <w:tcBorders>
              <w:top w:val="nil"/>
              <w:left w:val="nil"/>
              <w:bottom w:val="nil"/>
              <w:right w:val="nil"/>
            </w:tcBorders>
            <w:tcMar>
              <w:top w:w="0" w:type="dxa"/>
              <w:start w:w="0" w:type="dxa"/>
              <w:bottom w:w="0" w:type="dxa"/>
              <w:end w:w="0" w:type="dxa"/>
            </w:tcMar>
            <w:tcMar>
              <w:top w:w="60" w:type="dxa"/>
              <w:start w:w="280" w:type="dxa"/>
              <w:bottom w:w="0" w:type="dxa"/>
              <w:end w:w="0" w:type="dxa"/>
            </w:tcMar>
          </w:tcPr>
          <w:p>
            <w:pPr>
              <w:spacing w:before="0" w:after="0" w:line="312" w:lineRule="auto"/>
            </w:pPr>
            <w:r>
              <w:rPr>
                <w:rFonts w:ascii="Aptos" w:hAnsi="Aptos" w:cs="Aptos" w:eastAsia="Aptos"/>
                <w:b/>
                <w:i w:val="0"/>
                <w:color w:val="2A2A2A"/>
                <w:sz w:val="21"/>
              </w:rPr>
              <w:t>Cross Timbers APEX, today.</w:t>
            </w:r>
            <w:r>
              <w:rPr>
                <w:rFonts w:ascii="Aptos" w:hAnsi="Aptos" w:cs="Aptos" w:eastAsia="Aptos"/>
                <w:b w:val="0"/>
                <w:i w:val="0"/>
                <w:color w:val="2A2A2A"/>
                <w:sz w:val="21"/>
              </w:rPr>
              <w:t xml:space="preserve"> Free, local, and the October 27 conference is a fixed date. Highest return per minute on either list.</w:t>
            </w:r>
          </w:p>
        </w:tc>
      </w:tr>
    </w:tbl>
    <w:p>
      <w:pPr>
        <w:spacing w:before="0" w:after="14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648"/>
            <w:tcMar>
              <w:top w:w="0" w:type="dxa"/>
              <w:start w:w="0" w:type="dxa"/>
              <w:bottom w:w="0" w:type="dxa"/>
              <w:end w:w="0" w:type="dxa"/>
            </w:tcMar>
            <w:tcBorders>
              <w:top w:val="single" w:sz="8" w:space="0" w:color="045AA9"/>
              <w:left w:val="single" w:sz="8" w:space="0" w:color="045AA9"/>
              <w:bottom w:val="single" w:sz="8" w:space="0" w:color="045AA9"/>
              <w:right w:val="single" w:sz="8" w:space="0" w:color="045AA9"/>
            </w:tcBorders>
            <w:tcMar>
              <w:top w:w="80" w:type="dxa"/>
              <w:start w:w="0" w:type="dxa"/>
              <w:bottom w:w="80" w:type="dxa"/>
              <w:end w:w="0" w:type="dxa"/>
            </w:tcMar>
          </w:tcPr>
          <w:p>
            <w:pPr>
              <w:spacing w:before="0" w:after="0" w:line="240" w:lineRule="auto"/>
              <w:jc w:val="center"/>
            </w:pPr>
            <w:r>
              <w:rPr>
                <w:rFonts w:ascii="Aptos Display" w:hAnsi="Aptos Display" w:cs="Aptos Display" w:eastAsia="Aptos Display"/>
                <w:b/>
                <w:i w:val="0"/>
                <w:color w:val="045AA9"/>
                <w:sz w:val="21"/>
              </w:rPr>
              <w:t>2</w:t>
            </w:r>
          </w:p>
        </w:tc>
        <w:tc>
          <w:tcPr>
            <w:tcW w:type="dxa" w:w="8712"/>
            <w:tcBorders>
              <w:top w:val="nil"/>
              <w:left w:val="nil"/>
              <w:bottom w:val="nil"/>
              <w:right w:val="nil"/>
            </w:tcBorders>
            <w:tcMar>
              <w:top w:w="0" w:type="dxa"/>
              <w:start w:w="0" w:type="dxa"/>
              <w:bottom w:w="0" w:type="dxa"/>
              <w:end w:w="0" w:type="dxa"/>
            </w:tcMar>
            <w:tcMar>
              <w:top w:w="60" w:type="dxa"/>
              <w:start w:w="280" w:type="dxa"/>
              <w:bottom w:w="0" w:type="dxa"/>
              <w:end w:w="0" w:type="dxa"/>
            </w:tcMar>
          </w:tcPr>
          <w:p>
            <w:pPr>
              <w:spacing w:before="0" w:after="0" w:line="312" w:lineRule="auto"/>
            </w:pPr>
            <w:r>
              <w:rPr>
                <w:rFonts w:ascii="Aptos" w:hAnsi="Aptos" w:cs="Aptos" w:eastAsia="Aptos"/>
                <w:b/>
                <w:i w:val="0"/>
                <w:color w:val="2A2A2A"/>
                <w:sz w:val="21"/>
              </w:rPr>
              <w:t>DOE Office of Small Business Programs and Department of War, today.</w:t>
            </w:r>
            <w:r>
              <w:rPr>
                <w:rFonts w:ascii="Aptos" w:hAnsi="Aptos" w:cs="Aptos" w:eastAsia="Aptos"/>
                <w:b w:val="0"/>
                <w:i w:val="0"/>
                <w:color w:val="2A2A2A"/>
                <w:sz w:val="21"/>
              </w:rPr>
              <w:t xml:space="preserve"> Batch 01, letters 1 and 3. They wait on nothing.</w:t>
            </w:r>
          </w:p>
        </w:tc>
      </w:tr>
    </w:tbl>
    <w:p>
      <w:pPr>
        <w:spacing w:before="0" w:after="14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648"/>
            <w:tcMar>
              <w:top w:w="0" w:type="dxa"/>
              <w:start w:w="0" w:type="dxa"/>
              <w:bottom w:w="0" w:type="dxa"/>
              <w:end w:w="0" w:type="dxa"/>
            </w:tcMar>
            <w:tcBorders>
              <w:top w:val="single" w:sz="8" w:space="0" w:color="045AA9"/>
              <w:left w:val="single" w:sz="8" w:space="0" w:color="045AA9"/>
              <w:bottom w:val="single" w:sz="8" w:space="0" w:color="045AA9"/>
              <w:right w:val="single" w:sz="8" w:space="0" w:color="045AA9"/>
            </w:tcBorders>
            <w:tcMar>
              <w:top w:w="80" w:type="dxa"/>
              <w:start w:w="0" w:type="dxa"/>
              <w:bottom w:w="80" w:type="dxa"/>
              <w:end w:w="0" w:type="dxa"/>
            </w:tcMar>
          </w:tcPr>
          <w:p>
            <w:pPr>
              <w:spacing w:before="0" w:after="0" w:line="240" w:lineRule="auto"/>
              <w:jc w:val="center"/>
            </w:pPr>
            <w:r>
              <w:rPr>
                <w:rFonts w:ascii="Aptos Display" w:hAnsi="Aptos Display" w:cs="Aptos Display" w:eastAsia="Aptos Display"/>
                <w:b/>
                <w:i w:val="0"/>
                <w:color w:val="045AA9"/>
                <w:sz w:val="21"/>
              </w:rPr>
              <w:t>3</w:t>
            </w:r>
          </w:p>
        </w:tc>
        <w:tc>
          <w:tcPr>
            <w:tcW w:type="dxa" w:w="8712"/>
            <w:tcBorders>
              <w:top w:val="nil"/>
              <w:left w:val="nil"/>
              <w:bottom w:val="nil"/>
              <w:right w:val="nil"/>
            </w:tcBorders>
            <w:tcMar>
              <w:top w:w="0" w:type="dxa"/>
              <w:start w:w="0" w:type="dxa"/>
              <w:bottom w:w="0" w:type="dxa"/>
              <w:end w:w="0" w:type="dxa"/>
            </w:tcMar>
            <w:tcMar>
              <w:top w:w="60" w:type="dxa"/>
              <w:start w:w="280" w:type="dxa"/>
              <w:bottom w:w="0" w:type="dxa"/>
              <w:end w:w="0" w:type="dxa"/>
            </w:tcMar>
          </w:tcPr>
          <w:p>
            <w:pPr>
              <w:spacing w:before="0" w:after="0" w:line="312" w:lineRule="auto"/>
            </w:pPr>
            <w:r>
              <w:rPr>
                <w:rFonts w:ascii="Aptos" w:hAnsi="Aptos" w:cs="Aptos" w:eastAsia="Aptos"/>
                <w:b/>
                <w:i w:val="0"/>
                <w:color w:val="2A2A2A"/>
                <w:sz w:val="21"/>
              </w:rPr>
              <w:t>ORNL Partnerships, this week.</w:t>
            </w:r>
            <w:r>
              <w:rPr>
                <w:rFonts w:ascii="Aptos" w:hAnsi="Aptos" w:cs="Aptos" w:eastAsia="Aptos"/>
                <w:b w:val="0"/>
                <w:i w:val="0"/>
                <w:color w:val="2A2A2A"/>
                <w:sz w:val="21"/>
              </w:rPr>
              <w:t xml:space="preserve"> Ask about the Innovation Crossroads webinar before applications open on September 15.</w:t>
            </w:r>
          </w:p>
        </w:tc>
      </w:tr>
    </w:tbl>
    <w:p>
      <w:pPr>
        <w:spacing w:before="0" w:after="14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648"/>
            <w:tcMar>
              <w:top w:w="0" w:type="dxa"/>
              <w:start w:w="0" w:type="dxa"/>
              <w:bottom w:w="0" w:type="dxa"/>
              <w:end w:w="0" w:type="dxa"/>
            </w:tcMar>
            <w:tcBorders>
              <w:top w:val="single" w:sz="8" w:space="0" w:color="045AA9"/>
              <w:left w:val="single" w:sz="8" w:space="0" w:color="045AA9"/>
              <w:bottom w:val="single" w:sz="8" w:space="0" w:color="045AA9"/>
              <w:right w:val="single" w:sz="8" w:space="0" w:color="045AA9"/>
            </w:tcBorders>
            <w:tcMar>
              <w:top w:w="80" w:type="dxa"/>
              <w:start w:w="0" w:type="dxa"/>
              <w:bottom w:w="80" w:type="dxa"/>
              <w:end w:w="0" w:type="dxa"/>
            </w:tcMar>
          </w:tcPr>
          <w:p>
            <w:pPr>
              <w:spacing w:before="0" w:after="0" w:line="240" w:lineRule="auto"/>
              <w:jc w:val="center"/>
            </w:pPr>
            <w:r>
              <w:rPr>
                <w:rFonts w:ascii="Aptos Display" w:hAnsi="Aptos Display" w:cs="Aptos Display" w:eastAsia="Aptos Display"/>
                <w:b/>
                <w:i w:val="0"/>
                <w:color w:val="045AA9"/>
                <w:sz w:val="21"/>
              </w:rPr>
              <w:t>4</w:t>
            </w:r>
          </w:p>
        </w:tc>
        <w:tc>
          <w:tcPr>
            <w:tcW w:type="dxa" w:w="8712"/>
            <w:tcBorders>
              <w:top w:val="nil"/>
              <w:left w:val="nil"/>
              <w:bottom w:val="nil"/>
              <w:right w:val="nil"/>
            </w:tcBorders>
            <w:tcMar>
              <w:top w:w="0" w:type="dxa"/>
              <w:start w:w="0" w:type="dxa"/>
              <w:bottom w:w="0" w:type="dxa"/>
              <w:end w:w="0" w:type="dxa"/>
            </w:tcMar>
            <w:tcMar>
              <w:top w:w="60" w:type="dxa"/>
              <w:start w:w="280" w:type="dxa"/>
              <w:bottom w:w="0" w:type="dxa"/>
              <w:end w:w="0" w:type="dxa"/>
            </w:tcMar>
          </w:tcPr>
          <w:p>
            <w:pPr>
              <w:spacing w:before="0" w:after="0" w:line="312" w:lineRule="auto"/>
            </w:pPr>
            <w:r>
              <w:rPr>
                <w:rFonts w:ascii="Aptos" w:hAnsi="Aptos" w:cs="Aptos" w:eastAsia="Aptos"/>
                <w:b/>
                <w:i w:val="0"/>
                <w:color w:val="2A2A2A"/>
                <w:sz w:val="21"/>
              </w:rPr>
              <w:t>ARPA-E, this week.</w:t>
            </w:r>
            <w:r>
              <w:rPr>
                <w:rFonts w:ascii="Aptos" w:hAnsi="Aptos" w:cs="Aptos" w:eastAsia="Aptos"/>
                <w:b w:val="0"/>
                <w:i w:val="0"/>
                <w:color w:val="2A2A2A"/>
                <w:sz w:val="21"/>
              </w:rPr>
              <w:t xml:space="preserve"> Nothing time-critical, but it costs one send.</w:t>
            </w:r>
          </w:p>
        </w:tc>
      </w:tr>
    </w:tbl>
    <w:p>
      <w:pPr>
        <w:spacing w:before="0" w:after="14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648"/>
            <w:tcMar>
              <w:top w:w="0" w:type="dxa"/>
              <w:start w:w="0" w:type="dxa"/>
              <w:bottom w:w="0" w:type="dxa"/>
              <w:end w:w="0" w:type="dxa"/>
            </w:tcMar>
            <w:tcBorders>
              <w:top w:val="single" w:sz="8" w:space="0" w:color="045AA9"/>
              <w:left w:val="single" w:sz="8" w:space="0" w:color="045AA9"/>
              <w:bottom w:val="single" w:sz="8" w:space="0" w:color="045AA9"/>
              <w:right w:val="single" w:sz="8" w:space="0" w:color="045AA9"/>
            </w:tcBorders>
            <w:tcMar>
              <w:top w:w="80" w:type="dxa"/>
              <w:start w:w="0" w:type="dxa"/>
              <w:bottom w:w="80" w:type="dxa"/>
              <w:end w:w="0" w:type="dxa"/>
            </w:tcMar>
          </w:tcPr>
          <w:p>
            <w:pPr>
              <w:spacing w:before="0" w:after="0" w:line="240" w:lineRule="auto"/>
              <w:jc w:val="center"/>
            </w:pPr>
            <w:r>
              <w:rPr>
                <w:rFonts w:ascii="Aptos Display" w:hAnsi="Aptos Display" w:cs="Aptos Display" w:eastAsia="Aptos Display"/>
                <w:b/>
                <w:i w:val="0"/>
                <w:color w:val="045AA9"/>
                <w:sz w:val="21"/>
              </w:rPr>
              <w:t>5</w:t>
            </w:r>
          </w:p>
        </w:tc>
        <w:tc>
          <w:tcPr>
            <w:tcW w:type="dxa" w:w="8712"/>
            <w:tcBorders>
              <w:top w:val="nil"/>
              <w:left w:val="nil"/>
              <w:bottom w:val="nil"/>
              <w:right w:val="nil"/>
            </w:tcBorders>
            <w:tcMar>
              <w:top w:w="0" w:type="dxa"/>
              <w:start w:w="0" w:type="dxa"/>
              <w:bottom w:w="0" w:type="dxa"/>
              <w:end w:w="0" w:type="dxa"/>
            </w:tcMar>
            <w:tcMar>
              <w:top w:w="60" w:type="dxa"/>
              <w:start w:w="280" w:type="dxa"/>
              <w:bottom w:w="0" w:type="dxa"/>
              <w:end w:w="0" w:type="dxa"/>
            </w:tcMar>
          </w:tcPr>
          <w:p>
            <w:pPr>
              <w:spacing w:before="0" w:after="0" w:line="312" w:lineRule="auto"/>
            </w:pPr>
            <w:r>
              <w:rPr>
                <w:rFonts w:ascii="Aptos" w:hAnsi="Aptos" w:cs="Aptos" w:eastAsia="Aptos"/>
                <w:b/>
                <w:i w:val="0"/>
                <w:color w:val="2A2A2A"/>
                <w:sz w:val="21"/>
              </w:rPr>
              <w:t>EPA form and the USDA call, when convenient.</w:t>
            </w:r>
            <w:r>
              <w:rPr>
                <w:rFonts w:ascii="Aptos" w:hAnsi="Aptos" w:cs="Aptos" w:eastAsia="Aptos"/>
                <w:b w:val="0"/>
                <w:i w:val="0"/>
                <w:color w:val="2A2A2A"/>
                <w:sz w:val="21"/>
              </w:rPr>
              <w:t xml:space="preserve"> Neither is urgent. The USDA call may end the USDA thread for good, which is a useful outcome.</w:t>
            </w:r>
          </w:p>
        </w:tc>
      </w:tr>
    </w:tbl>
    <w:p>
      <w:pPr>
        <w:spacing w:before="0" w:after="14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648"/>
            <w:tcMar>
              <w:top w:w="0" w:type="dxa"/>
              <w:start w:w="0" w:type="dxa"/>
              <w:bottom w:w="0" w:type="dxa"/>
              <w:end w:w="0" w:type="dxa"/>
            </w:tcMar>
            <w:tcBorders>
              <w:top w:val="single" w:sz="8" w:space="0" w:color="045AA9"/>
              <w:left w:val="single" w:sz="8" w:space="0" w:color="045AA9"/>
              <w:bottom w:val="single" w:sz="8" w:space="0" w:color="045AA9"/>
              <w:right w:val="single" w:sz="8" w:space="0" w:color="045AA9"/>
            </w:tcBorders>
            <w:tcMar>
              <w:top w:w="80" w:type="dxa"/>
              <w:start w:w="0" w:type="dxa"/>
              <w:bottom w:w="80" w:type="dxa"/>
              <w:end w:w="0" w:type="dxa"/>
            </w:tcMar>
          </w:tcPr>
          <w:p>
            <w:pPr>
              <w:spacing w:before="0" w:after="0" w:line="240" w:lineRule="auto"/>
              <w:jc w:val="center"/>
            </w:pPr>
            <w:r>
              <w:rPr>
                <w:rFonts w:ascii="Aptos Display" w:hAnsi="Aptos Display" w:cs="Aptos Display" w:eastAsia="Aptos Display"/>
                <w:b/>
                <w:i w:val="0"/>
                <w:color w:val="045AA9"/>
                <w:sz w:val="21"/>
              </w:rPr>
              <w:t>6</w:t>
            </w:r>
          </w:p>
        </w:tc>
        <w:tc>
          <w:tcPr>
            <w:tcW w:type="dxa" w:w="8712"/>
            <w:tcBorders>
              <w:top w:val="nil"/>
              <w:left w:val="nil"/>
              <w:bottom w:val="nil"/>
              <w:right w:val="nil"/>
            </w:tcBorders>
            <w:tcMar>
              <w:top w:w="0" w:type="dxa"/>
              <w:start w:w="0" w:type="dxa"/>
              <w:bottom w:w="0" w:type="dxa"/>
              <w:end w:w="0" w:type="dxa"/>
            </w:tcMar>
            <w:tcMar>
              <w:top w:w="60" w:type="dxa"/>
              <w:start w:w="280" w:type="dxa"/>
              <w:bottom w:w="0" w:type="dxa"/>
              <w:end w:w="0" w:type="dxa"/>
            </w:tcMar>
          </w:tcPr>
          <w:p>
            <w:pPr>
              <w:spacing w:before="0" w:after="0" w:line="312" w:lineRule="auto"/>
            </w:pPr>
            <w:r>
              <w:rPr>
                <w:rFonts w:ascii="Aptos" w:hAnsi="Aptos" w:cs="Aptos" w:eastAsia="Aptos"/>
                <w:b/>
                <w:i w:val="0"/>
                <w:color w:val="2A2A2A"/>
                <w:sz w:val="21"/>
              </w:rPr>
              <w:t>DOE SBIR/STTR, after September 10.</w:t>
            </w:r>
            <w:r>
              <w:rPr>
                <w:rFonts w:ascii="Aptos" w:hAnsi="Aptos" w:cs="Aptos" w:eastAsia="Aptos"/>
                <w:b w:val="0"/>
                <w:i w:val="0"/>
                <w:color w:val="2A2A2A"/>
                <w:sz w:val="21"/>
              </w:rPr>
              <w:t xml:space="preserve"> Batch 01, letter 2. Held deliberately until the pitch is submitted.</w:t>
            </w:r>
          </w:p>
        </w:tc>
      </w:tr>
    </w:tbl>
    <w:p>
      <w:pPr>
        <w:spacing w:before="0" w:after="14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648"/>
            <w:tcMar>
              <w:top w:w="0" w:type="dxa"/>
              <w:start w:w="0" w:type="dxa"/>
              <w:bottom w:w="0" w:type="dxa"/>
              <w:end w:w="0" w:type="dxa"/>
            </w:tcMar>
            <w:tcBorders>
              <w:top w:val="single" w:sz="8" w:space="0" w:color="045AA9"/>
              <w:left w:val="single" w:sz="8" w:space="0" w:color="045AA9"/>
              <w:bottom w:val="single" w:sz="8" w:space="0" w:color="045AA9"/>
              <w:right w:val="single" w:sz="8" w:space="0" w:color="045AA9"/>
            </w:tcBorders>
            <w:tcMar>
              <w:top w:w="80" w:type="dxa"/>
              <w:start w:w="0" w:type="dxa"/>
              <w:bottom w:w="80" w:type="dxa"/>
              <w:end w:w="0" w:type="dxa"/>
            </w:tcMar>
          </w:tcPr>
          <w:p>
            <w:pPr>
              <w:spacing w:before="0" w:after="0" w:line="240" w:lineRule="auto"/>
              <w:jc w:val="center"/>
            </w:pPr>
            <w:r>
              <w:rPr>
                <w:rFonts w:ascii="Aptos Display" w:hAnsi="Aptos Display" w:cs="Aptos Display" w:eastAsia="Aptos Display"/>
                <w:b/>
                <w:i w:val="0"/>
                <w:color w:val="045AA9"/>
                <w:sz w:val="21"/>
              </w:rPr>
              <w:t>7</w:t>
            </w:r>
          </w:p>
        </w:tc>
        <w:tc>
          <w:tcPr>
            <w:tcW w:type="dxa" w:w="8712"/>
            <w:tcBorders>
              <w:top w:val="nil"/>
              <w:left w:val="nil"/>
              <w:bottom w:val="nil"/>
              <w:right w:val="nil"/>
            </w:tcBorders>
            <w:tcMar>
              <w:top w:w="0" w:type="dxa"/>
              <w:start w:w="0" w:type="dxa"/>
              <w:bottom w:w="0" w:type="dxa"/>
              <w:end w:w="0" w:type="dxa"/>
            </w:tcMar>
            <w:tcMar>
              <w:top w:w="60" w:type="dxa"/>
              <w:start w:w="280" w:type="dxa"/>
              <w:bottom w:w="0" w:type="dxa"/>
              <w:end w:w="0" w:type="dxa"/>
            </w:tcMar>
          </w:tcPr>
          <w:p>
            <w:pPr>
              <w:spacing w:before="0" w:after="0" w:line="312" w:lineRule="auto"/>
            </w:pPr>
            <w:r>
              <w:rPr>
                <w:rFonts w:ascii="Aptos" w:hAnsi="Aptos" w:cs="Aptos" w:eastAsia="Aptos"/>
                <w:b w:val="0"/>
                <w:i w:val="0"/>
                <w:color w:val="2A2A2A"/>
                <w:sz w:val="21"/>
              </w:rPr>
              <w:t>Log every send in Outreach/OUTREACH_QUEUE.md with the date. The loop reads that file and will not write the same office twice.</w:t>
            </w:r>
          </w:p>
        </w:tc>
      </w:tr>
    </w:tbl>
    <w:p>
      <w:pPr>
        <w:spacing w:before="0" w:after="140" w:line="240" w:lineRule="auto"/>
      </w:pP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648"/>
            <w:tcMar>
              <w:top w:w="0" w:type="dxa"/>
              <w:start w:w="0" w:type="dxa"/>
              <w:bottom w:w="0" w:type="dxa"/>
              <w:end w:w="0" w:type="dxa"/>
            </w:tcMar>
            <w:tcBorders>
              <w:top w:val="single" w:sz="8" w:space="0" w:color="045AA9"/>
              <w:left w:val="single" w:sz="8" w:space="0" w:color="045AA9"/>
              <w:bottom w:val="single" w:sz="8" w:space="0" w:color="045AA9"/>
              <w:right w:val="single" w:sz="8" w:space="0" w:color="045AA9"/>
            </w:tcBorders>
            <w:tcMar>
              <w:top w:w="80" w:type="dxa"/>
              <w:start w:w="0" w:type="dxa"/>
              <w:bottom w:w="80" w:type="dxa"/>
              <w:end w:w="0" w:type="dxa"/>
            </w:tcMar>
          </w:tcPr>
          <w:p>
            <w:pPr>
              <w:spacing w:before="0" w:after="0" w:line="240" w:lineRule="auto"/>
              <w:jc w:val="center"/>
            </w:pPr>
            <w:r>
              <w:rPr>
                <w:rFonts w:ascii="Aptos Display" w:hAnsi="Aptos Display" w:cs="Aptos Display" w:eastAsia="Aptos Display"/>
                <w:b/>
                <w:i w:val="0"/>
                <w:color w:val="045AA9"/>
                <w:sz w:val="21"/>
              </w:rPr>
              <w:t>8</w:t>
            </w:r>
          </w:p>
        </w:tc>
        <w:tc>
          <w:tcPr>
            <w:tcW w:type="dxa" w:w="8712"/>
            <w:tcBorders>
              <w:top w:val="nil"/>
              <w:left w:val="nil"/>
              <w:bottom w:val="nil"/>
              <w:right w:val="nil"/>
            </w:tcBorders>
            <w:tcMar>
              <w:top w:w="0" w:type="dxa"/>
              <w:start w:w="0" w:type="dxa"/>
              <w:bottom w:w="0" w:type="dxa"/>
              <w:end w:w="0" w:type="dxa"/>
            </w:tcMar>
            <w:tcMar>
              <w:top w:w="60" w:type="dxa"/>
              <w:start w:w="280" w:type="dxa"/>
              <w:bottom w:w="0" w:type="dxa"/>
              <w:end w:w="0" w:type="dxa"/>
            </w:tcMar>
          </w:tcPr>
          <w:p>
            <w:pPr>
              <w:spacing w:before="0" w:after="0" w:line="312" w:lineRule="auto"/>
            </w:pPr>
            <w:r>
              <w:rPr>
                <w:rFonts w:ascii="Aptos" w:hAnsi="Aptos" w:cs="Aptos" w:eastAsia="Aptos"/>
                <w:b w:val="0"/>
                <w:i w:val="0"/>
                <w:color w:val="2A2A2A"/>
                <w:sz w:val="21"/>
              </w:rPr>
              <w:t>One follow-up at 21 days if there is no reply. One only.</w:t>
            </w:r>
          </w:p>
        </w:tc>
      </w:tr>
    </w:tbl>
    <w:p>
      <w:pPr>
        <w:spacing w:before="0" w:after="140" w:line="240" w:lineRule="auto"/>
      </w:pPr>
    </w:p>
    <w:p>
      <w:pPr>
        <w:keepNext/>
        <w:spacing w:before="240" w:after="80" w:line="288" w:lineRule="auto"/>
      </w:pPr>
      <w:r>
        <w:rPr>
          <w:rFonts w:ascii="Aptos Display" w:hAnsi="Aptos Display" w:cs="Aptos Display" w:eastAsia="Aptos Display"/>
          <w:b/>
          <w:i w:val="0"/>
          <w:color w:val="045AA9"/>
          <w:sz w:val="26"/>
        </w:rPr>
        <w:t>September 15 is the day that matters</w:t>
      </w:r>
    </w:p>
    <w:p>
      <w:pPr>
        <w:spacing w:before="0" w:after="140" w:line="312" w:lineRule="auto"/>
      </w:pPr>
      <w:r>
        <w:rPr>
          <w:rFonts w:ascii="Aptos" w:hAnsi="Aptos" w:cs="Aptos" w:eastAsia="Aptos"/>
          <w:b w:val="0"/>
          <w:i w:val="0"/>
          <w:color w:val="2A2A2A"/>
          <w:sz w:val="21"/>
        </w:rPr>
        <w:t>Three things open or land on or near it: the Activate Fellowship Cohort 2027, ORNL Innovation Crossroads Cohort 2027, and the five days before the DOE Genesis Mission pitch closes on September 10. The funding loop will build for the first two on the first run after the fifteenth. Neither needs anything from you before then except the decision about whether relocating to Oak Ridge for two years is on the table, because that determines whether one of those applications is worth writing at all.</w:t>
      </w:r>
    </w:p>
    <w:tbl>
      <w:tblPr>
        <w:tblW w:type="auto" w:w="0"/>
        <w:jc w:val="left"/>
        <w:tblLayout w:type="fixed"/>
        <w:tblLook w:firstColumn="1" w:firstRow="1" w:lastColumn="0" w:lastRow="0" w:noHBand="0" w:noVBand="1" w:val="04A0"/>
        <w:tblInd w:w="0" w:type="dxa"/>
        <w:tblLayout w:type="fixed"/>
      </w:tblPr>
      <w:tblGrid>
        <w:gridCol w:w="4680"/>
        <w:gridCol w:w="4680"/>
      </w:tblGrid>
      <w:tr>
        <w:tc>
          <w:tcPr>
            <w:tcW w:type="dxa" w:w="6192"/>
            <w:tcMar>
              <w:top w:w="0" w:type="dxa"/>
              <w:start w:w="0" w:type="dxa"/>
              <w:bottom w:w="0" w:type="dxa"/>
              <w:end w:w="0" w:type="dxa"/>
            </w:tcMar>
            <w:tcBorders>
              <w:top w:val="single" w:sz="6" w:space="0" w:color="E3E8EF"/>
              <w:left w:val="nil"/>
              <w:bottom w:val="nil"/>
              <w:right w:val="nil"/>
            </w:tcBorders>
            <w:tcMar>
              <w:top w:w="140" w:type="dxa"/>
              <w:start w:w="0" w:type="dxa"/>
              <w:bottom w:w="0" w:type="dxa"/>
              <w:end w:w="0" w:type="dxa"/>
            </w:tcMar>
          </w:tcPr>
          <w:p>
            <w:pPr>
              <w:spacing w:before="0" w:after="0" w:line="300" w:lineRule="auto"/>
            </w:pPr>
            <w:r>
              <w:rPr>
                <w:rFonts w:ascii="Aptos" w:hAnsi="Aptos" w:cs="Aptos" w:eastAsia="Aptos"/>
                <w:b w:val="0"/>
                <w:i w:val="0"/>
                <w:color w:val="6B7684"/>
                <w:sz w:val="16"/>
              </w:rPr>
              <w:t>PlastiBioFuel LLC  ·  michael@plastibiofuel.com  ·  SDVOSB</w:t>
            </w:r>
          </w:p>
        </w:tc>
        <w:tc>
          <w:tcPr>
            <w:tcW w:type="dxa" w:w="3168"/>
            <w:tcMar>
              <w:top w:w="0" w:type="dxa"/>
              <w:start w:w="0" w:type="dxa"/>
              <w:bottom w:w="0" w:type="dxa"/>
              <w:end w:w="0" w:type="dxa"/>
            </w:tcMar>
            <w:tcBorders>
              <w:top w:val="single" w:sz="6" w:space="0" w:color="E3E8EF"/>
              <w:left w:val="nil"/>
              <w:bottom w:val="nil"/>
              <w:right w:val="nil"/>
            </w:tcBorders>
            <w:tcMar>
              <w:top w:w="140" w:type="dxa"/>
              <w:start w:w="0" w:type="dxa"/>
              <w:bottom w:w="0" w:type="dxa"/>
              <w:end w:w="0" w:type="dxa"/>
            </w:tcMar>
          </w:tcPr>
          <w:p>
            <w:pPr>
              <w:spacing w:before="0" w:after="0" w:line="300" w:lineRule="auto"/>
              <w:jc w:val="right"/>
            </w:pPr>
            <w:r>
              <w:rPr>
                <w:rFonts w:ascii="Aptos" w:hAnsi="Aptos" w:cs="Aptos" w:eastAsia="Aptos"/>
                <w:b w:val="0"/>
                <w:i w:val="0"/>
                <w:color w:val="6B7684"/>
                <w:sz w:val="16"/>
              </w:rPr>
              <w:t>UEI KQAWZ54RDUM8  ·  CAGE 175D6</w:t>
            </w:r>
          </w:p>
        </w:tc>
      </w:tr>
    </w:tbl>
    <w:sectPr w:rsidR="00FC693F" w:rsidRPr="0006063C" w:rsidSect="00034616">
      <w:pgSz w:w="12240" w:h="15840"/>
      <w:pgMar w:top="792"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pPr>
    <w:rPr>
      <w:rFonts w:ascii="Aptos" w:hAnsi="Aptos" w:cs="Aptos" w:eastAsia="Aptos"/>
      <w:rFonts w:ascii="Aptos" w:hAnsi="Aptos"/>
      <w:color w:val="2A2A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