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Ind w:w="-1440" w:type="dxa"/>
        <w:tblLayout w:type="fixed"/>
      </w:tblPr>
      <w:tblGrid>
        <w:gridCol w:w="4680"/>
        <w:gridCol w:w="4680"/>
      </w:tblGrid>
      <w:tr>
        <w:tc>
          <w:tcPr>
            <w:tcW w:type="dxa" w:w="6120"/>
            <w:tcBorders>
              <w:top w:val="nil"/>
              <w:left w:val="nil"/>
              <w:bottom w:val="nil"/>
              <w:right w:val="nil"/>
            </w:tcBorders>
            <w:tcMar>
              <w:top w:w="0" w:type="dxa"/>
              <w:start w:w="0" w:type="dxa"/>
              <w:bottom w:w="0" w:type="dxa"/>
              <w:end w:w="0" w:type="dxa"/>
            </w:tcMar>
            <w:shd w:val="clear" w:color="auto" w:fill="045AA9"/>
            <w:tcMar>
              <w:top w:w="140" w:type="dxa"/>
              <w:start w:w="1440" w:type="dxa"/>
              <w:bottom w:w="140" w:type="dxa"/>
              <w:end w:w="0" w:type="dxa"/>
            </w:tcMar>
          </w:tcPr>
          <w:p>
            <w:pPr>
              <w:spacing w:before="0" w:after="0" w:line="240" w:lineRule="auto"/>
            </w:pPr>
            <w:r>
              <w:rPr>
                <w:rFonts w:ascii="Aptos Display" w:hAnsi="Aptos Display" w:cs="Aptos Display" w:eastAsia="Aptos Display"/>
                <w:b/>
                <w:i w:val="0"/>
                <w:color w:val="FFFFFF"/>
                <w:sz w:val="22"/>
                <w:spacing w:val="36"/>
              </w:rPr>
              <w:t>PLASTIBIOFUEL</w:t>
            </w:r>
          </w:p>
        </w:tc>
        <w:tc>
          <w:tcPr>
            <w:tcW w:type="dxa" w:w="6120"/>
            <w:tcBorders>
              <w:top w:val="nil"/>
              <w:left w:val="nil"/>
              <w:bottom w:val="nil"/>
              <w:right w:val="nil"/>
            </w:tcBorders>
            <w:tcMar>
              <w:top w:w="0" w:type="dxa"/>
              <w:start w:w="0" w:type="dxa"/>
              <w:bottom w:w="0" w:type="dxa"/>
              <w:end w:w="0" w:type="dxa"/>
            </w:tcMar>
            <w:shd w:val="clear" w:color="auto" w:fill="045AA9"/>
            <w:tcMar>
              <w:top w:w="140" w:type="dxa"/>
              <w:start w:w="0" w:type="dxa"/>
              <w:bottom w:w="140" w:type="dxa"/>
              <w:end w:w="1440" w:type="dxa"/>
            </w:tcMar>
          </w:tcPr>
          <w:p>
            <w:pPr>
              <w:spacing w:before="0" w:after="0" w:line="240" w:lineRule="auto"/>
              <w:jc w:val="right"/>
            </w:pPr>
            <w:r>
              <w:rPr>
                <w:rFonts w:ascii="Aptos Display" w:hAnsi="Aptos Display" w:cs="Aptos Display" w:eastAsia="Aptos Display"/>
                <w:b/>
                <w:i w:val="0"/>
                <w:color w:val="9EC8F0"/>
                <w:sz w:val="16"/>
                <w:spacing w:val="38"/>
              </w:rPr>
              <w:t>FORMS AND CERTIFICATIONS</w:t>
            </w:r>
          </w:p>
        </w:tc>
      </w:tr>
    </w:tbl>
    <w:tbl>
      <w:tblPr>
        <w:tblW w:type="auto" w:w="0"/>
        <w:jc w:val="left"/>
        <w:tblLayout w:type="fixed"/>
        <w:tblLook w:firstColumn="1" w:firstRow="1" w:lastColumn="0" w:lastRow="0" w:noHBand="0" w:noVBand="1" w:val="04A0"/>
        <w:tblInd w:w="-1440" w:type="dxa"/>
        <w:tblLayout w:type="fixed"/>
      </w:tblPr>
      <w:tblGrid>
        <w:gridCol w:w="9360"/>
      </w:tblGrid>
      <w:tr>
        <w:tc>
          <w:tcPr>
            <w:tcW w:type="dxa" w:w="12240"/>
            <w:tcBorders>
              <w:top w:val="nil"/>
              <w:left w:val="nil"/>
              <w:bottom w:val="nil"/>
              <w:right w:val="nil"/>
            </w:tcBorders>
            <w:tcMar>
              <w:top w:w="0" w:type="dxa"/>
              <w:start w:w="0" w:type="dxa"/>
              <w:bottom w:w="0" w:type="dxa"/>
              <w:end w:w="0" w:type="dxa"/>
            </w:tcMar>
            <w:shd w:val="clear" w:color="auto" w:fill="D50057"/>
            <w:tcMar>
              <w:top w:w="0" w:type="dxa"/>
              <w:start w:w="0" w:type="dxa"/>
              <w:bottom w:w="0" w:type="dxa"/>
              <w:end w:w="0" w:type="dxa"/>
            </w:tcMar>
          </w:tcPr>
          <w:p>
            <w:pPr>
              <w:spacing w:before="0" w:after="0" w:line="240" w:lineRule="auto"/>
            </w:pPr>
            <w:r>
              <w:rPr>
                <w:rFonts w:ascii="Aptos" w:hAnsi="Aptos" w:cs="Aptos" w:eastAsia="Aptos"/>
                <w:b w:val="0"/>
                <w:i w:val="0"/>
                <w:color w:val="2A2A2A"/>
                <w:sz w:val="4"/>
              </w:rPr>
            </w:r>
          </w:p>
        </w:tc>
      </w:tr>
    </w:tbl>
    <w:p>
      <w:pPr>
        <w:spacing w:before="0" w:after="240" w:line="240" w:lineRule="auto"/>
      </w:pPr>
    </w:p>
    <w:p>
      <w:pPr>
        <w:keepNext/>
        <w:spacing w:before="0" w:after="100" w:line="264" w:lineRule="auto"/>
      </w:pPr>
      <w:r>
        <w:rPr>
          <w:rFonts w:ascii="Aptos Display" w:hAnsi="Aptos Display" w:cs="Aptos Display" w:eastAsia="Aptos Display"/>
          <w:b/>
          <w:i w:val="0"/>
          <w:color w:val="045AA9"/>
          <w:sz w:val="18"/>
          <w:spacing w:val="28"/>
        </w:rPr>
        <w:t>DOE SBIR/STTR FY26 PHASE I  ·  GENESIS MISSION</w:t>
      </w:r>
    </w:p>
    <w:p>
      <w:pPr>
        <w:keepNext/>
        <w:spacing w:before="0" w:after="0" w:line="247" w:lineRule="auto"/>
      </w:pPr>
      <w:r>
        <w:rPr>
          <w:rFonts w:ascii="Aptos Display" w:hAnsi="Aptos Display" w:cs="Aptos Display" w:eastAsia="Aptos Display"/>
          <w:b/>
          <w:i w:val="0"/>
          <w:color w:val="2A2A2A"/>
          <w:sz w:val="56"/>
        </w:rPr>
        <w:t>Nothing to sign</w:t>
      </w:r>
    </w:p>
    <w:p>
      <w:pPr>
        <w:keepNext/>
        <w:spacing w:before="0" w:after="120" w:line="247" w:lineRule="auto"/>
      </w:pPr>
      <w:r>
        <w:rPr>
          <w:rFonts w:ascii="Aptos Display" w:hAnsi="Aptos Display" w:cs="Aptos Display" w:eastAsia="Aptos Display"/>
          <w:b/>
          <w:i w:val="0"/>
          <w:color w:val="2A2A2A"/>
          <w:sz w:val="56"/>
        </w:rPr>
        <w:t>at the pitch stage</w:t>
      </w:r>
    </w:p>
    <w:p>
      <w:pPr>
        <w:spacing w:before="0" w:after="260" w:line="312" w:lineRule="auto"/>
      </w:pPr>
      <w:r>
        <w:rPr>
          <w:rFonts w:ascii="Aptos" w:hAnsi="Aptos" w:cs="Aptos" w:eastAsia="Aptos"/>
          <w:b w:val="0"/>
          <w:i w:val="0"/>
          <w:color w:val="4A5561"/>
          <w:sz w:val="22"/>
        </w:rPr>
        <w:t>DOE requires no forms, certifications, or representations at the pitch stage. The only gate is an AMP account. Stage 2 applies only if the pitch is invited forward, and DOE has not yet published the full-application forms package. Every Stage 2 row is marked by source so nothing anticipated is mistaken for something confirmed.</w:t>
      </w: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r>
              <w:rPr>
                <w:rFonts w:ascii="Aptos" w:hAnsi="Aptos" w:cs="Aptos" w:eastAsia="Aptos"/>
                <w:b w:val="0"/>
                <w:i w:val="0"/>
                <w:color w:val="6B7684"/>
                <w:sz w:val="17"/>
              </w:rPr>
              <w:t xml:space="preserve">   Stated on a DOE or ConnectWerx page as of August 22, 2026</w:t>
            </w:r>
          </w:p>
        </w:tc>
        <w:tc>
          <w:tcPr>
            <w:tcW w:type="dxa" w:w="4680"/>
            <w:tcMar>
              <w:top w:w="0" w:type="dxa"/>
              <w:start w:w="0" w:type="dxa"/>
              <w:bottom w:w="0" w:type="dxa"/>
              <w:end w:w="0" w:type="dxa"/>
            </w:tcMar>
            <w:tcBorders>
              <w:top w:val="single" w:sz="12" w:space="0" w:color="2A2A2A"/>
              <w:left w:val="nil"/>
              <w:bottom w:val="single" w:sz="6" w:space="0" w:color="E3E8EF"/>
              <w:right w:val="nil"/>
            </w:tcBorders>
            <w:tcMar>
              <w:top w:w="160" w:type="dxa"/>
              <w:start w:w="0" w:type="dxa"/>
              <w:bottom w:w="16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r>
              <w:rPr>
                <w:rFonts w:ascii="Aptos" w:hAnsi="Aptos" w:cs="Aptos" w:eastAsia="Aptos"/>
                <w:b w:val="0"/>
                <w:i w:val="0"/>
                <w:color w:val="6B7684"/>
                <w:sz w:val="17"/>
              </w:rPr>
              <w:t xml:space="preserve">   Standard SBIR/STTR practice, not yet published here</w:t>
            </w:r>
          </w:p>
        </w:tc>
      </w:tr>
    </w:tbl>
    <w:p>
      <w:pPr>
        <w:spacing w:before="0" w:after="18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1  ·  PITCH</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Due Sep 10, 2026, 2:00 PM ET</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AMP account request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register.ati.org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no signature</w:t>
            </w:r>
          </w:p>
          <w:p>
            <w:pPr>
              <w:spacing w:before="60" w:after="0" w:line="307" w:lineRule="auto"/>
            </w:pPr>
            <w:r>
              <w:rPr>
                <w:rFonts w:ascii="Aptos" w:hAnsi="Aptos" w:cs="Aptos" w:eastAsia="Aptos"/>
                <w:b w:val="0"/>
                <w:i w:val="0"/>
                <w:color w:val="4A5561"/>
                <w:sz w:val="19"/>
              </w:rPr>
              <w:t>Required before submission. Under 5 minutes to request, allow 1 to 2 business days for approval.</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F766E"/>
                <w:sz w:val="14"/>
                <w:spacing w:val="20"/>
                <w:shd w:val="clear" w:color="auto" w:fill="E6F4F1"/>
              </w:rPr>
              <w:t xml:space="preserve"> READY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Pitch submission form, four open-text answers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sbirsttr-amp.ati.org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Text is written. See the Pitch Responses document in this package.</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D50057"/>
                <w:sz w:val="14"/>
                <w:spacing w:val="20"/>
                <w:shd w:val="clear" w:color="auto" w:fill="FDF0F5"/>
              </w:rPr>
              <w:t xml:space="preserve"> REQUIRED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Topic selection, one only</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submission form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Topic 1, Scaling the Biotechnology Revolution. Cannot be changed after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OPTIONAL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Bibliography and References Cited</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AMP file upload, PDF, 5 MB or smaller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 signature</w:t>
            </w:r>
          </w:p>
          <w:p>
            <w:pPr>
              <w:spacing w:before="60" w:after="0" w:line="307" w:lineRule="auto"/>
            </w:pPr>
            <w:r>
              <w:rPr>
                <w:rFonts w:ascii="Aptos" w:hAnsi="Aptos" w:cs="Aptos" w:eastAsia="Aptos"/>
                <w:b w:val="0"/>
                <w:i w:val="0"/>
                <w:color w:val="4A5561"/>
                <w:sz w:val="19"/>
              </w:rPr>
              <w:t>Prepared. Upload the file named PlastiBioFuelBibliography.pdf.</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Certifications and representations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None required at pitch stage. Confirmed against the ConnectWerx opportunity page and FAQ on August 22, 2026.</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6B7684"/>
                <w:sz w:val="14"/>
                <w:spacing w:val="20"/>
                <w:shd w:val="clear" w:color="auto" w:fill="F1F3F5"/>
              </w:rPr>
              <w:t xml:space="preserve"> NOT APPLICABLE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versus STTR election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Not applicable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Not applicable</w:t>
            </w:r>
          </w:p>
          <w:p>
            <w:pPr>
              <w:spacing w:before="60" w:after="0" w:line="307" w:lineRule="auto"/>
            </w:pPr>
            <w:r>
              <w:rPr>
                <w:rFonts w:ascii="Aptos" w:hAnsi="Aptos" w:cs="Aptos" w:eastAsia="Aptos"/>
                <w:b w:val="0"/>
                <w:i w:val="0"/>
                <w:color w:val="4A5561"/>
                <w:sz w:val="19"/>
              </w:rPr>
              <w:t>Not made at pitch. DOE states pitches are not evaluated separately for SBIR and STTR.</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5184"/>
            <w:tcBorders>
              <w:top w:val="nil"/>
              <w:left w:val="nil"/>
              <w:bottom w:val="nil"/>
              <w:right w:val="nil"/>
            </w:tcBorders>
            <w:tcMar>
              <w:top w:w="0" w:type="dxa"/>
              <w:start w:w="0" w:type="dxa"/>
              <w:bottom w:w="0" w:type="dxa"/>
              <w:end w:w="0" w:type="dxa"/>
            </w:tcMar>
            <w:shd w:val="clear" w:color="auto" w:fill="045AA9"/>
            <w:tcMar>
              <w:top w:w="100" w:type="dxa"/>
              <w:start w:w="200" w:type="dxa"/>
              <w:bottom w:w="100" w:type="dxa"/>
              <w:end w:w="200" w:type="dxa"/>
            </w:tcMar>
          </w:tcPr>
          <w:p>
            <w:pPr>
              <w:spacing w:before="0" w:after="0" w:line="264" w:lineRule="auto"/>
            </w:pPr>
            <w:r>
              <w:rPr>
                <w:rFonts w:ascii="Aptos Display" w:hAnsi="Aptos Display" w:cs="Aptos Display" w:eastAsia="Aptos Display"/>
                <w:b/>
                <w:i w:val="0"/>
                <w:color w:val="FFFFFF"/>
                <w:sz w:val="19"/>
                <w:spacing w:val="24"/>
              </w:rPr>
              <w:t>STAGE 2  ·  FULL APPLICATION</w:t>
            </w:r>
          </w:p>
        </w:tc>
        <w:tc>
          <w:tcPr>
            <w:tcW w:type="dxa" w:w="4176"/>
            <w:tcBorders>
              <w:top w:val="nil"/>
              <w:left w:val="nil"/>
              <w:bottom w:val="nil"/>
              <w:right w:val="nil"/>
            </w:tcBorders>
            <w:tcMar>
              <w:top w:w="0" w:type="dxa"/>
              <w:start w:w="0" w:type="dxa"/>
              <w:bottom w:w="0" w:type="dxa"/>
              <w:end w:w="0" w:type="dxa"/>
            </w:tcMar>
            <w:tcMar>
              <w:top w:w="120" w:type="dxa"/>
              <w:start w:w="240" w:type="dxa"/>
              <w:bottom w:w="100" w:type="dxa"/>
              <w:end w:w="0" w:type="dxa"/>
            </w:tcMar>
          </w:tcPr>
          <w:p>
            <w:pPr>
              <w:spacing w:before="0" w:after="0" w:line="264" w:lineRule="auto"/>
              <w:jc w:val="right"/>
            </w:pPr>
            <w:r>
              <w:rPr>
                <w:rFonts w:ascii="Aptos Display" w:hAnsi="Aptos Display" w:cs="Aptos Display" w:eastAsia="Aptos Display"/>
                <w:b/>
                <w:i w:val="0"/>
                <w:color w:val="6B7684"/>
                <w:sz w:val="18"/>
              </w:rPr>
              <w:t>Only if invited</w:t>
            </w:r>
          </w:p>
        </w:tc>
      </w:tr>
    </w:tbl>
    <w:p>
      <w:pPr>
        <w:spacing w:before="0" w:after="16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Active SAM.gov registration and UEI</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sam.gov/entity-registration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Entity Administrator</w:t>
            </w:r>
          </w:p>
          <w:p>
            <w:pPr>
              <w:spacing w:before="60" w:after="0" w:line="307" w:lineRule="auto"/>
            </w:pPr>
            <w:r>
              <w:rPr>
                <w:rFonts w:ascii="Aptos" w:hAnsi="Aptos" w:cs="Aptos" w:eastAsia="Aptos"/>
                <w:b w:val="0"/>
                <w:i w:val="0"/>
                <w:color w:val="4A5561"/>
                <w:sz w:val="19"/>
              </w:rPr>
              <w:t>UEI KQAWZ54RDUM8 must be entered on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SBA Company Registry registration and proof</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app.www.sbir.gov/company-registration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Proof of registration is required as part of the application.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Small Business Concern eligibility representation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Founder and CEO</w:t>
            </w:r>
          </w:p>
          <w:p>
            <w:pPr>
              <w:spacing w:before="60" w:after="0" w:line="307" w:lineRule="auto"/>
            </w:pPr>
            <w:r>
              <w:rPr>
                <w:rFonts w:ascii="Aptos" w:hAnsi="Aptos" w:cs="Aptos" w:eastAsia="Aptos"/>
                <w:b w:val="0"/>
                <w:i w:val="0"/>
                <w:color w:val="4A5561"/>
                <w:sz w:val="19"/>
              </w:rPr>
              <w:t>For-profit, U.S. place of business, 51 percent or more U.S. citizen owned and controlled, 500 or fewer employees. Form not yet published.</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Place of performance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All research and development performed in the United States.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PI primary employment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as PI</w:t>
            </w:r>
          </w:p>
          <w:p>
            <w:pPr>
              <w:spacing w:before="60" w:after="0" w:line="307" w:lineRule="auto"/>
            </w:pPr>
            <w:r>
              <w:rPr>
                <w:rFonts w:ascii="Aptos" w:hAnsi="Aptos" w:cs="Aptos" w:eastAsia="Aptos"/>
                <w:b w:val="0"/>
                <w:i w:val="0"/>
                <w:color w:val="4A5561"/>
                <w:sz w:val="19"/>
              </w:rPr>
              <w:t>More than 50 percent employment with the small business.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SBIR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Small business performs at least two-thirds of Phase I effort.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work-share certification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Small business at least 40 percent and research institution at least 30 percent.</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045AA9"/>
                <w:sz w:val="14"/>
                <w:spacing w:val="20"/>
                <w:shd w:val="clear" w:color="auto" w:fill="E8F1FA"/>
              </w:rPr>
              <w:t xml:space="preserve"> CONFIRMED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STTR only: written IP allocation and licensing agreement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Executed before work begins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 and UNT authorized official</w:t>
            </w:r>
          </w:p>
          <w:p>
            <w:pPr>
              <w:spacing w:before="60" w:after="0" w:line="307" w:lineRule="auto"/>
            </w:pPr>
            <w:r>
              <w:rPr>
                <w:rFonts w:ascii="Aptos" w:hAnsi="Aptos" w:cs="Aptos" w:eastAsia="Aptos"/>
                <w:b w:val="0"/>
                <w:i w:val="0"/>
                <w:color w:val="4A5561"/>
                <w:sz w:val="19"/>
              </w:rPr>
              <w:t>DOE states this must be in place before work begins.</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Essentially equivalent work and duplicate funding disclosure</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Standard across SBIR and STTR agencies. Ready-to-use language is below.</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Current and pending support for all personnel</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Not yet published for this opportunity.</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UNT subaward statement of work and budget</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attachment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Prepared by PlastiBioFuel with UNT input</w:t>
            </w:r>
          </w:p>
          <w:p>
            <w:pPr>
              <w:spacing w:before="60" w:after="0" w:line="307" w:lineRule="auto"/>
            </w:pPr>
            <w:r>
              <w:rPr>
                <w:rFonts w:ascii="Aptos" w:hAnsi="Aptos" w:cs="Aptos" w:eastAsia="Aptos"/>
                <w:b w:val="0"/>
                <w:i w:val="0"/>
                <w:color w:val="4A5561"/>
                <w:sz w:val="19"/>
              </w:rPr>
              <w:t>Award-stage under 2 CFR 200.332. Institutional sign-off is not required at submission.</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Budget and line-by-line justification</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Must not exceed $250,000, or $256,500 with TABA.</w:t>
            </w:r>
          </w:p>
        </w:tc>
      </w:tr>
    </w:tbl>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2232"/>
            <w:tcMar>
              <w:top w:w="0" w:type="dxa"/>
              <w:start w:w="0" w:type="dxa"/>
              <w:bottom w:w="0" w:type="dxa"/>
              <w:end w:w="0" w:type="dxa"/>
            </w:tcMar>
            <w:tcBorders>
              <w:top w:val="nil"/>
              <w:left w:val="nil"/>
              <w:bottom w:val="single" w:sz="4" w:space="0" w:color="EDF1F5"/>
              <w:right w:val="nil"/>
            </w:tcBorders>
            <w:tcMar>
              <w:top w:w="180" w:type="dxa"/>
              <w:start w:w="0" w:type="dxa"/>
              <w:bottom w:w="180" w:type="dxa"/>
              <w:end w:w="240" w:type="dxa"/>
            </w:tcMar>
          </w:tcPr>
          <w:p>
            <w:pPr>
              <w:spacing w:before="0" w:after="0" w:line="288" w:lineRule="auto"/>
            </w:pPr>
            <w:r>
              <w:rPr>
                <w:rFonts w:ascii="Aptos Display" w:hAnsi="Aptos Display" w:cs="Aptos Display" w:eastAsia="Aptos Display"/>
                <w:b/>
                <w:i w:val="0"/>
                <w:color w:val="7A6410"/>
                <w:sz w:val="14"/>
                <w:spacing w:val="20"/>
                <w:shd w:val="clear" w:color="auto" w:fill="FBF4DF"/>
              </w:rPr>
              <w:t xml:space="preserve"> ANTICIPATED </w:t>
            </w:r>
          </w:p>
        </w:tc>
        <w:tc>
          <w:tcPr>
            <w:tcW w:type="dxa" w:w="7128"/>
            <w:tcMar>
              <w:top w:w="0" w:type="dxa"/>
              <w:start w:w="0" w:type="dxa"/>
              <w:bottom w:w="0" w:type="dxa"/>
              <w:end w:w="0" w:type="dxa"/>
            </w:tcMar>
            <w:tcBorders>
              <w:top w:val="nil"/>
              <w:left w:val="nil"/>
              <w:bottom w:val="single" w:sz="4" w:space="0" w:color="EDF1F5"/>
              <w:right w:val="nil"/>
            </w:tcBorders>
            <w:tcMar>
              <w:top w:w="160" w:type="dxa"/>
              <w:start w:w="0" w:type="dxa"/>
              <w:bottom w:w="180" w:type="dxa"/>
              <w:end w:w="0" w:type="dxa"/>
            </w:tcMar>
          </w:tcPr>
          <w:p>
            <w:pPr>
              <w:spacing w:before="0" w:after="0" w:line="288" w:lineRule="auto"/>
            </w:pPr>
            <w:r>
              <w:rPr>
                <w:rFonts w:ascii="Aptos Display" w:hAnsi="Aptos Display" w:cs="Aptos Display" w:eastAsia="Aptos Display"/>
                <w:b/>
                <w:i w:val="0"/>
                <w:color w:val="2A2A2A"/>
                <w:sz w:val="21"/>
              </w:rPr>
              <w:t>Foreign risk management and research security disclosures</w:t>
            </w:r>
          </w:p>
          <w:p>
            <w:pPr>
              <w:spacing w:before="60" w:after="0" w:line="288" w:lineRule="auto"/>
            </w:pPr>
            <w:r>
              <w:rPr>
                <w:rFonts w:ascii="Aptos Display" w:hAnsi="Aptos Display" w:cs="Aptos Display" w:eastAsia="Aptos Display"/>
                <w:b/>
                <w:i w:val="0"/>
                <w:color w:val="98A2AE"/>
                <w:sz w:val="14"/>
                <w:spacing w:val="20"/>
              </w:rPr>
              <w:t xml:space="preserve">WHERE </w:t>
            </w:r>
            <w:r>
              <w:rPr>
                <w:rFonts w:ascii="Aptos" w:hAnsi="Aptos" w:cs="Aptos" w:eastAsia="Aptos"/>
                <w:b w:val="0"/>
                <w:i w:val="0"/>
                <w:color w:val="6B7684"/>
                <w:sz w:val="17"/>
              </w:rPr>
              <w:t xml:space="preserve">Full application   |   </w:t>
            </w:r>
            <w:r>
              <w:rPr>
                <w:rFonts w:ascii="Aptos Display" w:hAnsi="Aptos Display" w:cs="Aptos Display" w:eastAsia="Aptos Display"/>
                <w:b/>
                <w:i w:val="0"/>
                <w:color w:val="98A2AE"/>
                <w:sz w:val="14"/>
                <w:spacing w:val="20"/>
              </w:rPr>
              <w:t xml:space="preserve">SIGNS </w:t>
            </w:r>
            <w:r>
              <w:rPr>
                <w:rFonts w:ascii="Aptos" w:hAnsi="Aptos" w:cs="Aptos" w:eastAsia="Aptos"/>
                <w:b w:val="0"/>
                <w:i w:val="0"/>
                <w:color w:val="6B7684"/>
                <w:sz w:val="17"/>
              </w:rPr>
              <w:t>Michael Ward</w:t>
            </w:r>
          </w:p>
          <w:p>
            <w:pPr>
              <w:spacing w:before="60" w:after="0" w:line="307" w:lineRule="auto"/>
            </w:pPr>
            <w:r>
              <w:rPr>
                <w:rFonts w:ascii="Aptos" w:hAnsi="Aptos" w:cs="Aptos" w:eastAsia="Aptos"/>
                <w:b w:val="0"/>
                <w:i w:val="0"/>
                <w:color w:val="4A5561"/>
                <w:sz w:val="19"/>
              </w:rPr>
              <w:t>DOE maintains a Foreign Risk Management page for the SBIR and STTR programs.</w:t>
            </w:r>
          </w:p>
        </w:tc>
      </w:tr>
    </w:tbl>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DUPLICATE FUNDING DISCLOSURE, READY TO USE</w:t>
            </w:r>
          </w:p>
          <w:p>
            <w:pPr>
              <w:spacing w:before="80" w:after="0" w:line="300" w:lineRule="auto"/>
            </w:pPr>
            <w:r>
              <w:rPr>
                <w:rFonts w:ascii="Aptos" w:hAnsi="Aptos" w:cs="Aptos" w:eastAsia="Aptos"/>
                <w:b w:val="0"/>
                <w:i w:val="0"/>
                <w:color w:val="6B7684"/>
                <w:sz w:val="17"/>
              </w:rPr>
              <w:t>Use this wording on any essentially equivalent work certification at full application. It is already reflected in Question 4 of the pitch.</w:t>
            </w:r>
          </w:p>
          <w:p>
            <w:pPr>
              <w:spacing w:before="100" w:after="0" w:line="317" w:lineRule="auto"/>
              <w:ind w:left="200"/>
              <w:pBdr>
                <w:left w:val="single" w:sz="12" w:space="6" w:color="045AA9"/>
              </w:pBdr>
            </w:pPr>
            <w:r>
              <w:rPr>
                <w:rFonts w:ascii="Aptos" w:hAnsi="Aptos" w:cs="Aptos" w:eastAsia="Aptos"/>
                <w:b w:val="0"/>
                <w:i w:val="0"/>
                <w:color w:val="2A2A2A"/>
                <w:sz w:val="20"/>
              </w:rPr>
              <w:t>“PlastiBioFuel LLC has one other federal proposal pending: NSF SBIR Phase I, Research.gov proposal 328095, solicitation NSF 26-510, subtopic BT10 Synthetic Biology and Metabolic Engineering, total requested $304,955, submitting against the November 4, 2026 window. That proposal addresses COF-enzyme reusability, the monomer-to-ethanol biological conversion pathway, and construction of an integrated lab-scale spiral reactor module. The scope proposed to DOE is the computational design layer: a physics-informed machine learning surrogate model of the immobilized-enzyme reactor and its experimental validation. The two efforts share no tasks, no personnel effort months, and no budget lines. This is not essentially equivalent work, and no duplicate funding would result from award of both.”</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Borders>
              <w:top w:val="nil"/>
              <w:left w:val="nil"/>
              <w:bottom w:val="nil"/>
              <w:right w:val="nil"/>
            </w:tcBorders>
            <w:tcMar>
              <w:top w:w="0" w:type="dxa"/>
              <w:start w:w="0" w:type="dxa"/>
              <w:bottom w:w="0" w:type="dxa"/>
              <w:end w:w="0" w:type="dxa"/>
            </w:tcMar>
            <w:shd w:val="clear" w:color="auto" w:fill="F2F7FC"/>
            <w:tcMar>
              <w:top w:w="220" w:type="dxa"/>
              <w:start w:w="360" w:type="dxa"/>
              <w:bottom w:w="220" w:type="dxa"/>
              <w:end w:w="360" w:type="dxa"/>
            </w:tcMar>
          </w:tcPr>
          <w:p>
            <w:pPr>
              <w:spacing w:before="0" w:after="0" w:line="276" w:lineRule="auto"/>
            </w:pPr>
            <w:r>
              <w:rPr>
                <w:rFonts w:ascii="Aptos Display" w:hAnsi="Aptos Display" w:cs="Aptos Display" w:eastAsia="Aptos Display"/>
                <w:b/>
                <w:i w:val="0"/>
                <w:color w:val="045AA9"/>
                <w:sz w:val="17"/>
                <w:spacing w:val="24"/>
              </w:rPr>
              <w:t>GENERATIVE AI USE DISCLOSURE, READY TO USE</w:t>
            </w:r>
          </w:p>
          <w:p>
            <w:pPr>
              <w:spacing w:before="80" w:after="0" w:line="300" w:lineRule="auto"/>
            </w:pPr>
            <w:r>
              <w:rPr>
                <w:rFonts w:ascii="Aptos" w:hAnsi="Aptos" w:cs="Aptos" w:eastAsia="Aptos"/>
                <w:b w:val="0"/>
                <w:i w:val="0"/>
                <w:color w:val="6B7684"/>
                <w:sz w:val="17"/>
              </w:rPr>
              <w:t>DOE asks every applicant to state the extent of generative AI use and how it was used. Paste this into that field. It is written for a reader who must not confuse the two uses: AI is the engineering method behind the technology, and it was separately used to draft this text.</w:t>
            </w:r>
          </w:p>
          <w:p>
            <w:pPr>
              <w:spacing w:before="100" w:after="0" w:line="317" w:lineRule="auto"/>
              <w:ind w:left="200"/>
              <w:pBdr>
                <w:left w:val="single" w:sz="12" w:space="6" w:color="045AA9"/>
              </w:pBdr>
            </w:pPr>
            <w:r>
              <w:rPr>
                <w:rFonts w:ascii="Aptos" w:hAnsi="Aptos" w:cs="Aptos" w:eastAsia="Aptos"/>
                <w:b w:val="0"/>
                <w:i w:val="0"/>
                <w:color w:val="2A2A2A"/>
                <w:sz w:val="20"/>
              </w:rPr>
              <w:t>Generative AI was used in two distinct ways, and they should be read separately.</w:t>
            </w:r>
          </w:p>
          <w:p>
            <w:pPr>
              <w:spacing w:before="140" w:after="0" w:line="317" w:lineRule="auto"/>
              <w:ind w:left="200"/>
              <w:pBdr>
                <w:left w:val="single" w:sz="12" w:space="6" w:color="045AA9"/>
              </w:pBdr>
            </w:pPr>
            <w:r>
              <w:rPr>
                <w:rFonts w:ascii="Aptos" w:hAnsi="Aptos" w:cs="Aptos" w:eastAsia="Aptos"/>
                <w:b w:val="0"/>
                <w:i w:val="0"/>
                <w:color w:val="2A2A2A"/>
                <w:sz w:val="20"/>
              </w:rPr>
              <w:t>1. In the research itself. Michael David Ward, Founder and CEO and the proposed principal investigator, used a commercial large language model (Grok, xAI) as a modeling and design environment to derive and test the continuous spiral-flow reactor this proposal describes. Channel geometry, flow behavior, and enzyme reusability were explored across more than one million simulation runs. He built that capability and operates it himself. This is the subject of the proposal rather than an aid to writing it, and the Phase I work proposed here is the work of quantifying where that model is trustworthy against physical measurement. The model has not been validated against a physical reactor, and the proposal says so.</w:t>
            </w:r>
          </w:p>
          <w:p>
            <w:pPr>
              <w:spacing w:before="140" w:after="0" w:line="317" w:lineRule="auto"/>
              <w:ind w:left="200"/>
              <w:pBdr>
                <w:left w:val="single" w:sz="12" w:space="6" w:color="045AA9"/>
              </w:pBdr>
            </w:pPr>
            <w:r>
              <w:rPr>
                <w:rFonts w:ascii="Aptos" w:hAnsi="Aptos" w:cs="Aptos" w:eastAsia="Aptos"/>
                <w:b w:val="0"/>
                <w:i w:val="0"/>
                <w:color w:val="2A2A2A"/>
                <w:sz w:val="20"/>
              </w:rPr>
              <w:t>2. In preparing the written submission. A commercial generative AI assistant (Claude, Anthropic) was used to draft, organize, and format the narrative text of this submission from source material supplied by the applicant: the company technical file, the University of North Texas Final Project Report for Phase-I signed by Prof. Shengqian Ma and dated August 7, 2026, correspondence from Dr. Bradley Phipps, USPTO provisional application 63/848,456, and the agency’s own published solicitation pages.</w:t>
            </w:r>
          </w:p>
          <w:p>
            <w:pPr>
              <w:spacing w:before="140" w:after="0" w:line="317" w:lineRule="auto"/>
              <w:ind w:left="200"/>
              <w:pBdr>
                <w:left w:val="single" w:sz="12" w:space="6" w:color="045AA9"/>
              </w:pBdr>
            </w:pPr>
            <w:r>
              <w:rPr>
                <w:rFonts w:ascii="Aptos" w:hAnsi="Aptos" w:cs="Aptos" w:eastAsia="Aptos"/>
                <w:b w:val="0"/>
                <w:i w:val="0"/>
                <w:color w:val="2A2A2A"/>
                <w:sz w:val="20"/>
              </w:rPr>
              <w:t>What generative AI did not do. It did not generate, estimate, or extrapolate any experimental result. Every laboratory value here, including the 122 µmol/h/mg immobilized turnover figure, comes from the signed UNT report. The one figure sourced outside that report, roughly 3.6 times the standard rate at 80 °C, is attributed to Dr. Phipps by email and is stated with its confounding caveat. Every reference was verified against PubMed by identifier before inclusion. No text, data, or citation was accepted without tracing it to a named primary source.</w:t>
            </w:r>
          </w:p>
          <w:p>
            <w:pPr>
              <w:spacing w:before="140" w:after="0" w:line="317" w:lineRule="auto"/>
              <w:ind w:left="200"/>
              <w:pBdr>
                <w:left w:val="single" w:sz="12" w:space="6" w:color="045AA9"/>
              </w:pBdr>
            </w:pPr>
            <w:r>
              <w:rPr>
                <w:rFonts w:ascii="Aptos" w:hAnsi="Aptos" w:cs="Aptos" w:eastAsia="Aptos"/>
                <w:b w:val="0"/>
                <w:i w:val="0"/>
                <w:color w:val="2A2A2A"/>
                <w:sz w:val="20"/>
              </w:rPr>
              <w:t>Responsibility. Michael David Ward reviewed and approved every statement in this submission and is responsible for its accuracy, authenticity, and authorship. PlastiBioFuel LLC is fully capable of performing the work described. To the best of the applicant’s knowledge, this submission does not infringe or violate the rights of any third party.</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9360"/>
      </w:tblGrid>
      <w:tr>
        <w:tc>
          <w:tcPr>
            <w:tcW w:type="dxa" w:w="9360"/>
            <w:tcMar>
              <w:top w:w="0" w:type="dxa"/>
              <w:start w:w="0" w:type="dxa"/>
              <w:bottom w:w="0" w:type="dxa"/>
              <w:end w:w="0" w:type="dxa"/>
            </w:tcMar>
            <w:shd w:val="clear" w:color="auto" w:fill="FDF0F5"/>
            <w:tcBorders>
              <w:top w:val="nil"/>
              <w:left w:val="single" w:sz="24" w:space="0" w:color="D50057"/>
              <w:bottom w:val="nil"/>
              <w:right w:val="nil"/>
            </w:tcBorders>
            <w:tcMar>
              <w:top w:w="200" w:type="dxa"/>
              <w:start w:w="320" w:type="dxa"/>
              <w:bottom w:w="200" w:type="dxa"/>
              <w:end w:w="320" w:type="dxa"/>
            </w:tcMar>
          </w:tcPr>
          <w:p>
            <w:pPr>
              <w:spacing w:before="0" w:after="0" w:line="276" w:lineRule="auto"/>
            </w:pPr>
            <w:r>
              <w:rPr>
                <w:rFonts w:ascii="Aptos Display" w:hAnsi="Aptos Display" w:cs="Aptos Display" w:eastAsia="Aptos Display"/>
                <w:b/>
                <w:i w:val="0"/>
                <w:color w:val="D50057"/>
                <w:sz w:val="17"/>
                <w:spacing w:val="24"/>
              </w:rPr>
              <w:t>TWO STANDING RULES FOR THIS PACKAGE</w:t>
            </w:r>
          </w:p>
          <w:p>
            <w:pPr>
              <w:spacing w:before="100" w:after="0" w:line="312" w:lineRule="auto"/>
            </w:pPr>
            <w:r>
              <w:rPr>
                <w:rFonts w:ascii="Aptos" w:hAnsi="Aptos" w:cs="Aptos" w:eastAsia="Aptos"/>
                <w:b w:val="0"/>
                <w:i w:val="0"/>
                <w:color w:val="2A2A2A"/>
                <w:sz w:val="21"/>
              </w:rPr>
              <w:t>1.  Dr. Shengqian Ma is Other Personnel on NSF-style forms, not Senior or Key Personnel. DOE has not published its personnel categories for this opportunity, so apply the same treatment unless the DOE form defines categories differently.</w:t>
            </w:r>
          </w:p>
          <w:p>
            <w:pPr>
              <w:spacing w:before="80" w:after="0" w:line="312" w:lineRule="auto"/>
            </w:pPr>
            <w:r>
              <w:rPr>
                <w:rFonts w:ascii="Aptos" w:hAnsi="Aptos" w:cs="Aptos" w:eastAsia="Aptos"/>
                <w:b w:val="0"/>
                <w:i w:val="0"/>
                <w:color w:val="2A2A2A"/>
                <w:sz w:val="21"/>
              </w:rPr>
              <w:t>2.  ARG Petro is offtake discussions and interest. There is no signed letter of intent and no executed offtake agreement. No document in this package may say otherwise.</w:t>
            </w:r>
          </w:p>
        </w:tc>
      </w:tr>
    </w:tbl>
    <w:p>
      <w:pPr>
        <w:spacing w:before="0" w:after="200" w:line="240" w:lineRule="auto"/>
      </w:pPr>
    </w:p>
    <w:tbl>
      <w:tblPr>
        <w:tblW w:type="auto" w:w="0"/>
        <w:jc w:val="left"/>
        <w:tblLayout w:type="fixed"/>
        <w:tblLook w:firstColumn="1" w:firstRow="1" w:lastColumn="0" w:lastRow="0" w:noHBand="0" w:noVBand="1" w:val="04A0"/>
        <w:tblInd w:w="0" w:type="dxa"/>
        <w:tblLayout w:type="fixed"/>
      </w:tblPr>
      <w:tblGrid>
        <w:gridCol w:w="4680"/>
        <w:gridCol w:w="4680"/>
      </w:tblGrid>
      <w:tr>
        <w:tc>
          <w:tcPr>
            <w:tcW w:type="dxa" w:w="6192"/>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pPr>
            <w:r>
              <w:rPr>
                <w:rFonts w:ascii="Aptos" w:hAnsi="Aptos" w:cs="Aptos" w:eastAsia="Aptos"/>
                <w:b w:val="0"/>
                <w:i w:val="0"/>
                <w:color w:val="6B7684"/>
                <w:sz w:val="16"/>
              </w:rPr>
              <w:t>PlastiBioFuel LLC  ·  michael@plastibiofuel.com  ·  SDVOSB, certified and active in SAM.gov  ·  NAICS 325199, 325193, 541715</w:t>
            </w:r>
          </w:p>
        </w:tc>
        <w:tc>
          <w:tcPr>
            <w:tcW w:type="dxa" w:w="3168"/>
            <w:tcMar>
              <w:top w:w="0" w:type="dxa"/>
              <w:start w:w="0" w:type="dxa"/>
              <w:bottom w:w="0" w:type="dxa"/>
              <w:end w:w="0" w:type="dxa"/>
            </w:tcMar>
            <w:tcBorders>
              <w:top w:val="single" w:sz="6" w:space="0" w:color="E3E8EF"/>
              <w:left w:val="nil"/>
              <w:bottom w:val="nil"/>
              <w:right w:val="nil"/>
            </w:tcBorders>
            <w:tcMar>
              <w:top w:w="140" w:type="dxa"/>
              <w:start w:w="0" w:type="dxa"/>
              <w:bottom w:w="0" w:type="dxa"/>
              <w:end w:w="0" w:type="dxa"/>
            </w:tcMar>
          </w:tcPr>
          <w:p>
            <w:pPr>
              <w:spacing w:before="0" w:after="0" w:line="300" w:lineRule="auto"/>
              <w:jc w:val="right"/>
            </w:pPr>
            <w:r>
              <w:rPr>
                <w:rFonts w:ascii="Aptos" w:hAnsi="Aptos" w:cs="Aptos" w:eastAsia="Aptos"/>
                <w:b w:val="0"/>
                <w:i w:val="0"/>
                <w:color w:val="6B7684"/>
                <w:sz w:val="16"/>
              </w:rPr>
              <w:t>UEI KQAWZ54RDUM8  ·  CAGE 175D6</w:t>
            </w:r>
          </w:p>
        </w:tc>
      </w:tr>
    </w:tbl>
    <w:sectPr w:rsidR="00FC693F" w:rsidRPr="0006063C" w:rsidSect="00034616">
      <w:pgSz w:w="12240" w:h="15840"/>
      <w:pgMar w:top="792"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pPr>
    <w:rPr>
      <w:rFonts w:ascii="Aptos" w:hAnsi="Aptos" w:cs="Aptos" w:eastAsia="Aptos"/>
      <w:rFonts w:ascii="Aptos" w:hAnsi="Aptos"/>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