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TWO FINDS FROM THIS BATCH</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STRATEGIC OUTREACH  ·  BATCH 02  ·  QUEUE COMPLETE</w:t>
      </w:r>
    </w:p>
    <w:p>
      <w:pPr>
        <w:keepNext/>
        <w:spacing w:before="0" w:after="0" w:line="247" w:lineRule="auto"/>
      </w:pPr>
      <w:r>
        <w:rPr>
          <w:rFonts w:ascii="Aptos Display" w:hAnsi="Aptos Display" w:cs="Aptos Display" w:eastAsia="Aptos Display"/>
          <w:b/>
          <w:i w:val="0"/>
          <w:color w:val="2A2A2A"/>
          <w:sz w:val="56"/>
        </w:rPr>
        <w:t>Not outreach.</w:t>
      </w:r>
    </w:p>
    <w:p>
      <w:pPr>
        <w:keepNext/>
        <w:spacing w:before="0" w:after="120" w:line="247" w:lineRule="auto"/>
      </w:pPr>
      <w:r>
        <w:rPr>
          <w:rFonts w:ascii="Aptos Display" w:hAnsi="Aptos Display" w:cs="Aptos Display" w:eastAsia="Aptos Display"/>
          <w:b/>
          <w:i w:val="0"/>
          <w:color w:val="2A2A2A"/>
          <w:sz w:val="56"/>
        </w:rPr>
        <w:t>Funding.</w:t>
      </w:r>
    </w:p>
    <w:p>
      <w:pPr>
        <w:spacing w:before="0" w:after="260" w:line="312" w:lineRule="auto"/>
      </w:pPr>
      <w:r>
        <w:rPr>
          <w:rFonts w:ascii="Aptos" w:hAnsi="Aptos" w:cs="Aptos" w:eastAsia="Aptos"/>
          <w:b w:val="0"/>
          <w:i w:val="0"/>
          <w:color w:val="4A5561"/>
          <w:sz w:val="22"/>
        </w:rPr>
        <w:t>Both surfaced while verifying contact channels. Both are in the registry, and both want action in September.</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ORNL INNOVATION CROSSROADS  ·  COHORT 2027</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Applications Sep 15 to Oct 30, 2026</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3120"/>
        <w:gridCol w:w="3120"/>
        <w:gridCol w:w="3120"/>
      </w:tblGrid>
      <w:tr>
        <w:tc>
          <w:tcPr>
            <w:tcW w:type="dxa" w:w="3120"/>
            <w:tcMar>
              <w:top w:w="0" w:type="dxa"/>
              <w:start w:w="0" w:type="dxa"/>
              <w:bottom w:w="0" w:type="dxa"/>
              <w:end w:w="0" w:type="dxa"/>
            </w:tcMar>
            <w:tcBorders>
              <w:top w:val="single" w:sz="12" w:space="0" w:color="2A2A2A"/>
              <w:left w:val="nil"/>
              <w:bottom w:val="single" w:sz="6" w:space="0" w:color="E3E8EF"/>
              <w:right w:val="single" w:sz="6" w:space="0" w:color="E3E8EF"/>
            </w:tcBorders>
            <w:tcMar>
              <w:top w:w="160" w:type="dxa"/>
              <w:start w:w="0" w:type="dxa"/>
              <w:bottom w:w="160" w:type="dxa"/>
              <w:end w:w="240" w:type="dxa"/>
            </w:tcMar>
          </w:tcPr>
          <w:p>
            <w:pPr>
              <w:spacing w:before="0" w:after="0" w:line="264" w:lineRule="auto"/>
            </w:pPr>
            <w:r>
              <w:rPr>
                <w:rFonts w:ascii="Aptos Display" w:hAnsi="Aptos Display" w:cs="Aptos Display" w:eastAsia="Aptos Display"/>
                <w:b/>
                <w:i w:val="0"/>
                <w:color w:val="045AA9"/>
                <w:sz w:val="26"/>
              </w:rPr>
              <w:t>$115,000</w:t>
            </w:r>
          </w:p>
          <w:p>
            <w:pPr>
              <w:spacing w:before="80" w:after="0" w:line="264" w:lineRule="auto"/>
            </w:pPr>
            <w:r>
              <w:rPr>
                <w:rFonts w:ascii="Aptos Display" w:hAnsi="Aptos Display" w:cs="Aptos Display" w:eastAsia="Aptos Display"/>
                <w:b/>
                <w:i w:val="0"/>
                <w:color w:val="6B7684"/>
                <w:sz w:val="15"/>
                <w:spacing w:val="22"/>
              </w:rPr>
              <w:t>PER YEAR, LIVING STIPEND</w:t>
            </w:r>
          </w:p>
        </w:tc>
        <w:tc>
          <w:tcPr>
            <w:tcW w:type="dxa" w:w="3120"/>
            <w:tcMar>
              <w:top w:w="0" w:type="dxa"/>
              <w:start w:w="0" w:type="dxa"/>
              <w:bottom w:w="0" w:type="dxa"/>
              <w:end w:w="0" w:type="dxa"/>
            </w:tcMar>
            <w:tcBorders>
              <w:top w:val="single" w:sz="12" w:space="0" w:color="2A2A2A"/>
              <w:left w:val="nil"/>
              <w:bottom w:val="single" w:sz="6" w:space="0" w:color="E3E8EF"/>
              <w:right w:val="single" w:sz="6" w:space="0" w:color="E3E8EF"/>
            </w:tcBorders>
            <w:tcMar>
              <w:top w:w="160" w:type="dxa"/>
              <w:start w:w="240" w:type="dxa"/>
              <w:bottom w:w="160" w:type="dxa"/>
              <w:end w:w="240" w:type="dxa"/>
            </w:tcMar>
          </w:tcPr>
          <w:p>
            <w:pPr>
              <w:spacing w:before="0" w:after="0" w:line="264" w:lineRule="auto"/>
            </w:pPr>
            <w:r>
              <w:rPr>
                <w:rFonts w:ascii="Aptos Display" w:hAnsi="Aptos Display" w:cs="Aptos Display" w:eastAsia="Aptos Display"/>
                <w:b/>
                <w:i w:val="0"/>
                <w:color w:val="045AA9"/>
                <w:sz w:val="26"/>
              </w:rPr>
              <w:t>2</w:t>
            </w:r>
          </w:p>
          <w:p>
            <w:pPr>
              <w:spacing w:before="80" w:after="0" w:line="264" w:lineRule="auto"/>
            </w:pPr>
            <w:r>
              <w:rPr>
                <w:rFonts w:ascii="Aptos Display" w:hAnsi="Aptos Display" w:cs="Aptos Display" w:eastAsia="Aptos Display"/>
                <w:b/>
                <w:i w:val="0"/>
                <w:color w:val="6B7684"/>
                <w:sz w:val="15"/>
                <w:spacing w:val="22"/>
              </w:rPr>
              <w:t>YEARS</w:t>
            </w:r>
          </w:p>
        </w:tc>
        <w:tc>
          <w:tcPr>
            <w:tcW w:type="dxa" w:w="3120"/>
            <w:tcMar>
              <w:top w:w="0" w:type="dxa"/>
              <w:start w:w="0" w:type="dxa"/>
              <w:bottom w:w="0" w:type="dxa"/>
              <w:end w:w="0" w:type="dxa"/>
            </w:tcMar>
            <w:tcBorders>
              <w:top w:val="single" w:sz="12" w:space="0" w:color="2A2A2A"/>
              <w:left w:val="nil"/>
              <w:bottom w:val="single" w:sz="6" w:space="0" w:color="E3E8EF"/>
              <w:right w:val="nil"/>
            </w:tcBorders>
            <w:tcMar>
              <w:top w:w="160" w:type="dxa"/>
              <w:start w:w="240" w:type="dxa"/>
              <w:bottom w:w="160" w:type="dxa"/>
              <w:end w:w="240" w:type="dxa"/>
            </w:tcMar>
          </w:tcPr>
          <w:p>
            <w:pPr>
              <w:spacing w:before="0" w:after="0" w:line="264" w:lineRule="auto"/>
            </w:pPr>
            <w:r>
              <w:rPr>
                <w:rFonts w:ascii="Aptos Display" w:hAnsi="Aptos Display" w:cs="Aptos Display" w:eastAsia="Aptos Display"/>
                <w:b/>
                <w:i w:val="0"/>
                <w:color w:val="045AA9"/>
                <w:sz w:val="26"/>
              </w:rPr>
              <w:t>8</w:t>
            </w:r>
          </w:p>
          <w:p>
            <w:pPr>
              <w:spacing w:before="80" w:after="0" w:line="264" w:lineRule="auto"/>
            </w:pPr>
            <w:r>
              <w:rPr>
                <w:rFonts w:ascii="Aptos Display" w:hAnsi="Aptos Display" w:cs="Aptos Display" w:eastAsia="Aptos Display"/>
                <w:b/>
                <w:i w:val="0"/>
                <w:color w:val="6B7684"/>
                <w:sz w:val="15"/>
                <w:spacing w:val="22"/>
              </w:rPr>
              <w:t>PAGE APPLICATION</w:t>
            </w:r>
          </w:p>
        </w:tc>
      </w:tr>
    </w:tbl>
    <w:p>
      <w:pPr>
        <w:spacing w:before="0" w:after="180" w:line="240" w:lineRule="auto"/>
      </w:pPr>
    </w:p>
    <w:p>
      <w:pPr>
        <w:spacing w:before="0" w:after="140" w:line="312" w:lineRule="auto"/>
      </w:pPr>
      <w:r>
        <w:rPr>
          <w:rFonts w:ascii="Aptos" w:hAnsi="Aptos" w:cs="Aptos" w:eastAsia="Aptos"/>
          <w:b w:val="0"/>
          <w:i w:val="0"/>
          <w:color w:val="2A2A2A"/>
          <w:sz w:val="21"/>
        </w:rPr>
        <w:t>A Lab-Embedded Entrepreneurship Program node at Oak Ridge, run under DOE's Office of Technology Commercialization. Two-year funded fellowship, R&amp;D funding for collaboration with ORNL researchers, full access to lab facilities, health insurance stipend, and professional development allowance. Applications open 8:00 AM ET September 15 and close 8:00 PM ET October 30.</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Fit</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Advanced Fuel and Feedstock technology is a named topic area, as is innovation in manufacturing and scale-up for energy applications. This is a direct fit, not a stretch.</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Eligibility met</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Raised no more than $2M from non-government sources in the prior three years. US citizen. Willing to execute a CRADA.</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Eligibility to check</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Doctoral degree or equivalent experience. Equivalent experience is the operative phrase and is worth asking about directly.</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The real constraint</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Relocation to the Knoxville and Oak Ridge area for two years is required. That is a genuine decision for a Haslet company with a UNT subaward, and it is not a paperwork detail.</w:t>
            </w:r>
          </w:p>
        </w:tc>
      </w:tr>
      <w:tr>
        <w:tc>
          <w:tcPr>
            <w:tcW w:type="dxa" w:w="2664"/>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Timing note</w:t>
            </w:r>
          </w:p>
        </w:tc>
        <w:tc>
          <w:tcPr>
            <w:tcW w:type="dxa" w:w="6696"/>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Applications open the same day as the Activate Fellowship. Activate's FAQ addresses whether an applicant may apply to both Activate and a LEEP program. Read that answer before committing to either.</w:t>
            </w:r>
          </w:p>
        </w:tc>
      </w:tr>
    </w:tbl>
    <w:p>
      <w:pPr>
        <w:spacing w:before="0" w:after="12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CROSS TIMBERS APEX  ·  30TH GOVERNMENT PROCUREMENT CONFERENCE</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October 27, 2026</w:t>
            </w:r>
          </w:p>
        </w:tc>
      </w:tr>
    </w:tbl>
    <w:p>
      <w:pPr>
        <w:spacing w:before="0" w:after="160" w:line="240" w:lineRule="auto"/>
      </w:pPr>
    </w:p>
    <w:p>
      <w:pPr>
        <w:spacing w:before="0" w:after="140" w:line="312" w:lineRule="auto"/>
      </w:pPr>
      <w:r>
        <w:rPr>
          <w:rFonts w:ascii="Aptos" w:hAnsi="Aptos" w:cs="Aptos" w:eastAsia="Aptos"/>
          <w:b w:val="0"/>
          <w:i w:val="0"/>
          <w:color w:val="2A2A2A"/>
          <w:sz w:val="21"/>
        </w:rPr>
        <w:t>At the Hurst Conference Center, roughly twenty minutes from Haslet. Government agencies, prime contractors, and small businesses in one room, run by the accelerator whose service area includes Tarrant County. Registration is through Cross Timbers. Their counseling is free and funded by a Department of War cooperative agreement, and they run a veterans track.</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PlastiBioFuel LLC  ·  12380 Iveson Drive, Haslet, TX 76052  ·  michael@plastibiofuel.com  ·  817-319-7383</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UEI KQAWZ54RDUM8  ·  CAGE 175D6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