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693</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98</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98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is building a route from post-consumer PET to fuel-grade ethanol using a PET hydrolase immobilized in a covalent organic framework. The continuous spiral-flow reactor was designed in simulation: flow, channel geometry, and reusability modeled across more than a million runs. Wet-lab work at UNT confirms the enzyme and immobilization chemistry the design depends on, and identifies mass transfer as the limit. Transport is what reactor geometry decides. Phase I closes the gap between the model and hardware, turning it into a design tool with quantified error. That is AI applied to bioreactor design and biomanufacturing,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Conditions are chosen one factor at a time, so little of the design space gets searched.</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machine learning. PlastiBioFuel did not invent the enzyme. Our contributions, covered by USPTO provisional 63/848,456, are the framework immobilization system, the spiral-flow geometry arrived at computationally, and the integrated process. Phase I moves machine learning up one level, from residue selection to reactor operation.</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Three UNT milestones completed ahead of schedule, in a final report signed by Prof. Shengqian Ma. Free FAST-PETase breaks PET to terephthalic acid, confirmed by HPLC against standards. It loads into TAPB-BPDA-COF with no protein detectable in supernatant at 280 nm. Immobilized it stays active at a diminished rate: 122 µmol/h/mg turnover at 24 hours against a 246 to 348 literature range for free enzyme. UNT attributes the gap to mass transfer, substrate reaching the active site down the COF channel, and to insufficient pre-treatment. Transport is a geometry and flow problem, which is what the model covers. Phase I quantifies where it is trustworthy and ranks the experiments that close the gap.</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26 WORDS</w:t>
            </w:r>
          </w:p>
          <w:p>
            <w:pPr>
              <w:spacing w:before="60" w:after="0" w:line="312" w:lineRule="auto"/>
            </w:pPr>
            <w:r>
              <w:rPr>
                <w:rFonts w:ascii="Aptos" w:hAnsi="Aptos" w:cs="Aptos" w:eastAsia="Aptos"/>
                <w:b w:val="0"/>
                <w:i w:val="0"/>
                <w:color w:val="4A5561"/>
                <w:sz w:val="19"/>
              </w:rPr>
              <w:t>Phase I ends with a measured number rather than a claim: quantified uncertainty on the model's reactor-scale predictions, and a ranked experiment sequence to close it.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intended product is fuel-grade ethanol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mechanical recycling degrades polymer every cycle. Enzymatic recyclers returning monomer to virgin-equivalent resin sell into the resin market, so our offtake channel does not overlap theirs. Software vendors modeling bioprocess do not hold the chemistry; we have wet-lab confirmation of the immobilization and enzyme behavior our design depends on. Wet-lab groups iterate hardware one build at a time; our geometry was searched in simulation first. Holding both shortens the bench-to-plant step, where enzymatic routes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197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He built the project's simulation and modeling capability and runs it himself, so the computational work Phase I extends stays inside the company rather than moving to a subcontractor. PlastiBioFuel is a service-disabled veteran-owned small business verified through SBA VetCert and holds USPTO provisional 63/848,456. Its laboratory program produced the preliminary data cited here.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98 words as written  ·  98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225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197 words as written  ·  216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693 words as written  ·  761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