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-1440" w:type="dxa"/>
        <w:tblLayout w:type="fixed"/>
      </w:tblPr>
      <w:tblGrid>
        <w:gridCol w:w="4680"/>
        <w:gridCol w:w="4680"/>
      </w:tblGrid>
      <w:tr>
        <w:tc>
          <w:tcPr>
            <w:tcW w:type="dxa" w:w="61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045AA9"/>
            <w:tcMar>
              <w:top w:w="140" w:type="dxa"/>
              <w:start w:w="1440" w:type="dxa"/>
              <w:bottom w:w="14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FFFFFF"/>
                <w:sz w:val="22"/>
                <w:spacing w:val="36"/>
              </w:rPr>
              <w:t>PLASTIBIOFUEL</w:t>
            </w:r>
          </w:p>
        </w:tc>
        <w:tc>
          <w:tcPr>
            <w:tcW w:type="dxa" w:w="61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045AA9"/>
            <w:tcMar>
              <w:top w:w="140" w:type="dxa"/>
              <w:start w:w="0" w:type="dxa"/>
              <w:bottom w:w="140" w:type="dxa"/>
              <w:end w:w="144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ptos Display" w:hAnsi="Aptos Display" w:cs="Aptos Display" w:eastAsia="Aptos Display"/>
                <w:b/>
                <w:i w:val="0"/>
                <w:color w:val="9EC8F0"/>
                <w:sz w:val="16"/>
                <w:spacing w:val="38"/>
              </w:rPr>
              <w:t>OPPORTUNITY BRIEF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-1440" w:type="dxa"/>
        <w:tblLayout w:type="fixed"/>
      </w:tblPr>
      <w:tblGrid>
        <w:gridCol w:w="9360"/>
      </w:tblGrid>
      <w:tr>
        <w:tc>
          <w:tcPr>
            <w:tcW w:type="dxa" w:w="122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D50057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4"/>
              </w:rPr>
            </w:r>
          </w:p>
        </w:tc>
      </w:tr>
    </w:tbl>
    <w:p>
      <w:pPr>
        <w:spacing w:before="0" w:after="240" w:line="240" w:lineRule="auto"/>
      </w:pPr>
    </w:p>
    <w:p>
      <w:pPr>
        <w:keepNext/>
        <w:spacing w:before="0" w:after="100" w:line="264" w:lineRule="auto"/>
      </w:pPr>
      <w:r>
        <w:rPr>
          <w:rFonts w:ascii="Aptos Display" w:hAnsi="Aptos Display" w:cs="Aptos Display" w:eastAsia="Aptos Display"/>
          <w:b/>
          <w:i w:val="0"/>
          <w:color w:val="045AA9"/>
          <w:sz w:val="18"/>
          <w:spacing w:val="28"/>
        </w:rPr>
        <w:t>U.S. DEPARTMENT OF ENERGY  ·  CMEI, ALTERNATIVE FUELS AND FEEDSTOCKS OFFICE</w:t>
      </w:r>
    </w:p>
    <w:p>
      <w:pPr>
        <w:keepNext/>
        <w:spacing w:before="0" w:after="0" w:line="247" w:lineRule="auto"/>
      </w:pPr>
      <w:r>
        <w:rPr>
          <w:rFonts w:ascii="Aptos Display" w:hAnsi="Aptos Display" w:cs="Aptos Display" w:eastAsia="Aptos Display"/>
          <w:b/>
          <w:i w:val="0"/>
          <w:color w:val="2A2A2A"/>
          <w:sz w:val="56"/>
        </w:rPr>
        <w:t>ASPECT</w:t>
      </w:r>
    </w:p>
    <w:p>
      <w:pPr>
        <w:keepNext/>
        <w:spacing w:before="0" w:after="120" w:line="247" w:lineRule="auto"/>
      </w:pPr>
      <w:r>
        <w:rPr>
          <w:rFonts w:ascii="Aptos Display" w:hAnsi="Aptos Display" w:cs="Aptos Display" w:eastAsia="Aptos Display"/>
          <w:b/>
          <w:i w:val="0"/>
          <w:color w:val="2A2A2A"/>
          <w:sz w:val="56"/>
        </w:rPr>
        <w:t>DE-FOA-0003647</w:t>
      </w:r>
    </w:p>
    <w:p>
      <w:pPr>
        <w:spacing w:before="0" w:after="260" w:line="312" w:lineRule="auto"/>
      </w:pPr>
      <w:r>
        <w:rPr>
          <w:rFonts w:ascii="Aptos" w:hAnsi="Aptos" w:cs="Aptos" w:eastAsia="Aptos"/>
          <w:b w:val="0"/>
          <w:i w:val="0"/>
          <w:color w:val="4A5561"/>
          <w:sz w:val="22"/>
        </w:rPr>
        <w:t>Topic Area 1, Subtopic Area 1a. Terephthalic acid from post-consumer PET.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12" w:space="0" w:color="2A2A2A"/>
              <w:left w:val="nil"/>
              <w:bottom w:val="single" w:sz="6" w:space="0" w:color="E3E8EF"/>
              <w:right w:val="single" w:sz="6" w:space="0" w:color="E3E8EF"/>
            </w:tcBorders>
            <w:tcMar>
              <w:top w:w="160" w:type="dxa"/>
              <w:start w:w="0" w:type="dxa"/>
              <w:bottom w:w="160" w:type="dxa"/>
              <w:end w:w="240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6B7684"/>
                <w:sz w:val="15"/>
                <w:spacing w:val="22"/>
              </w:rPr>
              <w:t>FEDERAL SHARE SOUGHT</w:t>
            </w:r>
          </w:p>
          <w:p>
            <w:pPr>
              <w:spacing w:before="80" w:after="0" w:line="240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46"/>
              </w:rPr>
              <w:t>$2,000,000</w:t>
            </w:r>
          </w:p>
          <w:p>
            <w:pPr>
              <w:spacing w:before="80" w:after="0" w:line="264" w:lineRule="auto"/>
            </w:pPr>
            <w:r>
              <w:rPr>
                <w:rFonts w:ascii="Aptos" w:hAnsi="Aptos" w:cs="Aptos" w:eastAsia="Aptos"/>
                <w:b w:val="0"/>
                <w:i w:val="0"/>
                <w:color w:val="6B7684"/>
                <w:sz w:val="18"/>
              </w:rPr>
              <w:t>Topic Area 1 range is $2M to $10M</w:t>
            </w:r>
          </w:p>
        </w:tc>
        <w:tc>
          <w:tcPr>
            <w:tcW w:type="dxa" w:w="312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12" w:space="0" w:color="2A2A2A"/>
              <w:left w:val="nil"/>
              <w:bottom w:val="single" w:sz="6" w:space="0" w:color="E3E8EF"/>
              <w:right w:val="single" w:sz="6" w:space="0" w:color="E3E8EF"/>
            </w:tcBorders>
            <w:tcMar>
              <w:top w:w="160" w:type="dxa"/>
              <w:start w:w="240" w:type="dxa"/>
              <w:bottom w:w="160" w:type="dxa"/>
              <w:end w:w="240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6B7684"/>
                <w:sz w:val="15"/>
                <w:spacing w:val="22"/>
              </w:rPr>
              <w:t>CONCEPT PAPER DUE</w:t>
            </w:r>
          </w:p>
          <w:p>
            <w:pPr>
              <w:spacing w:before="80" w:after="0" w:line="240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46"/>
              </w:rPr>
              <w:t>Oct 9</w:t>
            </w:r>
          </w:p>
          <w:p>
            <w:pPr>
              <w:spacing w:before="80" w:after="0" w:line="264" w:lineRule="auto"/>
            </w:pPr>
            <w:r>
              <w:rPr>
                <w:rFonts w:ascii="Aptos" w:hAnsi="Aptos" w:cs="Aptos" w:eastAsia="Aptos"/>
                <w:b w:val="0"/>
                <w:i w:val="0"/>
                <w:color w:val="6B7684"/>
                <w:sz w:val="18"/>
              </w:rPr>
              <w:t>2026, 5:00 PM Eastern</w:t>
            </w:r>
          </w:p>
        </w:tc>
        <w:tc>
          <w:tcPr>
            <w:tcW w:type="dxa" w:w="312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12" w:space="0" w:color="2A2A2A"/>
              <w:left w:val="nil"/>
              <w:bottom w:val="single" w:sz="6" w:space="0" w:color="E3E8EF"/>
              <w:right w:val="nil"/>
            </w:tcBorders>
            <w:tcMar>
              <w:top w:w="160" w:type="dxa"/>
              <w:start w:w="240" w:type="dxa"/>
              <w:bottom w:w="160" w:type="dxa"/>
              <w:end w:w="240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6B7684"/>
                <w:sz w:val="15"/>
                <w:spacing w:val="22"/>
              </w:rPr>
              <w:t>COST SHARE</w:t>
            </w:r>
          </w:p>
          <w:p>
            <w:pPr>
              <w:spacing w:before="80" w:after="0" w:line="240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46"/>
              </w:rPr>
              <w:t>20%</w:t>
            </w:r>
          </w:p>
          <w:p>
            <w:pPr>
              <w:spacing w:before="80" w:after="0" w:line="264" w:lineRule="auto"/>
            </w:pPr>
            <w:r>
              <w:rPr>
                <w:rFonts w:ascii="Aptos" w:hAnsi="Aptos" w:cs="Aptos" w:eastAsia="Aptos"/>
                <w:b w:val="0"/>
                <w:i w:val="0"/>
                <w:color w:val="6B7684"/>
                <w:sz w:val="18"/>
              </w:rPr>
              <w:t>Minimum, share of total project cost</w:t>
            </w:r>
          </w:p>
        </w:tc>
      </w:tr>
    </w:tbl>
    <w:p>
      <w:pPr>
        <w:spacing w:before="0" w:after="18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9360"/>
      </w:tblGrid>
      <w:tr>
        <w:tc>
          <w:tcPr>
            <w:tcW w:type="dxa" w:w="9360"/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DF0F5"/>
            <w:tcBorders>
              <w:top w:val="nil"/>
              <w:left w:val="single" w:sz="24" w:space="0" w:color="D50057"/>
              <w:bottom w:val="nil"/>
              <w:right w:val="nil"/>
            </w:tcBorders>
            <w:tcMar>
              <w:top w:w="140" w:type="dxa"/>
              <w:start w:w="280" w:type="dxa"/>
              <w:bottom w:w="140" w:type="dxa"/>
              <w:end w:w="280" w:type="dxa"/>
            </w:tcMar>
          </w:tcPr>
          <w:p>
            <w:pPr>
              <w:spacing w:before="0" w:after="0" w:line="300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21"/>
              </w:rPr>
              <w:t>Four days out. The eXCHANGE submit button disables automatically at the deadline, and Stage 1 is open only to applicants whose concept paper DOE finds eligible.</w:t>
            </w:r>
          </w:p>
        </w:tc>
      </w:tr>
    </w:tbl>
    <w:p>
      <w:pPr>
        <w:spacing w:before="0" w:after="18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468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40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5"/>
                <w:spacing w:val="22"/>
              </w:rPr>
              <w:t>AGENCY</w:t>
            </w:r>
          </w:p>
          <w:p>
            <w:pPr>
              <w:spacing w:before="60" w:after="0" w:line="298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DOE Office of Critical Minerals and Energy Innovation, Alternative Fuels and Feedstocks Office. On Grants.gov under Golden Field Office.</w:t>
            </w:r>
          </w:p>
        </w:tc>
        <w:tc>
          <w:tcPr>
            <w:tcW w:type="dxa" w:w="468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5"/>
                <w:spacing w:val="22"/>
              </w:rPr>
              <w:t>ANNOUNCEMENT</w:t>
            </w:r>
          </w:p>
          <w:p>
            <w:pPr>
              <w:spacing w:before="60" w:after="0" w:line="298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DE-FOA-0003647, Modification 000002 posted 2026-09-23. Cooperative agreement. Concept paper, then Stage 1 by eligibility, then Stage 2 by invitation.</w:t>
            </w:r>
          </w:p>
        </w:tc>
      </w:tr>
      <w:tr>
        <w:tc>
          <w:tcPr>
            <w:tcW w:type="dxa" w:w="468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40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5"/>
                <w:spacing w:val="22"/>
              </w:rPr>
              <w:t>PROGRAM TOTAL</w:t>
            </w:r>
          </w:p>
          <w:p>
            <w:pPr>
              <w:spacing w:before="60" w:after="0" w:line="298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$58,000,000, subject to availability. Topic Area 1 is zero to seven awards at $2M to $10M federal share.</w:t>
            </w:r>
          </w:p>
        </w:tc>
        <w:tc>
          <w:tcPr>
            <w:tcW w:type="dxa" w:w="468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5"/>
                <w:spacing w:val="22"/>
              </w:rPr>
              <w:t>PERIOD OF PERFORMANCE</w:t>
            </w:r>
          </w:p>
          <w:p>
            <w:pPr>
              <w:spacing w:before="60" w:after="0" w:line="298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Subtopic 1a is one phase over 12 to 24 months in two budget periods, the first closing on a go or no-go.</w:t>
            </w:r>
          </w:p>
        </w:tc>
      </w:tr>
      <w:tr>
        <w:tc>
          <w:tcPr>
            <w:tcW w:type="dxa" w:w="468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40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5"/>
                <w:spacing w:val="22"/>
              </w:rPr>
              <w:t>ELIGIBILITY</w:t>
            </w:r>
          </w:p>
          <w:p>
            <w:pPr>
              <w:spacing w:before="60" w:after="0" w:line="298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Small businesses eligible as prime, which also satisfies the industrial-entity requirement. Higher education eligible as a subrecipient under Topic Area 1.</w:t>
            </w:r>
          </w:p>
        </w:tc>
        <w:tc>
          <w:tcPr>
            <w:tcW w:type="dxa" w:w="468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140" w:type="dxa"/>
              <w:end w:w="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5"/>
                <w:spacing w:val="22"/>
              </w:rPr>
              <w:t>SUBMISSION PORTAL</w:t>
            </w:r>
          </w:p>
          <w:p>
            <w:pPr>
              <w:spacing w:before="60" w:after="0" w:line="298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19"/>
              </w:rPr>
              <w:t>DOE eXCHANGE, eere-exchange.energy.gov, announcement DE-FOA-0003647. Grants.gov is not a route. Questions to ASPECT@doe.gov, portal support at EERE-ExchangeSupport@hq.doe.gov.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9360"/>
      </w:tblGrid>
      <w:t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2F7FC"/>
            <w:tcMar>
              <w:top w:w="220" w:type="dxa"/>
              <w:start w:w="360" w:type="dxa"/>
              <w:bottom w:w="220" w:type="dxa"/>
              <w:end w:w="360" w:type="dxa"/>
            </w:tcMar>
          </w:tcPr>
          <w:p>
            <w:pPr>
              <w:spacing w:before="0" w:after="0" w:line="276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7"/>
                <w:spacing w:val="24"/>
              </w:rPr>
              <w:t>WINDOW AND FEEDSTOCK ELIGIBILITY VERIFIED</w:t>
            </w:r>
          </w:p>
          <w:p>
            <w:pPr>
              <w:spacing w:before="100" w:after="0" w:line="317" w:lineRule="auto"/>
              <w:ind w:left="200"/>
              <w:pBdr>
                <w:left w:val="single" w:sz="12" w:space="6" w:color="045AA9"/>
              </w:pBdr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20"/>
              </w:rPr>
              <w:t>October 5, 2026, by direct fetch of the Grants.gov opportunity detail and the DOE eXCHANGE listing. Feedstock eligibility rests on DOE's published webinar transcript, not on Appendix A read verbatim. See step 3 of the Submission Checklist.</w:t>
            </w:r>
          </w:p>
        </w:tc>
      </w:tr>
    </w:tbl>
    <w:p>
      <w:pPr>
        <w:spacing w:before="0" w:after="20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6192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300" w:lineRule="auto"/>
            </w:pPr>
            <w:r>
              <w:rPr>
                <w:rFonts w:ascii="Aptos" w:hAnsi="Aptos" w:cs="Aptos" w:eastAsia="Aptos"/>
                <w:b w:val="0"/>
                <w:i w:val="0"/>
                <w:color w:val="6B7684"/>
                <w:sz w:val="16"/>
              </w:rPr>
              <w:t>PlastiBioFuel LLC  ·  12380 Iveson Drive, Haslet, TX 76052  ·  michael@plastibiofuel.com  ·  817-319-7383</w:t>
            </w:r>
          </w:p>
        </w:tc>
        <w:tc>
          <w:tcPr>
            <w:tcW w:type="dxa" w:w="316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300" w:lineRule="auto"/>
              <w:jc w:val="right"/>
            </w:pPr>
            <w:r>
              <w:rPr>
                <w:rFonts w:ascii="Aptos" w:hAnsi="Aptos" w:cs="Aptos" w:eastAsia="Aptos"/>
                <w:b w:val="0"/>
                <w:i w:val="0"/>
                <w:color w:val="6B7684"/>
                <w:sz w:val="16"/>
              </w:rPr>
              <w:t>UEI KQAWZ54RDUM8  ·  CAGE 175D6</w:t>
            </w:r>
          </w:p>
        </w:tc>
      </w:tr>
    </w:tbl>
    <w:sectPr w:rsidR="00FC693F" w:rsidRPr="0006063C" w:rsidSect="00034616">
      <w:pgSz w:w="12240" w:h="15840"/>
      <w:pgMar w:top="792" w:right="1440" w:bottom="100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20"/>
    </w:pPr>
    <w:rPr>
      <w:rFonts w:ascii="Aptos" w:hAnsi="Aptos" w:cs="Aptos" w:eastAsia="Aptos"/>
      <w:rFonts w:ascii="Aptos" w:hAnsi="Aptos"/>
      <w:color w:val="2A2A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