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Ind w:w="-1440" w:type="dxa"/>
        <w:tblLayout w:type="fixed"/>
      </w:tblPr>
      <w:tblGrid>
        <w:gridCol w:w="4680"/>
        <w:gridCol w:w="4680"/>
      </w:tblGrid>
      <w:tr>
        <w:tc>
          <w:tcPr>
            <w:tcW w:type="dxa" w:w="6120"/>
            <w:tcBorders>
              <w:top w:val="nil"/>
              <w:left w:val="nil"/>
              <w:bottom w:val="nil"/>
              <w:right w:val="nil"/>
            </w:tcBorders>
            <w:tcMar>
              <w:top w:w="0" w:type="dxa"/>
              <w:start w:w="0" w:type="dxa"/>
              <w:bottom w:w="0" w:type="dxa"/>
              <w:end w:w="0" w:type="dxa"/>
            </w:tcMar>
            <w:shd w:val="clear" w:color="auto" w:fill="045AA9"/>
            <w:tcMar>
              <w:top w:w="140" w:type="dxa"/>
              <w:start w:w="1440" w:type="dxa"/>
              <w:bottom w:w="140" w:type="dxa"/>
              <w:end w:w="0" w:type="dxa"/>
            </w:tcMar>
          </w:tcPr>
          <w:p>
            <w:pPr>
              <w:spacing w:before="0" w:after="0" w:line="240" w:lineRule="auto"/>
            </w:pPr>
            <w:r>
              <w:rPr>
                <w:rFonts w:ascii="Aptos Display" w:hAnsi="Aptos Display" w:cs="Aptos Display" w:eastAsia="Aptos Display"/>
                <w:b/>
                <w:i w:val="0"/>
                <w:color w:val="FFFFFF"/>
                <w:sz w:val="22"/>
                <w:spacing w:val="36"/>
              </w:rPr>
              <w:t>PLASTIBIOFUEL</w:t>
            </w:r>
          </w:p>
        </w:tc>
        <w:tc>
          <w:tcPr>
            <w:tcW w:type="dxa" w:w="6120"/>
            <w:tcBorders>
              <w:top w:val="nil"/>
              <w:left w:val="nil"/>
              <w:bottom w:val="nil"/>
              <w:right w:val="nil"/>
            </w:tcBorders>
            <w:tcMar>
              <w:top w:w="0" w:type="dxa"/>
              <w:start w:w="0" w:type="dxa"/>
              <w:bottom w:w="0" w:type="dxa"/>
              <w:end w:w="0" w:type="dxa"/>
            </w:tcMar>
            <w:shd w:val="clear" w:color="auto" w:fill="045AA9"/>
            <w:tcMar>
              <w:top w:w="140" w:type="dxa"/>
              <w:start w:w="0" w:type="dxa"/>
              <w:bottom w:w="140" w:type="dxa"/>
              <w:end w:w="1440" w:type="dxa"/>
            </w:tcMar>
          </w:tcPr>
          <w:p>
            <w:pPr>
              <w:spacing w:before="0" w:after="0" w:line="240" w:lineRule="auto"/>
              <w:jc w:val="right"/>
            </w:pPr>
            <w:r>
              <w:rPr>
                <w:rFonts w:ascii="Aptos Display" w:hAnsi="Aptos Display" w:cs="Aptos Display" w:eastAsia="Aptos Display"/>
                <w:b/>
                <w:i w:val="0"/>
                <w:color w:val="9EC8F0"/>
                <w:sz w:val="16"/>
                <w:spacing w:val="38"/>
              </w:rPr>
              <w:t>BIBLIOGRAPHY</w:t>
            </w:r>
          </w:p>
        </w:tc>
      </w:tr>
    </w:tbl>
    <w:tbl>
      <w:tblPr>
        <w:tblW w:type="auto" w:w="0"/>
        <w:jc w:val="left"/>
        <w:tblLayout w:type="fixed"/>
        <w:tblLook w:firstColumn="1" w:firstRow="1" w:lastColumn="0" w:lastRow="0" w:noHBand="0" w:noVBand="1" w:val="04A0"/>
        <w:tblInd w:w="-1440" w:type="dxa"/>
        <w:tblLayout w:type="fixed"/>
      </w:tblPr>
      <w:tblGrid>
        <w:gridCol w:w="9360"/>
      </w:tblGrid>
      <w:tr>
        <w:tc>
          <w:tcPr>
            <w:tcW w:type="dxa" w:w="12240"/>
            <w:tcBorders>
              <w:top w:val="nil"/>
              <w:left w:val="nil"/>
              <w:bottom w:val="nil"/>
              <w:right w:val="nil"/>
            </w:tcBorders>
            <w:tcMar>
              <w:top w:w="0" w:type="dxa"/>
              <w:start w:w="0" w:type="dxa"/>
              <w:bottom w:w="0" w:type="dxa"/>
              <w:end w:w="0" w:type="dxa"/>
            </w:tcMar>
            <w:shd w:val="clear" w:color="auto" w:fill="D50057"/>
            <w:tcMar>
              <w:top w:w="0" w:type="dxa"/>
              <w:start w:w="0" w:type="dxa"/>
              <w:bottom w:w="0" w:type="dxa"/>
              <w:end w:w="0" w:type="dxa"/>
            </w:tcMar>
          </w:tcPr>
          <w:p>
            <w:pPr>
              <w:spacing w:before="0" w:after="0" w:line="240" w:lineRule="auto"/>
            </w:pPr>
            <w:r>
              <w:rPr>
                <w:rFonts w:ascii="Aptos" w:hAnsi="Aptos" w:cs="Aptos" w:eastAsia="Aptos"/>
                <w:b w:val="0"/>
                <w:i w:val="0"/>
                <w:color w:val="2A2A2A"/>
                <w:sz w:val="4"/>
              </w:rPr>
            </w:r>
          </w:p>
        </w:tc>
      </w:tr>
    </w:tbl>
    <w:p>
      <w:pPr>
        <w:spacing w:before="0" w:after="240" w:line="240" w:lineRule="auto"/>
      </w:pPr>
    </w:p>
    <w:p>
      <w:pPr>
        <w:keepNext/>
        <w:spacing w:before="0" w:after="100" w:line="264" w:lineRule="auto"/>
      </w:pPr>
      <w:r>
        <w:rPr>
          <w:rFonts w:ascii="Aptos Display" w:hAnsi="Aptos Display" w:cs="Aptos Display" w:eastAsia="Aptos Display"/>
          <w:b/>
          <w:i w:val="0"/>
          <w:color w:val="045AA9"/>
          <w:sz w:val="18"/>
          <w:spacing w:val="28"/>
        </w:rPr>
        <w:t>DOE SBIR/STTR FY26 PHASE I  ·  GENESIS MISSION  ·  TOPIC 1</w:t>
      </w:r>
    </w:p>
    <w:p>
      <w:pPr>
        <w:keepNext/>
        <w:spacing w:before="0" w:after="0" w:line="247" w:lineRule="auto"/>
      </w:pPr>
      <w:r>
        <w:rPr>
          <w:rFonts w:ascii="Aptos Display" w:hAnsi="Aptos Display" w:cs="Aptos Display" w:eastAsia="Aptos Display"/>
          <w:b/>
          <w:i w:val="0"/>
          <w:color w:val="2A2A2A"/>
          <w:sz w:val="56"/>
        </w:rPr>
        <w:t>Bibliography and</w:t>
      </w:r>
    </w:p>
    <w:p>
      <w:pPr>
        <w:keepNext/>
        <w:spacing w:before="0" w:after="120" w:line="247" w:lineRule="auto"/>
      </w:pPr>
      <w:r>
        <w:rPr>
          <w:rFonts w:ascii="Aptos Display" w:hAnsi="Aptos Display" w:cs="Aptos Display" w:eastAsia="Aptos Display"/>
          <w:b/>
          <w:i w:val="0"/>
          <w:color w:val="2A2A2A"/>
          <w:sz w:val="56"/>
        </w:rPr>
        <w:t>References Cited</w:t>
      </w:r>
    </w:p>
    <w:p>
      <w:pPr>
        <w:spacing w:before="0" w:after="260" w:line="312" w:lineRule="auto"/>
      </w:pPr>
      <w:r>
        <w:rPr>
          <w:rFonts w:ascii="Aptos" w:hAnsi="Aptos" w:cs="Aptos" w:eastAsia="Aptos"/>
          <w:b w:val="0"/>
          <w:i w:val="0"/>
          <w:color w:val="4A5561"/>
          <w:sz w:val="22"/>
        </w:rPr>
        <w:t>Optional upload. It draws the line between prior art and the PlastiBioFuel contribution, and it shows the UNT partner's published record in enzyme immobilization.</w:t>
      </w:r>
    </w:p>
    <w:tbl>
      <w:tblPr>
        <w:tblW w:type="auto" w:w="0"/>
        <w:jc w:val="left"/>
        <w:tblLayout w:type="fixed"/>
        <w:tblLook w:firstColumn="1" w:firstRow="1" w:lastColumn="0" w:lastRow="0" w:noHBand="0" w:noVBand="1" w:val="04A0"/>
        <w:tblInd w:w="0" w:type="dxa"/>
        <w:tblLayout w:type="fixed"/>
      </w:tblPr>
      <w:tblGrid>
        <w:gridCol w:w="3120"/>
        <w:gridCol w:w="3120"/>
        <w:gridCol w:w="3120"/>
      </w:tblGrid>
      <w:tr>
        <w:tc>
          <w:tcPr>
            <w:tcW w:type="dxa" w:w="3120"/>
            <w:tcMar>
              <w:top w:w="0" w:type="dxa"/>
              <w:start w:w="0" w:type="dxa"/>
              <w:bottom w:w="0" w:type="dxa"/>
              <w:end w:w="0" w:type="dxa"/>
            </w:tcMar>
            <w:tcBorders>
              <w:top w:val="single" w:sz="12" w:space="0" w:color="2A2A2A"/>
              <w:left w:val="nil"/>
              <w:bottom w:val="single" w:sz="6" w:space="0" w:color="E3E8EF"/>
              <w:right w:val="single" w:sz="6" w:space="0" w:color="E3E8EF"/>
            </w:tcBorders>
            <w:tcMar>
              <w:top w:w="160" w:type="dxa"/>
              <w:start w:w="0" w:type="dxa"/>
              <w:bottom w:w="160" w:type="dxa"/>
              <w:end w:w="240" w:type="dxa"/>
            </w:tcMar>
          </w:tcPr>
          <w:p>
            <w:pPr>
              <w:spacing w:before="0" w:after="0" w:line="264" w:lineRule="auto"/>
            </w:pPr>
            <w:r>
              <w:rPr>
                <w:rFonts w:ascii="Aptos Display" w:hAnsi="Aptos Display" w:cs="Aptos Display" w:eastAsia="Aptos Display"/>
                <w:b/>
                <w:i w:val="0"/>
                <w:color w:val="045AA9"/>
                <w:sz w:val="34"/>
              </w:rPr>
              <w:t>6</w:t>
            </w:r>
          </w:p>
          <w:p>
            <w:pPr>
              <w:spacing w:before="80" w:after="0" w:line="264" w:lineRule="auto"/>
            </w:pPr>
            <w:r>
              <w:rPr>
                <w:rFonts w:ascii="Aptos Display" w:hAnsi="Aptos Display" w:cs="Aptos Display" w:eastAsia="Aptos Display"/>
                <w:b/>
                <w:i w:val="0"/>
                <w:color w:val="6B7684"/>
                <w:sz w:val="15"/>
                <w:spacing w:val="22"/>
              </w:rPr>
              <w:t>PEER-REVIEWED SOURCES</w:t>
            </w:r>
          </w:p>
        </w:tc>
        <w:tc>
          <w:tcPr>
            <w:tcW w:type="dxa" w:w="3120"/>
            <w:tcMar>
              <w:top w:w="0" w:type="dxa"/>
              <w:start w:w="0" w:type="dxa"/>
              <w:bottom w:w="0" w:type="dxa"/>
              <w:end w:w="0" w:type="dxa"/>
            </w:tcMar>
            <w:tcBorders>
              <w:top w:val="single" w:sz="12" w:space="0" w:color="2A2A2A"/>
              <w:left w:val="nil"/>
              <w:bottom w:val="single" w:sz="6" w:space="0" w:color="E3E8EF"/>
              <w:right w:val="single" w:sz="6" w:space="0" w:color="E3E8EF"/>
            </w:tcBorders>
            <w:tcMar>
              <w:top w:w="160" w:type="dxa"/>
              <w:start w:w="240" w:type="dxa"/>
              <w:bottom w:w="160" w:type="dxa"/>
              <w:end w:w="240" w:type="dxa"/>
            </w:tcMar>
          </w:tcPr>
          <w:p>
            <w:pPr>
              <w:spacing w:before="0" w:after="0" w:line="264" w:lineRule="auto"/>
            </w:pPr>
            <w:r>
              <w:rPr>
                <w:rFonts w:ascii="Aptos Display" w:hAnsi="Aptos Display" w:cs="Aptos Display" w:eastAsia="Aptos Display"/>
                <w:b/>
                <w:i w:val="0"/>
                <w:color w:val="045AA9"/>
                <w:sz w:val="34"/>
              </w:rPr>
              <w:t>3</w:t>
            </w:r>
          </w:p>
          <w:p>
            <w:pPr>
              <w:spacing w:before="80" w:after="0" w:line="264" w:lineRule="auto"/>
            </w:pPr>
            <w:r>
              <w:rPr>
                <w:rFonts w:ascii="Aptos Display" w:hAnsi="Aptos Display" w:cs="Aptos Display" w:eastAsia="Aptos Display"/>
                <w:b/>
                <w:i w:val="0"/>
                <w:color w:val="6B7684"/>
                <w:sz w:val="15"/>
                <w:spacing w:val="22"/>
              </w:rPr>
              <w:t>WITH DR. MA AS AUTHOR</w:t>
            </w:r>
          </w:p>
        </w:tc>
        <w:tc>
          <w:tcPr>
            <w:tcW w:type="dxa" w:w="3120"/>
            <w:tcMar>
              <w:top w:w="0" w:type="dxa"/>
              <w:start w:w="0" w:type="dxa"/>
              <w:bottom w:w="0" w:type="dxa"/>
              <w:end w:w="0" w:type="dxa"/>
            </w:tcMar>
            <w:tcBorders>
              <w:top w:val="single" w:sz="12" w:space="0" w:color="2A2A2A"/>
              <w:left w:val="nil"/>
              <w:bottom w:val="single" w:sz="6" w:space="0" w:color="E3E8EF"/>
              <w:right w:val="nil"/>
            </w:tcBorders>
            <w:tcMar>
              <w:top w:w="160" w:type="dxa"/>
              <w:start w:w="240" w:type="dxa"/>
              <w:bottom w:w="160" w:type="dxa"/>
              <w:end w:w="240" w:type="dxa"/>
            </w:tcMar>
          </w:tcPr>
          <w:p>
            <w:pPr>
              <w:spacing w:before="0" w:after="0" w:line="264" w:lineRule="auto"/>
            </w:pPr>
            <w:r>
              <w:rPr>
                <w:rFonts w:ascii="Aptos Display" w:hAnsi="Aptos Display" w:cs="Aptos Display" w:eastAsia="Aptos Display"/>
                <w:b/>
                <w:i w:val="0"/>
                <w:color w:val="045AA9"/>
                <w:sz w:val="34"/>
              </w:rPr>
              <w:t>1</w:t>
            </w:r>
          </w:p>
          <w:p>
            <w:pPr>
              <w:spacing w:before="80" w:after="0" w:line="264" w:lineRule="auto"/>
            </w:pPr>
            <w:r>
              <w:rPr>
                <w:rFonts w:ascii="Aptos Display" w:hAnsi="Aptos Display" w:cs="Aptos Display" w:eastAsia="Aptos Display"/>
                <w:b/>
                <w:i w:val="0"/>
                <w:color w:val="6B7684"/>
                <w:sz w:val="15"/>
                <w:spacing w:val="22"/>
              </w:rPr>
              <w:t>PROVISIONAL PATENT</w:t>
            </w:r>
          </w:p>
        </w:tc>
      </w:tr>
    </w:tbl>
    <w:p>
      <w:pPr>
        <w:spacing w:before="0" w:after="18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5184"/>
            <w:tcBorders>
              <w:top w:val="nil"/>
              <w:left w:val="nil"/>
              <w:bottom w:val="nil"/>
              <w:right w:val="nil"/>
            </w:tcBorders>
            <w:tcMar>
              <w:top w:w="0" w:type="dxa"/>
              <w:start w:w="0" w:type="dxa"/>
              <w:bottom w:w="0" w:type="dxa"/>
              <w:end w:w="0" w:type="dxa"/>
            </w:tcMar>
            <w:shd w:val="clear" w:color="auto" w:fill="045AA9"/>
            <w:tcMar>
              <w:top w:w="100" w:type="dxa"/>
              <w:start w:w="200" w:type="dxa"/>
              <w:bottom w:w="100" w:type="dxa"/>
              <w:end w:w="200" w:type="dxa"/>
            </w:tcMar>
          </w:tcPr>
          <w:p>
            <w:pPr>
              <w:spacing w:before="0" w:after="0" w:line="264" w:lineRule="auto"/>
            </w:pPr>
            <w:r>
              <w:rPr>
                <w:rFonts w:ascii="Aptos Display" w:hAnsi="Aptos Display" w:cs="Aptos Display" w:eastAsia="Aptos Display"/>
                <w:b/>
                <w:i w:val="0"/>
                <w:color w:val="FFFFFF"/>
                <w:sz w:val="19"/>
                <w:spacing w:val="24"/>
              </w:rPr>
              <w:t>ENZYMATIC DEPOLYMERIZATION OF PET</w:t>
            </w:r>
          </w:p>
        </w:tc>
        <w:tc>
          <w:tcPr>
            <w:tcW w:type="dxa" w:w="4176"/>
            <w:tcBorders>
              <w:top w:val="nil"/>
              <w:left w:val="nil"/>
              <w:bottom w:val="nil"/>
              <w:right w:val="nil"/>
            </w:tcBorders>
            <w:tcMar>
              <w:top w:w="0" w:type="dxa"/>
              <w:start w:w="0" w:type="dxa"/>
              <w:bottom w:w="0" w:type="dxa"/>
              <w:end w:w="0" w:type="dxa"/>
            </w:tcMar>
            <w:tcMar>
              <w:top w:w="120" w:type="dxa"/>
              <w:start w:w="240" w:type="dxa"/>
              <w:bottom w:w="100" w:type="dxa"/>
              <w:end w:w="0" w:type="dxa"/>
            </w:tcMar>
          </w:tcPr>
          <w:p>
            <w:pPr>
              <w:spacing w:before="0" w:after="0" w:line="264" w:lineRule="auto"/>
              <w:jc w:val="right"/>
            </w:pPr>
          </w:p>
        </w:tc>
      </w:tr>
    </w:tbl>
    <w:p>
      <w:pPr>
        <w:spacing w:before="0" w:after="16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77"/>
            <w:tcMar>
              <w:top w:w="0" w:type="dxa"/>
              <w:start w:w="0" w:type="dxa"/>
              <w:bottom w:w="0" w:type="dxa"/>
              <w:end w:w="0" w:type="dxa"/>
            </w:tcMar>
            <w:tcBorders>
              <w:top w:val="nil"/>
              <w:left w:val="nil"/>
              <w:bottom w:val="single" w:sz="4" w:space="0" w:color="EDF1F5"/>
              <w:right w:val="nil"/>
            </w:tcBorders>
            <w:tcMar>
              <w:top w:w="80" w:type="dxa"/>
              <w:start w:w="0" w:type="dxa"/>
              <w:bottom w:w="220" w:type="dxa"/>
              <w:end w:w="0" w:type="dxa"/>
            </w:tcMar>
          </w:tcPr>
          <w:p>
            <w:pPr>
              <w:spacing w:before="0" w:after="0" w:line="264" w:lineRule="auto"/>
            </w:pPr>
            <w:r>
              <w:rPr>
                <w:rFonts w:ascii="Aptos Display" w:hAnsi="Aptos Display" w:cs="Aptos Display" w:eastAsia="Aptos Display"/>
                <w:b/>
                <w:i w:val="0"/>
                <w:color w:val="D7E6F5"/>
                <w:sz w:val="30"/>
              </w:rPr>
              <w:t>1</w:t>
            </w:r>
          </w:p>
        </w:tc>
        <w:tc>
          <w:tcPr>
            <w:tcW w:type="dxa" w:w="8683"/>
            <w:tcMar>
              <w:top w:w="0" w:type="dxa"/>
              <w:start w:w="0" w:type="dxa"/>
              <w:bottom w:w="0" w:type="dxa"/>
              <w:end w:w="0" w:type="dxa"/>
            </w:tcMar>
            <w:tcBorders>
              <w:top w:val="nil"/>
              <w:left w:val="nil"/>
              <w:bottom w:val="single" w:sz="4" w:space="0" w:color="EDF1F5"/>
              <w:right w:val="nil"/>
            </w:tcBorders>
            <w:tcMar>
              <w:top w:w="80" w:type="dxa"/>
              <w:start w:w="0" w:type="dxa"/>
              <w:bottom w:w="220" w:type="dxa"/>
              <w:end w:w="0" w:type="dxa"/>
            </w:tcMar>
          </w:tcPr>
          <w:p>
            <w:pPr>
              <w:spacing w:before="0" w:after="0" w:line="312" w:lineRule="auto"/>
            </w:pPr>
            <w:r>
              <w:rPr>
                <w:rFonts w:ascii="Aptos" w:hAnsi="Aptos" w:cs="Aptos" w:eastAsia="Aptos"/>
                <w:b w:val="0"/>
                <w:i w:val="0"/>
                <w:color w:val="2A2A2A"/>
                <w:sz w:val="20"/>
              </w:rPr>
              <w:t xml:space="preserve">Lu, H.; Diaz, D. J.; Czarnecki, N. J.; Zhu, C.; Kim, W.; Shroff, R.; Acosta, D. J.; Alexander, B. R.; Cole, H. O.; Zhang, Y.; Lynd, N. A.; Ellington, A. D.; Alper, H. S. </w:t>
            </w:r>
            <w:r>
              <w:rPr>
                <w:rFonts w:ascii="Aptos" w:hAnsi="Aptos" w:cs="Aptos" w:eastAsia="Aptos"/>
                <w:b/>
                <w:i w:val="0"/>
                <w:color w:val="2A2A2A"/>
                <w:sz w:val="20"/>
              </w:rPr>
              <w:t>Machine learning-aided engineering of hydrolases for PET depolymerization.</w:t>
            </w:r>
            <w:r>
              <w:rPr>
                <w:rFonts w:ascii="Aptos" w:hAnsi="Aptos" w:cs="Aptos" w:eastAsia="Aptos"/>
                <w:b w:val="0"/>
                <w:i w:val="0"/>
                <w:color w:val="2A2A2A"/>
                <w:sz w:val="20"/>
              </w:rPr>
              <w:t xml:space="preserve"> </w:t>
            </w:r>
            <w:r>
              <w:rPr>
                <w:rFonts w:ascii="Aptos" w:hAnsi="Aptos" w:cs="Aptos" w:eastAsia="Aptos"/>
                <w:b w:val="0"/>
                <w:i/>
                <w:color w:val="2A2A2A"/>
                <w:sz w:val="20"/>
              </w:rPr>
              <w:t>Nature</w:t>
            </w:r>
            <w:r>
              <w:rPr>
                <w:rFonts w:ascii="Aptos" w:hAnsi="Aptos" w:cs="Aptos" w:eastAsia="Aptos"/>
                <w:b w:val="0"/>
                <w:i w:val="0"/>
                <w:color w:val="2A2A2A"/>
                <w:sz w:val="20"/>
              </w:rPr>
              <w:t xml:space="preserve"> 2022, 604 (7907), 662-667.</w:t>
            </w:r>
          </w:p>
          <w:p>
            <w:pPr>
              <w:spacing w:before="80" w:after="0" w:line="288" w:lineRule="auto"/>
            </w:pPr>
            <w:r>
              <w:rPr>
                <w:rFonts w:ascii="Aptos Display" w:hAnsi="Aptos Display" w:cs="Aptos Display" w:eastAsia="Aptos Display"/>
                <w:b/>
                <w:i w:val="0"/>
                <w:color w:val="045AA9"/>
                <w:sz w:val="17"/>
              </w:rPr>
              <w:t>DOI 10.1038/s41586-022-04599-z  ·  PMID 35478237</w:t>
            </w:r>
          </w:p>
          <w:p>
            <w:pPr>
              <w:spacing w:before="100" w:after="0" w:line="312" w:lineRule="auto"/>
              <w:ind w:left="200"/>
              <w:pBdr>
                <w:left w:val="single" w:sz="8" w:space="6" w:color="E3E8EF"/>
              </w:pBdr>
            </w:pPr>
            <w:r>
              <w:rPr>
                <w:rFonts w:ascii="Aptos" w:hAnsi="Aptos" w:cs="Aptos" w:eastAsia="Aptos"/>
                <w:b w:val="0"/>
                <w:i w:val="0"/>
                <w:color w:val="4A5561"/>
                <w:sz w:val="19"/>
              </w:rPr>
              <w:t>Source of FAST-PETase and of the machine-learning method used to engineer it. PlastiBioFuel did not develop this enzyme and makes no claim to it. Cited to fix the boundary between prior art and the PlastiBioFuel contribution, and because it establishes that machine learning is already productive in this system at the molecular scale. The proposed Phase I work moves that method up one level, from residue selection to reactor operating conditions.</w:t>
            </w:r>
          </w:p>
        </w:tc>
      </w:tr>
    </w:tbl>
    <w:p>
      <w:pPr>
        <w:spacing w:before="0" w:after="10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77"/>
            <w:tcMar>
              <w:top w:w="0" w:type="dxa"/>
              <w:start w:w="0" w:type="dxa"/>
              <w:bottom w:w="0" w:type="dxa"/>
              <w:end w:w="0" w:type="dxa"/>
            </w:tcMar>
            <w:tcBorders>
              <w:top w:val="nil"/>
              <w:left w:val="nil"/>
              <w:bottom w:val="single" w:sz="4" w:space="0" w:color="EDF1F5"/>
              <w:right w:val="nil"/>
            </w:tcBorders>
            <w:tcMar>
              <w:top w:w="80" w:type="dxa"/>
              <w:start w:w="0" w:type="dxa"/>
              <w:bottom w:w="220" w:type="dxa"/>
              <w:end w:w="0" w:type="dxa"/>
            </w:tcMar>
          </w:tcPr>
          <w:p>
            <w:pPr>
              <w:spacing w:before="0" w:after="0" w:line="264" w:lineRule="auto"/>
            </w:pPr>
            <w:r>
              <w:rPr>
                <w:rFonts w:ascii="Aptos Display" w:hAnsi="Aptos Display" w:cs="Aptos Display" w:eastAsia="Aptos Display"/>
                <w:b/>
                <w:i w:val="0"/>
                <w:color w:val="D7E6F5"/>
                <w:sz w:val="30"/>
              </w:rPr>
              <w:t>2</w:t>
            </w:r>
          </w:p>
        </w:tc>
        <w:tc>
          <w:tcPr>
            <w:tcW w:type="dxa" w:w="8683"/>
            <w:tcMar>
              <w:top w:w="0" w:type="dxa"/>
              <w:start w:w="0" w:type="dxa"/>
              <w:bottom w:w="0" w:type="dxa"/>
              <w:end w:w="0" w:type="dxa"/>
            </w:tcMar>
            <w:tcBorders>
              <w:top w:val="nil"/>
              <w:left w:val="nil"/>
              <w:bottom w:val="single" w:sz="4" w:space="0" w:color="EDF1F5"/>
              <w:right w:val="nil"/>
            </w:tcBorders>
            <w:tcMar>
              <w:top w:w="80" w:type="dxa"/>
              <w:start w:w="0" w:type="dxa"/>
              <w:bottom w:w="220" w:type="dxa"/>
              <w:end w:w="0" w:type="dxa"/>
            </w:tcMar>
          </w:tcPr>
          <w:p>
            <w:pPr>
              <w:spacing w:before="0" w:after="0" w:line="312" w:lineRule="auto"/>
            </w:pPr>
            <w:r>
              <w:rPr>
                <w:rFonts w:ascii="Aptos" w:hAnsi="Aptos" w:cs="Aptos" w:eastAsia="Aptos"/>
                <w:b w:val="0"/>
                <w:i w:val="0"/>
                <w:color w:val="2A2A2A"/>
                <w:sz w:val="20"/>
              </w:rPr>
              <w:t xml:space="preserve">Tournier, V.; Topham, C. M.; Gilles, A.; David, B.; Folgoas, C.; Moya-Leclair, E.; Kamionka, E.; Desrousseaux, M.-L.; Texier, H.; Gavalda, S.; Cot, M.; Guemard, E.; Dalibey, M.; Nomme, J.; Cioci, G.; Barbe, S.; Chateau, M.; Andre, I.; Duquesne, S.; Marty, A. </w:t>
            </w:r>
            <w:r>
              <w:rPr>
                <w:rFonts w:ascii="Aptos" w:hAnsi="Aptos" w:cs="Aptos" w:eastAsia="Aptos"/>
                <w:b/>
                <w:i w:val="0"/>
                <w:color w:val="2A2A2A"/>
                <w:sz w:val="20"/>
              </w:rPr>
              <w:t>An engineered PET depolymerase to break down and recycle plastic bottles.</w:t>
            </w:r>
            <w:r>
              <w:rPr>
                <w:rFonts w:ascii="Aptos" w:hAnsi="Aptos" w:cs="Aptos" w:eastAsia="Aptos"/>
                <w:b w:val="0"/>
                <w:i w:val="0"/>
                <w:color w:val="2A2A2A"/>
                <w:sz w:val="20"/>
              </w:rPr>
              <w:t xml:space="preserve"> </w:t>
            </w:r>
            <w:r>
              <w:rPr>
                <w:rFonts w:ascii="Aptos" w:hAnsi="Aptos" w:cs="Aptos" w:eastAsia="Aptos"/>
                <w:b w:val="0"/>
                <w:i/>
                <w:color w:val="2A2A2A"/>
                <w:sz w:val="20"/>
              </w:rPr>
              <w:t>Nature</w:t>
            </w:r>
            <w:r>
              <w:rPr>
                <w:rFonts w:ascii="Aptos" w:hAnsi="Aptos" w:cs="Aptos" w:eastAsia="Aptos"/>
                <w:b w:val="0"/>
                <w:i w:val="0"/>
                <w:color w:val="2A2A2A"/>
                <w:sz w:val="20"/>
              </w:rPr>
              <w:t xml:space="preserve"> 2020, 580 (7802), 216-219.</w:t>
            </w:r>
          </w:p>
          <w:p>
            <w:pPr>
              <w:spacing w:before="80" w:after="0" w:line="288" w:lineRule="auto"/>
            </w:pPr>
            <w:r>
              <w:rPr>
                <w:rFonts w:ascii="Aptos Display" w:hAnsi="Aptos Display" w:cs="Aptos Display" w:eastAsia="Aptos Display"/>
                <w:b/>
                <w:i w:val="0"/>
                <w:color w:val="045AA9"/>
                <w:sz w:val="17"/>
              </w:rPr>
              <w:t>DOI 10.1038/s41586-020-2149-4  ·  PMID 32269349</w:t>
            </w:r>
          </w:p>
          <w:p>
            <w:pPr>
              <w:spacing w:before="100" w:after="0" w:line="312" w:lineRule="auto"/>
              <w:ind w:left="200"/>
              <w:pBdr>
                <w:left w:val="single" w:sz="8" w:space="6" w:color="E3E8EF"/>
              </w:pBdr>
            </w:pPr>
            <w:r>
              <w:rPr>
                <w:rFonts w:ascii="Aptos" w:hAnsi="Aptos" w:cs="Aptos" w:eastAsia="Aptos"/>
                <w:b w:val="0"/>
                <w:i w:val="0"/>
                <w:color w:val="4A5561"/>
                <w:sz w:val="19"/>
              </w:rPr>
              <w:t>Benchmark for enzymatic PET depolymerization productivity and for the monomer-to-resin route. Establishes the competing commercial pathway that returns terephthalate to virgin-equivalent PET rather than to fuel.</w:t>
            </w:r>
          </w:p>
        </w:tc>
      </w:tr>
    </w:tbl>
    <w:p>
      <w:pPr>
        <w:spacing w:before="0" w:after="10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77"/>
            <w:tcMar>
              <w:top w:w="0" w:type="dxa"/>
              <w:start w:w="0" w:type="dxa"/>
              <w:bottom w:w="0" w:type="dxa"/>
              <w:end w:w="0" w:type="dxa"/>
            </w:tcMar>
            <w:tcBorders>
              <w:top w:val="nil"/>
              <w:left w:val="nil"/>
              <w:bottom w:val="single" w:sz="4" w:space="0" w:color="EDF1F5"/>
              <w:right w:val="nil"/>
            </w:tcBorders>
            <w:tcMar>
              <w:top w:w="80" w:type="dxa"/>
              <w:start w:w="0" w:type="dxa"/>
              <w:bottom w:w="220" w:type="dxa"/>
              <w:end w:w="0" w:type="dxa"/>
            </w:tcMar>
          </w:tcPr>
          <w:p>
            <w:pPr>
              <w:spacing w:before="0" w:after="0" w:line="264" w:lineRule="auto"/>
            </w:pPr>
            <w:r>
              <w:rPr>
                <w:rFonts w:ascii="Aptos Display" w:hAnsi="Aptos Display" w:cs="Aptos Display" w:eastAsia="Aptos Display"/>
                <w:b/>
                <w:i w:val="0"/>
                <w:color w:val="D7E6F5"/>
                <w:sz w:val="30"/>
              </w:rPr>
              <w:t>3</w:t>
            </w:r>
          </w:p>
        </w:tc>
        <w:tc>
          <w:tcPr>
            <w:tcW w:type="dxa" w:w="8683"/>
            <w:tcMar>
              <w:top w:w="0" w:type="dxa"/>
              <w:start w:w="0" w:type="dxa"/>
              <w:bottom w:w="0" w:type="dxa"/>
              <w:end w:w="0" w:type="dxa"/>
            </w:tcMar>
            <w:tcBorders>
              <w:top w:val="nil"/>
              <w:left w:val="nil"/>
              <w:bottom w:val="single" w:sz="4" w:space="0" w:color="EDF1F5"/>
              <w:right w:val="nil"/>
            </w:tcBorders>
            <w:tcMar>
              <w:top w:w="80" w:type="dxa"/>
              <w:start w:w="0" w:type="dxa"/>
              <w:bottom w:w="220" w:type="dxa"/>
              <w:end w:w="0" w:type="dxa"/>
            </w:tcMar>
          </w:tcPr>
          <w:p>
            <w:pPr>
              <w:spacing w:before="0" w:after="0" w:line="312" w:lineRule="auto"/>
            </w:pPr>
            <w:r>
              <w:rPr>
                <w:rFonts w:ascii="Aptos" w:hAnsi="Aptos" w:cs="Aptos" w:eastAsia="Aptos"/>
                <w:b w:val="0"/>
                <w:i w:val="0"/>
                <w:color w:val="2A2A2A"/>
                <w:sz w:val="20"/>
              </w:rPr>
              <w:t xml:space="preserve">Yoshida, S.; Hiraga, K.; Takehana, T.; Taniguchi, I.; Yamaji, H.; Maeda, Y.; Toyohara, K.; Miyamoto, K.; Kimura, Y.; Oda, K. </w:t>
            </w:r>
            <w:r>
              <w:rPr>
                <w:rFonts w:ascii="Aptos" w:hAnsi="Aptos" w:cs="Aptos" w:eastAsia="Aptos"/>
                <w:b/>
                <w:i w:val="0"/>
                <w:color w:val="2A2A2A"/>
                <w:sz w:val="20"/>
              </w:rPr>
              <w:t>A bacterium that degrades and assimilates poly(ethylene terephthalate).</w:t>
            </w:r>
            <w:r>
              <w:rPr>
                <w:rFonts w:ascii="Aptos" w:hAnsi="Aptos" w:cs="Aptos" w:eastAsia="Aptos"/>
                <w:b w:val="0"/>
                <w:i w:val="0"/>
                <w:color w:val="2A2A2A"/>
                <w:sz w:val="20"/>
              </w:rPr>
              <w:t xml:space="preserve"> </w:t>
            </w:r>
            <w:r>
              <w:rPr>
                <w:rFonts w:ascii="Aptos" w:hAnsi="Aptos" w:cs="Aptos" w:eastAsia="Aptos"/>
                <w:b w:val="0"/>
                <w:i/>
                <w:color w:val="2A2A2A"/>
                <w:sz w:val="20"/>
              </w:rPr>
              <w:t>Science</w:t>
            </w:r>
            <w:r>
              <w:rPr>
                <w:rFonts w:ascii="Aptos" w:hAnsi="Aptos" w:cs="Aptos" w:eastAsia="Aptos"/>
                <w:b w:val="0"/>
                <w:i w:val="0"/>
                <w:color w:val="2A2A2A"/>
                <w:sz w:val="20"/>
              </w:rPr>
              <w:t xml:space="preserve"> 2016, 351 (6278), 1196-1199.</w:t>
            </w:r>
          </w:p>
          <w:p>
            <w:pPr>
              <w:spacing w:before="80" w:after="0" w:line="288" w:lineRule="auto"/>
            </w:pPr>
            <w:r>
              <w:rPr>
                <w:rFonts w:ascii="Aptos Display" w:hAnsi="Aptos Display" w:cs="Aptos Display" w:eastAsia="Aptos Display"/>
                <w:b/>
                <w:i w:val="0"/>
                <w:color w:val="045AA9"/>
                <w:sz w:val="17"/>
              </w:rPr>
              <w:t>DOI 10.1126/science.aad6359  ·  PMID 26965627</w:t>
            </w:r>
          </w:p>
          <w:p>
            <w:pPr>
              <w:spacing w:before="100" w:after="0" w:line="312" w:lineRule="auto"/>
              <w:ind w:left="200"/>
              <w:pBdr>
                <w:left w:val="single" w:sz="8" w:space="6" w:color="E3E8EF"/>
              </w:pBdr>
            </w:pPr>
            <w:r>
              <w:rPr>
                <w:rFonts w:ascii="Aptos" w:hAnsi="Aptos" w:cs="Aptos" w:eastAsia="Aptos"/>
                <w:b w:val="0"/>
                <w:i w:val="0"/>
                <w:color w:val="4A5561"/>
                <w:sz w:val="19"/>
              </w:rPr>
              <w:t>Origin of the PETase and MHETase system, and the source of the terephthalic acid and ethylene glycol product pair that PlastiBioFuel routes to ethanol.</w:t>
            </w:r>
          </w:p>
        </w:tc>
      </w:tr>
    </w:tbl>
    <w:p>
      <w:pPr>
        <w:spacing w:before="0" w:after="10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5184"/>
            <w:tcBorders>
              <w:top w:val="nil"/>
              <w:left w:val="nil"/>
              <w:bottom w:val="nil"/>
              <w:right w:val="nil"/>
            </w:tcBorders>
            <w:tcMar>
              <w:top w:w="0" w:type="dxa"/>
              <w:start w:w="0" w:type="dxa"/>
              <w:bottom w:w="0" w:type="dxa"/>
              <w:end w:w="0" w:type="dxa"/>
            </w:tcMar>
            <w:shd w:val="clear" w:color="auto" w:fill="045AA9"/>
            <w:tcMar>
              <w:top w:w="100" w:type="dxa"/>
              <w:start w:w="200" w:type="dxa"/>
              <w:bottom w:w="100" w:type="dxa"/>
              <w:end w:w="200" w:type="dxa"/>
            </w:tcMar>
          </w:tcPr>
          <w:p>
            <w:pPr>
              <w:spacing w:before="0" w:after="0" w:line="264" w:lineRule="auto"/>
            </w:pPr>
            <w:r>
              <w:rPr>
                <w:rFonts w:ascii="Aptos Display" w:hAnsi="Aptos Display" w:cs="Aptos Display" w:eastAsia="Aptos Display"/>
                <w:b/>
                <w:i w:val="0"/>
                <w:color w:val="FFFFFF"/>
                <w:sz w:val="19"/>
                <w:spacing w:val="24"/>
              </w:rPr>
              <w:t>ENZYME IMMOBILIZATION IN COVALENT ORGANIC FRAMEWORKS</w:t>
            </w:r>
          </w:p>
        </w:tc>
        <w:tc>
          <w:tcPr>
            <w:tcW w:type="dxa" w:w="4176"/>
            <w:tcBorders>
              <w:top w:val="nil"/>
              <w:left w:val="nil"/>
              <w:bottom w:val="nil"/>
              <w:right w:val="nil"/>
            </w:tcBorders>
            <w:tcMar>
              <w:top w:w="0" w:type="dxa"/>
              <w:start w:w="0" w:type="dxa"/>
              <w:bottom w:w="0" w:type="dxa"/>
              <w:end w:w="0" w:type="dxa"/>
            </w:tcMar>
            <w:tcMar>
              <w:top w:w="120" w:type="dxa"/>
              <w:start w:w="240" w:type="dxa"/>
              <w:bottom w:w="100" w:type="dxa"/>
              <w:end w:w="0" w:type="dxa"/>
            </w:tcMar>
          </w:tcPr>
          <w:p>
            <w:pPr>
              <w:spacing w:before="0" w:after="0" w:line="264" w:lineRule="auto"/>
              <w:jc w:val="right"/>
            </w:pPr>
          </w:p>
        </w:tc>
      </w:tr>
    </w:tbl>
    <w:p>
      <w:pPr>
        <w:spacing w:before="0" w:after="16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77"/>
            <w:tcMar>
              <w:top w:w="0" w:type="dxa"/>
              <w:start w:w="0" w:type="dxa"/>
              <w:bottom w:w="0" w:type="dxa"/>
              <w:end w:w="0" w:type="dxa"/>
            </w:tcMar>
            <w:tcBorders>
              <w:top w:val="nil"/>
              <w:left w:val="nil"/>
              <w:bottom w:val="single" w:sz="4" w:space="0" w:color="EDF1F5"/>
              <w:right w:val="nil"/>
            </w:tcBorders>
            <w:tcMar>
              <w:top w:w="80" w:type="dxa"/>
              <w:start w:w="0" w:type="dxa"/>
              <w:bottom w:w="220" w:type="dxa"/>
              <w:end w:w="0" w:type="dxa"/>
            </w:tcMar>
          </w:tcPr>
          <w:p>
            <w:pPr>
              <w:spacing w:before="0" w:after="0" w:line="264" w:lineRule="auto"/>
            </w:pPr>
            <w:r>
              <w:rPr>
                <w:rFonts w:ascii="Aptos Display" w:hAnsi="Aptos Display" w:cs="Aptos Display" w:eastAsia="Aptos Display"/>
                <w:b/>
                <w:i w:val="0"/>
                <w:color w:val="D7E6F5"/>
                <w:sz w:val="30"/>
              </w:rPr>
              <w:t>4</w:t>
            </w:r>
          </w:p>
        </w:tc>
        <w:tc>
          <w:tcPr>
            <w:tcW w:type="dxa" w:w="8683"/>
            <w:tcMar>
              <w:top w:w="0" w:type="dxa"/>
              <w:start w:w="0" w:type="dxa"/>
              <w:bottom w:w="0" w:type="dxa"/>
              <w:end w:w="0" w:type="dxa"/>
            </w:tcMar>
            <w:tcBorders>
              <w:top w:val="nil"/>
              <w:left w:val="nil"/>
              <w:bottom w:val="single" w:sz="4" w:space="0" w:color="EDF1F5"/>
              <w:right w:val="nil"/>
            </w:tcBorders>
            <w:tcMar>
              <w:top w:w="80" w:type="dxa"/>
              <w:start w:w="0" w:type="dxa"/>
              <w:bottom w:w="220" w:type="dxa"/>
              <w:end w:w="0" w:type="dxa"/>
            </w:tcMar>
          </w:tcPr>
          <w:p>
            <w:pPr>
              <w:spacing w:before="0" w:after="0" w:line="312" w:lineRule="auto"/>
            </w:pPr>
            <w:r>
              <w:rPr>
                <w:rFonts w:ascii="Aptos" w:hAnsi="Aptos" w:cs="Aptos" w:eastAsia="Aptos"/>
                <w:b w:val="0"/>
                <w:i w:val="0"/>
                <w:color w:val="2A2A2A"/>
                <w:sz w:val="20"/>
              </w:rPr>
              <w:t xml:space="preserve">Wang, X.; Lan, P. C.; </w:t>
            </w:r>
            <w:r>
              <w:rPr>
                <w:rFonts w:ascii="Aptos" w:hAnsi="Aptos" w:cs="Aptos" w:eastAsia="Aptos"/>
                <w:b/>
                <w:i w:val="0"/>
                <w:color w:val="2A2A2A"/>
                <w:sz w:val="20"/>
              </w:rPr>
              <w:t>Ma, S.</w:t>
            </w:r>
            <w:r>
              <w:rPr>
                <w:rFonts w:ascii="Aptos" w:hAnsi="Aptos" w:cs="Aptos" w:eastAsia="Aptos"/>
                <w:b w:val="0"/>
                <w:i w:val="0"/>
                <w:color w:val="2A2A2A"/>
                <w:sz w:val="20"/>
              </w:rPr>
              <w:t xml:space="preserve"> </w:t>
            </w:r>
            <w:r>
              <w:rPr>
                <w:rFonts w:ascii="Aptos" w:hAnsi="Aptos" w:cs="Aptos" w:eastAsia="Aptos"/>
                <w:b/>
                <w:i w:val="0"/>
                <w:color w:val="2A2A2A"/>
                <w:sz w:val="20"/>
              </w:rPr>
              <w:t>Metal-Organic Frameworks for Enzyme Immobilization: Beyond Host Matrix Materials.</w:t>
            </w:r>
            <w:r>
              <w:rPr>
                <w:rFonts w:ascii="Aptos" w:hAnsi="Aptos" w:cs="Aptos" w:eastAsia="Aptos"/>
                <w:b w:val="0"/>
                <w:i w:val="0"/>
                <w:color w:val="2A2A2A"/>
                <w:sz w:val="20"/>
              </w:rPr>
              <w:t xml:space="preserve"> </w:t>
            </w:r>
            <w:r>
              <w:rPr>
                <w:rFonts w:ascii="Aptos" w:hAnsi="Aptos" w:cs="Aptos" w:eastAsia="Aptos"/>
                <w:b w:val="0"/>
                <w:i/>
                <w:color w:val="2A2A2A"/>
                <w:sz w:val="20"/>
              </w:rPr>
              <w:t>ACS Central Science</w:t>
            </w:r>
            <w:r>
              <w:rPr>
                <w:rFonts w:ascii="Aptos" w:hAnsi="Aptos" w:cs="Aptos" w:eastAsia="Aptos"/>
                <w:b w:val="0"/>
                <w:i w:val="0"/>
                <w:color w:val="2A2A2A"/>
                <w:sz w:val="20"/>
              </w:rPr>
              <w:t xml:space="preserve"> 2020, 6 (9), 1497-1506.</w:t>
            </w:r>
          </w:p>
          <w:p>
            <w:pPr>
              <w:spacing w:before="80" w:after="0" w:line="288" w:lineRule="auto"/>
            </w:pPr>
            <w:r>
              <w:rPr>
                <w:rFonts w:ascii="Aptos Display" w:hAnsi="Aptos Display" w:cs="Aptos Display" w:eastAsia="Aptos Display"/>
                <w:b/>
                <w:i w:val="0"/>
                <w:color w:val="045AA9"/>
                <w:sz w:val="17"/>
              </w:rPr>
              <w:t>DOI 10.1021/acscentsci.0c00687  ·  PMID 32999925</w:t>
            </w:r>
          </w:p>
          <w:p>
            <w:pPr>
              <w:spacing w:before="100" w:after="0" w:line="312" w:lineRule="auto"/>
              <w:ind w:left="200"/>
              <w:pBdr>
                <w:left w:val="single" w:sz="8" w:space="6" w:color="E3E8EF"/>
              </w:pBdr>
            </w:pPr>
            <w:r>
              <w:rPr>
                <w:rFonts w:ascii="Aptos" w:hAnsi="Aptos" w:cs="Aptos" w:eastAsia="Aptos"/>
                <w:b w:val="0"/>
                <w:i w:val="0"/>
                <w:color w:val="4A5561"/>
                <w:sz w:val="19"/>
              </w:rPr>
              <w:t>Authored from the Department of Chemistry, University of North Texas. Dr. Shengqian Ma is the PlastiBioFuel subaward lead for framework and immobilization chemistry under Sponsored Research Agreement SRA1016.</w:t>
            </w:r>
          </w:p>
        </w:tc>
      </w:tr>
    </w:tbl>
    <w:p>
      <w:pPr>
        <w:spacing w:before="0" w:after="10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77"/>
            <w:tcMar>
              <w:top w:w="0" w:type="dxa"/>
              <w:start w:w="0" w:type="dxa"/>
              <w:bottom w:w="0" w:type="dxa"/>
              <w:end w:w="0" w:type="dxa"/>
            </w:tcMar>
            <w:tcBorders>
              <w:top w:val="nil"/>
              <w:left w:val="nil"/>
              <w:bottom w:val="single" w:sz="4" w:space="0" w:color="EDF1F5"/>
              <w:right w:val="nil"/>
            </w:tcBorders>
            <w:tcMar>
              <w:top w:w="80" w:type="dxa"/>
              <w:start w:w="0" w:type="dxa"/>
              <w:bottom w:w="220" w:type="dxa"/>
              <w:end w:w="0" w:type="dxa"/>
            </w:tcMar>
          </w:tcPr>
          <w:p>
            <w:pPr>
              <w:spacing w:before="0" w:after="0" w:line="264" w:lineRule="auto"/>
            </w:pPr>
            <w:r>
              <w:rPr>
                <w:rFonts w:ascii="Aptos Display" w:hAnsi="Aptos Display" w:cs="Aptos Display" w:eastAsia="Aptos Display"/>
                <w:b/>
                <w:i w:val="0"/>
                <w:color w:val="D7E6F5"/>
                <w:sz w:val="30"/>
              </w:rPr>
              <w:t>5</w:t>
            </w:r>
          </w:p>
        </w:tc>
        <w:tc>
          <w:tcPr>
            <w:tcW w:type="dxa" w:w="8683"/>
            <w:tcMar>
              <w:top w:w="0" w:type="dxa"/>
              <w:start w:w="0" w:type="dxa"/>
              <w:bottom w:w="0" w:type="dxa"/>
              <w:end w:w="0" w:type="dxa"/>
            </w:tcMar>
            <w:tcBorders>
              <w:top w:val="nil"/>
              <w:left w:val="nil"/>
              <w:bottom w:val="single" w:sz="4" w:space="0" w:color="EDF1F5"/>
              <w:right w:val="nil"/>
            </w:tcBorders>
            <w:tcMar>
              <w:top w:w="80" w:type="dxa"/>
              <w:start w:w="0" w:type="dxa"/>
              <w:bottom w:w="220" w:type="dxa"/>
              <w:end w:w="0" w:type="dxa"/>
            </w:tcMar>
          </w:tcPr>
          <w:p>
            <w:pPr>
              <w:spacing w:before="0" w:after="0" w:line="312" w:lineRule="auto"/>
            </w:pPr>
            <w:r>
              <w:rPr>
                <w:rFonts w:ascii="Aptos" w:hAnsi="Aptos" w:cs="Aptos" w:eastAsia="Aptos"/>
                <w:b w:val="0"/>
                <w:i w:val="0"/>
                <w:color w:val="2A2A2A"/>
                <w:sz w:val="20"/>
              </w:rPr>
              <w:t xml:space="preserve">Li, M.; Qiao, S.; Zheng, Y.; Andaloussi, Y. H.; Li, X.; Zhang, Z.; Li, A.; Cheng, P.; </w:t>
            </w:r>
            <w:r>
              <w:rPr>
                <w:rFonts w:ascii="Aptos" w:hAnsi="Aptos" w:cs="Aptos" w:eastAsia="Aptos"/>
                <w:b/>
                <w:i w:val="0"/>
                <w:color w:val="2A2A2A"/>
                <w:sz w:val="20"/>
              </w:rPr>
              <w:t>Ma, S.</w:t>
            </w:r>
            <w:r>
              <w:rPr>
                <w:rFonts w:ascii="Aptos" w:hAnsi="Aptos" w:cs="Aptos" w:eastAsia="Aptos"/>
                <w:b w:val="0"/>
                <w:i w:val="0"/>
                <w:color w:val="2A2A2A"/>
                <w:sz w:val="20"/>
              </w:rPr>
              <w:t xml:space="preserve">; Chen, Y. </w:t>
            </w:r>
            <w:r>
              <w:rPr>
                <w:rFonts w:ascii="Aptos" w:hAnsi="Aptos" w:cs="Aptos" w:eastAsia="Aptos"/>
                <w:b/>
                <w:i w:val="0"/>
                <w:color w:val="2A2A2A"/>
                <w:sz w:val="20"/>
              </w:rPr>
              <w:t>Fabricating Covalent Organic Framework Capsules with Commodious Microenvironment for Enzymes.</w:t>
            </w:r>
            <w:r>
              <w:rPr>
                <w:rFonts w:ascii="Aptos" w:hAnsi="Aptos" w:cs="Aptos" w:eastAsia="Aptos"/>
                <w:b w:val="0"/>
                <w:i w:val="0"/>
                <w:color w:val="2A2A2A"/>
                <w:sz w:val="20"/>
              </w:rPr>
              <w:t xml:space="preserve"> </w:t>
            </w:r>
            <w:r>
              <w:rPr>
                <w:rFonts w:ascii="Aptos" w:hAnsi="Aptos" w:cs="Aptos" w:eastAsia="Aptos"/>
                <w:b w:val="0"/>
                <w:i/>
                <w:color w:val="2A2A2A"/>
                <w:sz w:val="20"/>
              </w:rPr>
              <w:t>Journal of the American Chemical Society</w:t>
            </w:r>
            <w:r>
              <w:rPr>
                <w:rFonts w:ascii="Aptos" w:hAnsi="Aptos" w:cs="Aptos" w:eastAsia="Aptos"/>
                <w:b w:val="0"/>
                <w:i w:val="0"/>
                <w:color w:val="2A2A2A"/>
                <w:sz w:val="20"/>
              </w:rPr>
              <w:t xml:space="preserve"> 2020, 142 (14), 6675-6681.</w:t>
            </w:r>
          </w:p>
          <w:p>
            <w:pPr>
              <w:spacing w:before="80" w:after="0" w:line="288" w:lineRule="auto"/>
            </w:pPr>
            <w:r>
              <w:rPr>
                <w:rFonts w:ascii="Aptos Display" w:hAnsi="Aptos Display" w:cs="Aptos Display" w:eastAsia="Aptos Display"/>
                <w:b/>
                <w:i w:val="0"/>
                <w:color w:val="045AA9"/>
                <w:sz w:val="17"/>
              </w:rPr>
              <w:t>DOI 10.1021/jacs.0c00285  ·  PMID 32197569</w:t>
            </w:r>
          </w:p>
          <w:p>
            <w:pPr>
              <w:spacing w:before="100" w:after="0" w:line="312" w:lineRule="auto"/>
              <w:ind w:left="200"/>
              <w:pBdr>
                <w:left w:val="single" w:sz="8" w:space="6" w:color="E3E8EF"/>
              </w:pBdr>
            </w:pPr>
            <w:r>
              <w:rPr>
                <w:rFonts w:ascii="Aptos" w:hAnsi="Aptos" w:cs="Aptos" w:eastAsia="Aptos"/>
                <w:b w:val="0"/>
                <w:i w:val="0"/>
                <w:color w:val="4A5561"/>
                <w:sz w:val="19"/>
              </w:rPr>
              <w:t>Covalent organic framework capsules as enzyme hosts that preserve conformational freedom and mass transfer. This is the physical basis for the near-complete loading with retained catalytic activity that PlastiBioFuel measures in its own framework.</w:t>
            </w:r>
          </w:p>
        </w:tc>
      </w:tr>
    </w:tbl>
    <w:p>
      <w:pPr>
        <w:spacing w:before="0" w:after="10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77"/>
            <w:tcMar>
              <w:top w:w="0" w:type="dxa"/>
              <w:start w:w="0" w:type="dxa"/>
              <w:bottom w:w="0" w:type="dxa"/>
              <w:end w:w="0" w:type="dxa"/>
            </w:tcMar>
            <w:tcBorders>
              <w:top w:val="nil"/>
              <w:left w:val="nil"/>
              <w:bottom w:val="single" w:sz="4" w:space="0" w:color="EDF1F5"/>
              <w:right w:val="nil"/>
            </w:tcBorders>
            <w:tcMar>
              <w:top w:w="80" w:type="dxa"/>
              <w:start w:w="0" w:type="dxa"/>
              <w:bottom w:w="220" w:type="dxa"/>
              <w:end w:w="0" w:type="dxa"/>
            </w:tcMar>
          </w:tcPr>
          <w:p>
            <w:pPr>
              <w:spacing w:before="0" w:after="0" w:line="264" w:lineRule="auto"/>
            </w:pPr>
            <w:r>
              <w:rPr>
                <w:rFonts w:ascii="Aptos Display" w:hAnsi="Aptos Display" w:cs="Aptos Display" w:eastAsia="Aptos Display"/>
                <w:b/>
                <w:i w:val="0"/>
                <w:color w:val="D7E6F5"/>
                <w:sz w:val="30"/>
              </w:rPr>
              <w:t>6</w:t>
            </w:r>
          </w:p>
        </w:tc>
        <w:tc>
          <w:tcPr>
            <w:tcW w:type="dxa" w:w="8683"/>
            <w:tcMar>
              <w:top w:w="0" w:type="dxa"/>
              <w:start w:w="0" w:type="dxa"/>
              <w:bottom w:w="0" w:type="dxa"/>
              <w:end w:w="0" w:type="dxa"/>
            </w:tcMar>
            <w:tcBorders>
              <w:top w:val="nil"/>
              <w:left w:val="nil"/>
              <w:bottom w:val="single" w:sz="4" w:space="0" w:color="EDF1F5"/>
              <w:right w:val="nil"/>
            </w:tcBorders>
            <w:tcMar>
              <w:top w:w="80" w:type="dxa"/>
              <w:start w:w="0" w:type="dxa"/>
              <w:bottom w:w="220" w:type="dxa"/>
              <w:end w:w="0" w:type="dxa"/>
            </w:tcMar>
          </w:tcPr>
          <w:p>
            <w:pPr>
              <w:spacing w:before="0" w:after="0" w:line="312" w:lineRule="auto"/>
            </w:pPr>
            <w:r>
              <w:rPr>
                <w:rFonts w:ascii="Aptos" w:hAnsi="Aptos" w:cs="Aptos" w:eastAsia="Aptos"/>
                <w:b w:val="0"/>
                <w:i w:val="0"/>
                <w:color w:val="2A2A2A"/>
                <w:sz w:val="20"/>
              </w:rPr>
              <w:t xml:space="preserve">Zhang, S.; Zheng, Y.; An, H.; Aguila, B.; Yang, C.-X.; Dong, Y.; Xie, W.; Cheng, P.; Zhang, Z.; Chen, Y.; </w:t>
            </w:r>
            <w:r>
              <w:rPr>
                <w:rFonts w:ascii="Aptos" w:hAnsi="Aptos" w:cs="Aptos" w:eastAsia="Aptos"/>
                <w:b/>
                <w:i w:val="0"/>
                <w:color w:val="2A2A2A"/>
                <w:sz w:val="20"/>
              </w:rPr>
              <w:t>Ma, S.</w:t>
            </w:r>
            <w:r>
              <w:rPr>
                <w:rFonts w:ascii="Aptos" w:hAnsi="Aptos" w:cs="Aptos" w:eastAsia="Aptos"/>
                <w:b w:val="0"/>
                <w:i w:val="0"/>
                <w:color w:val="2A2A2A"/>
                <w:sz w:val="20"/>
              </w:rPr>
              <w:t xml:space="preserve"> </w:t>
            </w:r>
            <w:r>
              <w:rPr>
                <w:rFonts w:ascii="Aptos" w:hAnsi="Aptos" w:cs="Aptos" w:eastAsia="Aptos"/>
                <w:b/>
                <w:i w:val="0"/>
                <w:color w:val="2A2A2A"/>
                <w:sz w:val="20"/>
              </w:rPr>
              <w:t>Covalent Organic Frameworks with Chirality Enriched by Biomolecules for Efficient Chiral Separation.</w:t>
            </w:r>
            <w:r>
              <w:rPr>
                <w:rFonts w:ascii="Aptos" w:hAnsi="Aptos" w:cs="Aptos" w:eastAsia="Aptos"/>
                <w:b w:val="0"/>
                <w:i w:val="0"/>
                <w:color w:val="2A2A2A"/>
                <w:sz w:val="20"/>
              </w:rPr>
              <w:t xml:space="preserve"> </w:t>
            </w:r>
            <w:r>
              <w:rPr>
                <w:rFonts w:ascii="Aptos" w:hAnsi="Aptos" w:cs="Aptos" w:eastAsia="Aptos"/>
                <w:b w:val="0"/>
                <w:i/>
                <w:color w:val="2A2A2A"/>
                <w:sz w:val="20"/>
              </w:rPr>
              <w:t>Angewandte Chemie International Edition</w:t>
            </w:r>
            <w:r>
              <w:rPr>
                <w:rFonts w:ascii="Aptos" w:hAnsi="Aptos" w:cs="Aptos" w:eastAsia="Aptos"/>
                <w:b w:val="0"/>
                <w:i w:val="0"/>
                <w:color w:val="2A2A2A"/>
                <w:sz w:val="20"/>
              </w:rPr>
              <w:t xml:space="preserve"> 2018, 57 (51), 16754-16759.</w:t>
            </w:r>
          </w:p>
          <w:p>
            <w:pPr>
              <w:spacing w:before="80" w:after="0" w:line="288" w:lineRule="auto"/>
            </w:pPr>
            <w:r>
              <w:rPr>
                <w:rFonts w:ascii="Aptos Display" w:hAnsi="Aptos Display" w:cs="Aptos Display" w:eastAsia="Aptos Display"/>
                <w:b/>
                <w:i w:val="0"/>
                <w:color w:val="045AA9"/>
                <w:sz w:val="17"/>
              </w:rPr>
              <w:t>DOI 10.1002/anie.201810571  ·  PMID 30359485</w:t>
            </w:r>
          </w:p>
          <w:p>
            <w:pPr>
              <w:spacing w:before="100" w:after="0" w:line="312" w:lineRule="auto"/>
              <w:ind w:left="200"/>
              <w:pBdr>
                <w:left w:val="single" w:sz="8" w:space="6" w:color="E3E8EF"/>
              </w:pBdr>
            </w:pPr>
            <w:r>
              <w:rPr>
                <w:rFonts w:ascii="Aptos" w:hAnsi="Aptos" w:cs="Aptos" w:eastAsia="Aptos"/>
                <w:b w:val="0"/>
                <w:i w:val="0"/>
                <w:color w:val="4A5561"/>
                <w:sz w:val="19"/>
              </w:rPr>
              <w:t>Covalent immobilization of enzymes and other biomolecules into covalent organic frameworks with function retained, from the same group.</w:t>
            </w:r>
          </w:p>
        </w:tc>
      </w:tr>
    </w:tbl>
    <w:p>
      <w:pPr>
        <w:spacing w:before="0" w:after="10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5184"/>
            <w:tcBorders>
              <w:top w:val="nil"/>
              <w:left w:val="nil"/>
              <w:bottom w:val="nil"/>
              <w:right w:val="nil"/>
            </w:tcBorders>
            <w:tcMar>
              <w:top w:w="0" w:type="dxa"/>
              <w:start w:w="0" w:type="dxa"/>
              <w:bottom w:w="0" w:type="dxa"/>
              <w:end w:w="0" w:type="dxa"/>
            </w:tcMar>
            <w:shd w:val="clear" w:color="auto" w:fill="045AA9"/>
            <w:tcMar>
              <w:top w:w="100" w:type="dxa"/>
              <w:start w:w="200" w:type="dxa"/>
              <w:bottom w:w="100" w:type="dxa"/>
              <w:end w:w="200" w:type="dxa"/>
            </w:tcMar>
          </w:tcPr>
          <w:p>
            <w:pPr>
              <w:spacing w:before="0" w:after="0" w:line="264" w:lineRule="auto"/>
            </w:pPr>
            <w:r>
              <w:rPr>
                <w:rFonts w:ascii="Aptos Display" w:hAnsi="Aptos Display" w:cs="Aptos Display" w:eastAsia="Aptos Display"/>
                <w:b/>
                <w:i w:val="0"/>
                <w:color w:val="FFFFFF"/>
                <w:sz w:val="19"/>
                <w:spacing w:val="24"/>
              </w:rPr>
              <w:t>PLASTIBIOFUEL INTELLECTUAL PROPERTY</w:t>
            </w:r>
          </w:p>
        </w:tc>
        <w:tc>
          <w:tcPr>
            <w:tcW w:type="dxa" w:w="4176"/>
            <w:tcBorders>
              <w:top w:val="nil"/>
              <w:left w:val="nil"/>
              <w:bottom w:val="nil"/>
              <w:right w:val="nil"/>
            </w:tcBorders>
            <w:tcMar>
              <w:top w:w="0" w:type="dxa"/>
              <w:start w:w="0" w:type="dxa"/>
              <w:bottom w:w="0" w:type="dxa"/>
              <w:end w:w="0" w:type="dxa"/>
            </w:tcMar>
            <w:tcMar>
              <w:top w:w="120" w:type="dxa"/>
              <w:start w:w="240" w:type="dxa"/>
              <w:bottom w:w="100" w:type="dxa"/>
              <w:end w:w="0" w:type="dxa"/>
            </w:tcMar>
          </w:tcPr>
          <w:p>
            <w:pPr>
              <w:spacing w:before="0" w:after="0" w:line="264" w:lineRule="auto"/>
              <w:jc w:val="right"/>
            </w:pPr>
          </w:p>
        </w:tc>
      </w:tr>
    </w:tbl>
    <w:p>
      <w:pPr>
        <w:spacing w:before="0" w:after="16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77"/>
            <w:tcMar>
              <w:top w:w="0" w:type="dxa"/>
              <w:start w:w="0" w:type="dxa"/>
              <w:bottom w:w="0" w:type="dxa"/>
              <w:end w:w="0" w:type="dxa"/>
            </w:tcMar>
            <w:tcBorders>
              <w:top w:val="nil"/>
              <w:left w:val="nil"/>
              <w:bottom w:val="single" w:sz="4" w:space="0" w:color="EDF1F5"/>
              <w:right w:val="nil"/>
            </w:tcBorders>
            <w:tcMar>
              <w:top w:w="80" w:type="dxa"/>
              <w:start w:w="0" w:type="dxa"/>
              <w:bottom w:w="220" w:type="dxa"/>
              <w:end w:w="0" w:type="dxa"/>
            </w:tcMar>
          </w:tcPr>
          <w:p>
            <w:pPr>
              <w:spacing w:before="0" w:after="0" w:line="264" w:lineRule="auto"/>
            </w:pPr>
            <w:r>
              <w:rPr>
                <w:rFonts w:ascii="Aptos Display" w:hAnsi="Aptos Display" w:cs="Aptos Display" w:eastAsia="Aptos Display"/>
                <w:b/>
                <w:i w:val="0"/>
                <w:color w:val="D7E6F5"/>
                <w:sz w:val="30"/>
              </w:rPr>
              <w:t>7</w:t>
            </w:r>
          </w:p>
        </w:tc>
        <w:tc>
          <w:tcPr>
            <w:tcW w:type="dxa" w:w="8683"/>
            <w:tcMar>
              <w:top w:w="0" w:type="dxa"/>
              <w:start w:w="0" w:type="dxa"/>
              <w:bottom w:w="0" w:type="dxa"/>
              <w:end w:w="0" w:type="dxa"/>
            </w:tcMar>
            <w:tcBorders>
              <w:top w:val="nil"/>
              <w:left w:val="nil"/>
              <w:bottom w:val="single" w:sz="4" w:space="0" w:color="EDF1F5"/>
              <w:right w:val="nil"/>
            </w:tcBorders>
            <w:tcMar>
              <w:top w:w="80" w:type="dxa"/>
              <w:start w:w="0" w:type="dxa"/>
              <w:bottom w:w="220" w:type="dxa"/>
              <w:end w:w="0" w:type="dxa"/>
            </w:tcMar>
          </w:tcPr>
          <w:p>
            <w:pPr>
              <w:spacing w:before="0" w:after="0" w:line="312" w:lineRule="auto"/>
            </w:pPr>
            <w:r>
              <w:rPr>
                <w:rFonts w:ascii="Aptos" w:hAnsi="Aptos" w:cs="Aptos" w:eastAsia="Aptos"/>
                <w:b w:val="0"/>
                <w:i w:val="0"/>
                <w:color w:val="2A2A2A"/>
                <w:sz w:val="20"/>
              </w:rPr>
              <w:t xml:space="preserve">Ward, M. D. </w:t>
            </w:r>
            <w:r>
              <w:rPr>
                <w:rFonts w:ascii="Aptos" w:hAnsi="Aptos" w:cs="Aptos" w:eastAsia="Aptos"/>
                <w:b/>
                <w:i w:val="0"/>
                <w:color w:val="2A2A2A"/>
                <w:sz w:val="20"/>
              </w:rPr>
              <w:t>U.S. Provisional Patent Application 63/848,456</w:t>
            </w:r>
            <w:r>
              <w:rPr>
                <w:rFonts w:ascii="Aptos" w:hAnsi="Aptos" w:cs="Aptos" w:eastAsia="Aptos"/>
                <w:b w:val="0"/>
                <w:i w:val="0"/>
                <w:color w:val="2A2A2A"/>
                <w:sz w:val="20"/>
              </w:rPr>
              <w:t>, filed July 2025.</w:t>
            </w:r>
          </w:p>
          <w:p>
            <w:pPr>
              <w:spacing w:before="100" w:after="0" w:line="312" w:lineRule="auto"/>
              <w:ind w:left="200"/>
              <w:pBdr>
                <w:left w:val="single" w:sz="8" w:space="6" w:color="E3E8EF"/>
              </w:pBdr>
            </w:pPr>
            <w:r>
              <w:rPr>
                <w:rFonts w:ascii="Aptos" w:hAnsi="Aptos" w:cs="Aptos" w:eastAsia="Aptos"/>
                <w:b w:val="0"/>
                <w:i w:val="0"/>
                <w:color w:val="4A5561"/>
                <w:sz w:val="19"/>
              </w:rPr>
              <w:t>Covers covalent organic framework immobilization, spiral-flow reactor geometry, and the integrated depolymerization-to-ethanol process.</w:t>
            </w:r>
          </w:p>
        </w:tc>
      </w:tr>
    </w:tbl>
    <w:p>
      <w:pPr>
        <w:spacing w:before="0" w:after="100" w:line="240" w:lineRule="auto"/>
      </w:pPr>
    </w:p>
    <w:tbl>
      <w:tblPr>
        <w:tblW w:type="auto" w:w="0"/>
        <w:jc w:val="left"/>
        <w:tblLayout w:type="fixed"/>
        <w:tblLook w:firstColumn="1" w:firstRow="1" w:lastColumn="0" w:lastRow="0" w:noHBand="0" w:noVBand="1" w:val="04A0"/>
        <w:tblInd w:w="0" w:type="dxa"/>
        <w:tblLayout w:type="fixed"/>
      </w:tblPr>
      <w:tblGrid>
        <w:gridCol w:w="9360"/>
      </w:tblGrid>
      <w:tr>
        <w:tc>
          <w:tcPr>
            <w:tcW w:type="dxa" w:w="9360"/>
            <w:tcBorders>
              <w:top w:val="nil"/>
              <w:left w:val="nil"/>
              <w:bottom w:val="nil"/>
              <w:right w:val="nil"/>
            </w:tcBorders>
            <w:tcMar>
              <w:top w:w="0" w:type="dxa"/>
              <w:start w:w="0" w:type="dxa"/>
              <w:bottom w:w="0" w:type="dxa"/>
              <w:end w:w="0" w:type="dxa"/>
            </w:tcMar>
            <w:shd w:val="clear" w:color="auto" w:fill="F2F7FC"/>
            <w:tcMar>
              <w:top w:w="220" w:type="dxa"/>
              <w:start w:w="360" w:type="dxa"/>
              <w:bottom w:w="220" w:type="dxa"/>
              <w:end w:w="360" w:type="dxa"/>
            </w:tcMar>
          </w:tcPr>
          <w:p>
            <w:pPr>
              <w:spacing w:before="0" w:after="0" w:line="276" w:lineRule="auto"/>
            </w:pPr>
            <w:r>
              <w:rPr>
                <w:rFonts w:ascii="Aptos Display" w:hAnsi="Aptos Display" w:cs="Aptos Display" w:eastAsia="Aptos Display"/>
                <w:b/>
                <w:i w:val="0"/>
                <w:color w:val="045AA9"/>
                <w:sz w:val="17"/>
                <w:spacing w:val="24"/>
              </w:rPr>
              <w:t>VERIFICATION</w:t>
            </w:r>
          </w:p>
          <w:p>
            <w:pPr>
              <w:spacing w:before="100" w:after="0" w:line="317" w:lineRule="auto"/>
              <w:ind w:left="200"/>
              <w:pBdr>
                <w:left w:val="single" w:sz="12" w:space="6" w:color="045AA9"/>
              </w:pBdr>
            </w:pPr>
            <w:r>
              <w:rPr>
                <w:rFonts w:ascii="Aptos" w:hAnsi="Aptos" w:cs="Aptos" w:eastAsia="Aptos"/>
                <w:b w:val="0"/>
                <w:i w:val="0"/>
                <w:color w:val="2A2A2A"/>
                <w:sz w:val="20"/>
              </w:rPr>
              <w:t>References 1 through 6 were retrieved from PubMed and verified on August 22, 2026.</w:t>
            </w:r>
          </w:p>
        </w:tc>
      </w:tr>
    </w:tbl>
    <w:p>
      <w:pPr>
        <w:spacing w:before="0" w:after="20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192"/>
            <w:tcMar>
              <w:top w:w="0" w:type="dxa"/>
              <w:start w:w="0" w:type="dxa"/>
              <w:bottom w:w="0" w:type="dxa"/>
              <w:end w:w="0" w:type="dxa"/>
            </w:tcMar>
            <w:tcBorders>
              <w:top w:val="single" w:sz="6" w:space="0" w:color="E3E8EF"/>
              <w:left w:val="nil"/>
              <w:bottom w:val="nil"/>
              <w:right w:val="nil"/>
            </w:tcBorders>
            <w:tcMar>
              <w:top w:w="140" w:type="dxa"/>
              <w:start w:w="0" w:type="dxa"/>
              <w:bottom w:w="0" w:type="dxa"/>
              <w:end w:w="0" w:type="dxa"/>
            </w:tcMar>
          </w:tcPr>
          <w:p>
            <w:pPr>
              <w:spacing w:before="0" w:after="0" w:line="300" w:lineRule="auto"/>
            </w:pPr>
            <w:r>
              <w:rPr>
                <w:rFonts w:ascii="Aptos" w:hAnsi="Aptos" w:cs="Aptos" w:eastAsia="Aptos"/>
                <w:b w:val="0"/>
                <w:i w:val="0"/>
                <w:color w:val="6B7684"/>
                <w:sz w:val="16"/>
              </w:rPr>
              <w:t>PlastiBioFuel LLC  ·  michael@plastibiofuel.com  ·  817-319-7383</w:t>
            </w:r>
          </w:p>
        </w:tc>
        <w:tc>
          <w:tcPr>
            <w:tcW w:type="dxa" w:w="3168"/>
            <w:tcMar>
              <w:top w:w="0" w:type="dxa"/>
              <w:start w:w="0" w:type="dxa"/>
              <w:bottom w:w="0" w:type="dxa"/>
              <w:end w:w="0" w:type="dxa"/>
            </w:tcMar>
            <w:tcBorders>
              <w:top w:val="single" w:sz="6" w:space="0" w:color="E3E8EF"/>
              <w:left w:val="nil"/>
              <w:bottom w:val="nil"/>
              <w:right w:val="nil"/>
            </w:tcBorders>
            <w:tcMar>
              <w:top w:w="140" w:type="dxa"/>
              <w:start w:w="0" w:type="dxa"/>
              <w:bottom w:w="0" w:type="dxa"/>
              <w:end w:w="0" w:type="dxa"/>
            </w:tcMar>
          </w:tcPr>
          <w:p>
            <w:pPr>
              <w:spacing w:before="0" w:after="0" w:line="300" w:lineRule="auto"/>
              <w:jc w:val="right"/>
            </w:pPr>
            <w:r>
              <w:rPr>
                <w:rFonts w:ascii="Aptos" w:hAnsi="Aptos" w:cs="Aptos" w:eastAsia="Aptos"/>
                <w:b w:val="0"/>
                <w:i w:val="0"/>
                <w:color w:val="6B7684"/>
                <w:sz w:val="16"/>
              </w:rPr>
              <w:t>UEI KQAWZ54RDUM8  ·  CAGE 175D6</w:t>
            </w:r>
          </w:p>
        </w:tc>
      </w:tr>
    </w:tbl>
    <w:sectPr w:rsidR="00FC693F" w:rsidRPr="0006063C" w:rsidSect="00034616">
      <w:pgSz w:w="12240" w:h="15840"/>
      <w:pgMar w:top="792"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Aptos" w:hAnsi="Aptos" w:cs="Aptos" w:eastAsia="Aptos"/>
      <w:rFonts w:ascii="Aptos" w:hAnsi="Aptos"/>
      <w:color w:val="2A2A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