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Ind w:w="-1440" w:type="dxa"/>
        <w:tblLayout w:type="fixed"/>
      </w:tblPr>
      <w:tblGrid>
        <w:gridCol w:w="4680"/>
        <w:gridCol w:w="4680"/>
      </w:tblGrid>
      <w:tr>
        <w:tc>
          <w:tcPr>
            <w:tcW w:type="dxa" w:w="6120"/>
            <w:tcBorders>
              <w:top w:val="nil"/>
              <w:left w:val="nil"/>
              <w:bottom w:val="nil"/>
              <w:right w:val="nil"/>
            </w:tcBorders>
            <w:tcMar>
              <w:top w:w="0" w:type="dxa"/>
              <w:start w:w="0" w:type="dxa"/>
              <w:bottom w:w="0" w:type="dxa"/>
              <w:end w:w="0" w:type="dxa"/>
            </w:tcMar>
            <w:shd w:val="clear" w:color="auto" w:fill="045AA9"/>
            <w:tcMar>
              <w:top w:w="140" w:type="dxa"/>
              <w:start w:w="1440" w:type="dxa"/>
              <w:bottom w:w="140" w:type="dxa"/>
              <w:end w:w="0" w:type="dxa"/>
            </w:tcMar>
          </w:tcPr>
          <w:p>
            <w:pPr>
              <w:spacing w:before="0" w:after="0" w:line="240" w:lineRule="auto"/>
            </w:pPr>
            <w:r>
              <w:rPr>
                <w:rFonts w:ascii="Aptos Display" w:hAnsi="Aptos Display" w:cs="Aptos Display" w:eastAsia="Aptos Display"/>
                <w:b/>
                <w:i w:val="0"/>
                <w:color w:val="FFFFFF"/>
                <w:sz w:val="22"/>
                <w:spacing w:val="36"/>
              </w:rPr>
              <w:t>PLASTIBIOFUEL</w:t>
            </w:r>
          </w:p>
        </w:tc>
        <w:tc>
          <w:tcPr>
            <w:tcW w:type="dxa" w:w="6120"/>
            <w:tcBorders>
              <w:top w:val="nil"/>
              <w:left w:val="nil"/>
              <w:bottom w:val="nil"/>
              <w:right w:val="nil"/>
            </w:tcBorders>
            <w:tcMar>
              <w:top w:w="0" w:type="dxa"/>
              <w:start w:w="0" w:type="dxa"/>
              <w:bottom w:w="0" w:type="dxa"/>
              <w:end w:w="0" w:type="dxa"/>
            </w:tcMar>
            <w:shd w:val="clear" w:color="auto" w:fill="045AA9"/>
            <w:tcMar>
              <w:top w:w="140" w:type="dxa"/>
              <w:start w:w="0" w:type="dxa"/>
              <w:bottom w:w="140" w:type="dxa"/>
              <w:end w:w="1440" w:type="dxa"/>
            </w:tcMar>
          </w:tcPr>
          <w:p>
            <w:pPr>
              <w:spacing w:before="0" w:after="0" w:line="240" w:lineRule="auto"/>
              <w:jc w:val="right"/>
            </w:pPr>
            <w:r>
              <w:rPr>
                <w:rFonts w:ascii="Aptos Display" w:hAnsi="Aptos Display" w:cs="Aptos Display" w:eastAsia="Aptos Display"/>
                <w:b/>
                <w:i w:val="0"/>
                <w:color w:val="9EC8F0"/>
                <w:sz w:val="16"/>
                <w:spacing w:val="38"/>
              </w:rPr>
              <w:t>PIPELINE TRACKER</w:t>
            </w:r>
          </w:p>
        </w:tc>
      </w:tr>
    </w:tbl>
    <w:tbl>
      <w:tblPr>
        <w:tblW w:type="auto" w:w="0"/>
        <w:jc w:val="left"/>
        <w:tblLayout w:type="fixed"/>
        <w:tblLook w:firstColumn="1" w:firstRow="1" w:lastColumn="0" w:lastRow="0" w:noHBand="0" w:noVBand="1" w:val="04A0"/>
        <w:tblInd w:w="-1440" w:type="dxa"/>
        <w:tblLayout w:type="fixed"/>
      </w:tblPr>
      <w:tblGrid>
        <w:gridCol w:w="9360"/>
      </w:tblGrid>
      <w:tr>
        <w:tc>
          <w:tcPr>
            <w:tcW w:type="dxa" w:w="12240"/>
            <w:tcBorders>
              <w:top w:val="nil"/>
              <w:left w:val="nil"/>
              <w:bottom w:val="nil"/>
              <w:right w:val="nil"/>
            </w:tcBorders>
            <w:tcMar>
              <w:top w:w="0" w:type="dxa"/>
              <w:start w:w="0" w:type="dxa"/>
              <w:bottom w:w="0" w:type="dxa"/>
              <w:end w:w="0" w:type="dxa"/>
            </w:tcMar>
            <w:shd w:val="clear" w:color="auto" w:fill="D50057"/>
            <w:tcMar>
              <w:top w:w="0" w:type="dxa"/>
              <w:start w:w="0" w:type="dxa"/>
              <w:bottom w:w="0" w:type="dxa"/>
              <w:end w:w="0" w:type="dxa"/>
            </w:tcMar>
          </w:tcPr>
          <w:p>
            <w:pPr>
              <w:spacing w:before="0" w:after="0" w:line="240" w:lineRule="auto"/>
            </w:pPr>
            <w:r>
              <w:rPr>
                <w:rFonts w:ascii="Aptos" w:hAnsi="Aptos" w:cs="Aptos" w:eastAsia="Aptos"/>
                <w:b w:val="0"/>
                <w:i w:val="0"/>
                <w:color w:val="2A2A2A"/>
                <w:sz w:val="4"/>
              </w:rPr>
            </w:r>
          </w:p>
        </w:tc>
      </w:tr>
    </w:tbl>
    <w:p>
      <w:pPr>
        <w:spacing w:before="0" w:after="240" w:line="240" w:lineRule="auto"/>
      </w:pPr>
    </w:p>
    <w:p>
      <w:pPr>
        <w:keepNext/>
        <w:spacing w:before="0" w:after="100" w:line="264" w:lineRule="auto"/>
      </w:pPr>
      <w:r>
        <w:rPr>
          <w:rFonts w:ascii="Aptos Display" w:hAnsi="Aptos Display" w:cs="Aptos Display" w:eastAsia="Aptos Display"/>
          <w:b/>
          <w:i w:val="0"/>
          <w:color w:val="045AA9"/>
          <w:sz w:val="18"/>
          <w:spacing w:val="28"/>
        </w:rPr>
        <w:t>PRIVATE CAPITAL AND ACCELERATORS  ·  CATEGORY 5</w:t>
      </w:r>
    </w:p>
    <w:p>
      <w:pPr>
        <w:keepNext/>
        <w:spacing w:before="0" w:after="0" w:line="247" w:lineRule="auto"/>
      </w:pPr>
      <w:r>
        <w:rPr>
          <w:rFonts w:ascii="Aptos Display" w:hAnsi="Aptos Display" w:cs="Aptos Display" w:eastAsia="Aptos Display"/>
          <w:b/>
          <w:i w:val="0"/>
          <w:color w:val="2A2A2A"/>
          <w:sz w:val="56"/>
        </w:rPr>
        <w:t>50 outreaches,</w:t>
      </w:r>
    </w:p>
    <w:p>
      <w:pPr>
        <w:keepNext/>
        <w:spacing w:before="0" w:after="0" w:line="247" w:lineRule="auto"/>
      </w:pPr>
      <w:r>
        <w:rPr>
          <w:rFonts w:ascii="Aptos Display" w:hAnsi="Aptos Display" w:cs="Aptos Display" w:eastAsia="Aptos Display"/>
          <w:b/>
          <w:i w:val="0"/>
          <w:color w:val="2A2A2A"/>
          <w:sz w:val="56"/>
        </w:rPr>
        <w:t>10 chats,</w:t>
      </w:r>
    </w:p>
    <w:p>
      <w:pPr>
        <w:keepNext/>
        <w:spacing w:before="0" w:after="120" w:line="247" w:lineRule="auto"/>
      </w:pPr>
      <w:r>
        <w:rPr>
          <w:rFonts w:ascii="Aptos Display" w:hAnsi="Aptos Display" w:cs="Aptos Display" w:eastAsia="Aptos Display"/>
          <w:b/>
          <w:i w:val="0"/>
          <w:color w:val="2A2A2A"/>
          <w:sz w:val="56"/>
        </w:rPr>
        <w:t>2 to 3 letters</w:t>
      </w:r>
    </w:p>
    <w:p>
      <w:pPr>
        <w:spacing w:before="0" w:after="260" w:line="312" w:lineRule="auto"/>
      </w:pPr>
      <w:r>
        <w:rPr>
          <w:rFonts w:ascii="Aptos" w:hAnsi="Aptos" w:cs="Aptos" w:eastAsia="Aptos"/>
          <w:b w:val="0"/>
          <w:i w:val="0"/>
          <w:color w:val="4A5561"/>
          <w:sz w:val="22"/>
        </w:rPr>
        <w:t>The funnel as stated, with the definitions that make it countable and the current standing. The live copy is PIPELINE.md, which every run updates.</w:t>
      </w:r>
    </w:p>
    <w:tbl>
      <w:tblPr>
        <w:tblW w:type="auto" w:w="0"/>
        <w:jc w:val="left"/>
        <w:tblLayout w:type="fixed"/>
        <w:tblLook w:firstColumn="1" w:firstRow="1" w:lastColumn="0" w:lastRow="0" w:noHBand="0" w:noVBand="1" w:val="04A0"/>
        <w:tblInd w:w="0" w:type="dxa"/>
        <w:tblLayout w:type="fixed"/>
      </w:tblPr>
      <w:tblGrid>
        <w:gridCol w:w="3120"/>
        <w:gridCol w:w="3120"/>
        <w:gridCol w:w="3120"/>
      </w:tblGrid>
      <w:tr>
        <w:tc>
          <w:tcPr>
            <w:tcW w:type="dxa" w:w="3120"/>
            <w:tcMar>
              <w:top w:w="0" w:type="dxa"/>
              <w:start w:w="0" w:type="dxa"/>
              <w:bottom w:w="0" w:type="dxa"/>
              <w:end w:w="0" w:type="dxa"/>
            </w:tcMar>
            <w:tcBorders>
              <w:top w:val="single" w:sz="12" w:space="0" w:color="2A2A2A"/>
              <w:left w:val="nil"/>
              <w:bottom w:val="single" w:sz="6" w:space="0" w:color="E3E8EF"/>
              <w:right w:val="single" w:sz="6" w:space="0" w:color="E3E8EF"/>
            </w:tcBorders>
            <w:tcMar>
              <w:top w:w="160" w:type="dxa"/>
              <w:start w:w="0" w:type="dxa"/>
              <w:bottom w:w="160" w:type="dxa"/>
              <w:end w:w="240" w:type="dxa"/>
            </w:tcMar>
          </w:tcPr>
          <w:p>
            <w:pPr>
              <w:spacing w:before="0" w:after="0" w:line="264" w:lineRule="auto"/>
            </w:pPr>
            <w:r>
              <w:rPr>
                <w:rFonts w:ascii="Aptos Display" w:hAnsi="Aptos Display" w:cs="Aptos Display" w:eastAsia="Aptos Display"/>
                <w:b/>
                <w:i w:val="0"/>
                <w:color w:val="045AA9"/>
                <w:sz w:val="34"/>
              </w:rPr>
              <w:t>50</w:t>
            </w:r>
          </w:p>
          <w:p>
            <w:pPr>
              <w:spacing w:before="80" w:after="0" w:line="264" w:lineRule="auto"/>
            </w:pPr>
            <w:r>
              <w:rPr>
                <w:rFonts w:ascii="Aptos Display" w:hAnsi="Aptos Display" w:cs="Aptos Display" w:eastAsia="Aptos Display"/>
                <w:b/>
                <w:i w:val="0"/>
                <w:color w:val="6B7684"/>
                <w:sz w:val="15"/>
                <w:spacing w:val="22"/>
              </w:rPr>
              <w:t>OUTREACHES</w:t>
            </w:r>
          </w:p>
        </w:tc>
        <w:tc>
          <w:tcPr>
            <w:tcW w:type="dxa" w:w="3120"/>
            <w:tcMar>
              <w:top w:w="0" w:type="dxa"/>
              <w:start w:w="0" w:type="dxa"/>
              <w:bottom w:w="0" w:type="dxa"/>
              <w:end w:w="0" w:type="dxa"/>
            </w:tcMar>
            <w:tcBorders>
              <w:top w:val="single" w:sz="12" w:space="0" w:color="2A2A2A"/>
              <w:left w:val="nil"/>
              <w:bottom w:val="single" w:sz="6" w:space="0" w:color="E3E8EF"/>
              <w:right w:val="single" w:sz="6" w:space="0" w:color="E3E8EF"/>
            </w:tcBorders>
            <w:tcMar>
              <w:top w:w="160" w:type="dxa"/>
              <w:start w:w="240" w:type="dxa"/>
              <w:bottom w:w="160" w:type="dxa"/>
              <w:end w:w="240" w:type="dxa"/>
            </w:tcMar>
          </w:tcPr>
          <w:p>
            <w:pPr>
              <w:spacing w:before="0" w:after="0" w:line="264" w:lineRule="auto"/>
            </w:pPr>
            <w:r>
              <w:rPr>
                <w:rFonts w:ascii="Aptos Display" w:hAnsi="Aptos Display" w:cs="Aptos Display" w:eastAsia="Aptos Display"/>
                <w:b/>
                <w:i w:val="0"/>
                <w:color w:val="045AA9"/>
                <w:sz w:val="34"/>
              </w:rPr>
              <w:t>10</w:t>
            </w:r>
          </w:p>
          <w:p>
            <w:pPr>
              <w:spacing w:before="80" w:after="0" w:line="264" w:lineRule="auto"/>
            </w:pPr>
            <w:r>
              <w:rPr>
                <w:rFonts w:ascii="Aptos Display" w:hAnsi="Aptos Display" w:cs="Aptos Display" w:eastAsia="Aptos Display"/>
                <w:b/>
                <w:i w:val="0"/>
                <w:color w:val="6B7684"/>
                <w:sz w:val="15"/>
                <w:spacing w:val="22"/>
              </w:rPr>
              <w:t>CONVERSATIONS</w:t>
            </w:r>
          </w:p>
        </w:tc>
        <w:tc>
          <w:tcPr>
            <w:tcW w:type="dxa" w:w="3120"/>
            <w:tcMar>
              <w:top w:w="0" w:type="dxa"/>
              <w:start w:w="0" w:type="dxa"/>
              <w:bottom w:w="0" w:type="dxa"/>
              <w:end w:w="0" w:type="dxa"/>
            </w:tcMar>
            <w:tcBorders>
              <w:top w:val="single" w:sz="12" w:space="0" w:color="2A2A2A"/>
              <w:left w:val="nil"/>
              <w:bottom w:val="single" w:sz="6" w:space="0" w:color="E3E8EF"/>
              <w:right w:val="nil"/>
            </w:tcBorders>
            <w:tcMar>
              <w:top w:w="160" w:type="dxa"/>
              <w:start w:w="240" w:type="dxa"/>
              <w:bottom w:w="160" w:type="dxa"/>
              <w:end w:w="240" w:type="dxa"/>
            </w:tcMar>
          </w:tcPr>
          <w:p>
            <w:pPr>
              <w:spacing w:before="0" w:after="0" w:line="264" w:lineRule="auto"/>
            </w:pPr>
            <w:r>
              <w:rPr>
                <w:rFonts w:ascii="Aptos Display" w:hAnsi="Aptos Display" w:cs="Aptos Display" w:eastAsia="Aptos Display"/>
                <w:b/>
                <w:i w:val="0"/>
                <w:color w:val="045AA9"/>
                <w:sz w:val="34"/>
              </w:rPr>
              <w:t>3</w:t>
            </w:r>
          </w:p>
          <w:p>
            <w:pPr>
              <w:spacing w:before="80" w:after="0" w:line="264" w:lineRule="auto"/>
            </w:pPr>
            <w:r>
              <w:rPr>
                <w:rFonts w:ascii="Aptos Display" w:hAnsi="Aptos Display" w:cs="Aptos Display" w:eastAsia="Aptos Display"/>
                <w:b/>
                <w:i w:val="0"/>
                <w:color w:val="6B7684"/>
                <w:sz w:val="15"/>
                <w:spacing w:val="22"/>
              </w:rPr>
              <w:t>PILOTS OR LOIS</w:t>
            </w:r>
          </w:p>
        </w:tc>
      </w:tr>
    </w:tbl>
    <w:p>
      <w:pPr>
        <w:spacing w:before="0" w:after="18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STAGE DEFINITIONS</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So a number means one thing</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Outreach sent</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A written approach left the building, to a named office, person, or firm. Drafted is not sent. An application submitted to a program counts as an outreach as well as an application.</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Reply received</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Any human response that is not an autoresponder.</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Conversation held</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A call, a meeting, or a substantive written exchange. The target of ten.</w:t>
            </w:r>
          </w:p>
        </w:tc>
      </w:tr>
      <w:tr>
        <w:tc>
          <w:tcPr>
            <w:tcW w:type="dxa" w:w="2664"/>
            <w:tcMar>
              <w:top w:w="0" w:type="dxa"/>
              <w:start w:w="0" w:type="dxa"/>
              <w:bottom w:w="0" w:type="dxa"/>
              <w:end w:w="0" w:type="dxa"/>
            </w:tcMar>
            <w:tcBorders>
              <w:top w:val="single" w:sz="6" w:space="0" w:color="E3E8EF"/>
              <w:left w:val="nil"/>
              <w:bottom w:val="single" w:sz="6" w:space="0" w:color="E3E8EF"/>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Pilot or letter of intent</w:t>
            </w:r>
          </w:p>
        </w:tc>
        <w:tc>
          <w:tcPr>
            <w:tcW w:type="dxa" w:w="6696"/>
            <w:tcMar>
              <w:top w:w="0" w:type="dxa"/>
              <w:start w:w="0" w:type="dxa"/>
              <w:bottom w:w="0" w:type="dxa"/>
              <w:end w:w="0" w:type="dxa"/>
            </w:tcMar>
            <w:tcBorders>
              <w:top w:val="single" w:sz="6" w:space="0" w:color="E3E8EF"/>
              <w:left w:val="nil"/>
              <w:bottom w:val="single" w:sz="6" w:space="0" w:color="E3E8EF"/>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A written expression of intent to test, buy, host, fund, or collaborate. The target of two to three. ARG Petro is discussions and is not one of these until something is signed.</w:t>
            </w:r>
          </w:p>
        </w:tc>
      </w:tr>
    </w:tbl>
    <w:p>
      <w:pPr>
        <w:spacing w:before="0" w:after="12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STANDING AS OF THIS RUN</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August 25, 2026</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Written</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8 approaches across two outreach batches, plus 2 accelerator applications drafted here.</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Sent</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0. Five are staged as Gmail drafts and wait on Michael.</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Replies</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0.</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Conversations</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0.</w:t>
            </w:r>
          </w:p>
        </w:tc>
      </w:tr>
      <w:tr>
        <w:tc>
          <w:tcPr>
            <w:tcW w:type="dxa" w:w="2664"/>
            <w:tcMar>
              <w:top w:w="0" w:type="dxa"/>
              <w:start w:w="0" w:type="dxa"/>
              <w:bottom w:w="0" w:type="dxa"/>
              <w:end w:w="0" w:type="dxa"/>
            </w:tcMar>
            <w:tcBorders>
              <w:top w:val="single" w:sz="6" w:space="0" w:color="E3E8EF"/>
              <w:left w:val="nil"/>
              <w:bottom w:val="nil"/>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Pilots or LOIs</w:t>
            </w:r>
          </w:p>
        </w:tc>
        <w:tc>
          <w:tcPr>
            <w:tcW w:type="dxa" w:w="6696"/>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0.</w:t>
            </w:r>
          </w:p>
        </w:tc>
      </w:tr>
      <w:tr>
        <w:tc>
          <w:tcPr>
            <w:tcW w:type="dxa" w:w="2664"/>
            <w:tcMar>
              <w:top w:w="0" w:type="dxa"/>
              <w:start w:w="0" w:type="dxa"/>
              <w:bottom w:w="0" w:type="dxa"/>
              <w:end w:w="0" w:type="dxa"/>
            </w:tcMar>
            <w:tcBorders>
              <w:top w:val="single" w:sz="6" w:space="0" w:color="E3E8EF"/>
              <w:left w:val="nil"/>
              <w:bottom w:val="single" w:sz="6" w:space="0" w:color="E3E8EF"/>
              <w:right w:val="nil"/>
            </w:tcBorders>
            <w:tcMar>
              <w:top w:w="140" w:type="dxa"/>
              <w:start w:w="0" w:type="dxa"/>
              <w:bottom w:w="140" w:type="dxa"/>
              <w:end w:w="280" w:type="dxa"/>
            </w:tcMar>
          </w:tcPr>
          <w:p>
            <w:pPr>
              <w:spacing w:before="0" w:after="0" w:line="288" w:lineRule="auto"/>
            </w:pPr>
            <w:r>
              <w:rPr>
                <w:rFonts w:ascii="Aptos Display" w:hAnsi="Aptos Display" w:cs="Aptos Display" w:eastAsia="Aptos Display"/>
                <w:b/>
                <w:i w:val="0"/>
                <w:color w:val="2A2A2A"/>
                <w:sz w:val="19"/>
              </w:rPr>
              <w:t>Gap to 50</w:t>
            </w:r>
          </w:p>
        </w:tc>
        <w:tc>
          <w:tcPr>
            <w:tcW w:type="dxa" w:w="6696"/>
            <w:tcMar>
              <w:top w:w="0" w:type="dxa"/>
              <w:start w:w="0" w:type="dxa"/>
              <w:bottom w:w="0" w:type="dxa"/>
              <w:end w:w="0" w:type="dxa"/>
            </w:tcMar>
            <w:tcBorders>
              <w:top w:val="single" w:sz="6" w:space="0" w:color="E3E8EF"/>
              <w:left w:val="nil"/>
              <w:bottom w:val="single" w:sz="6" w:space="0" w:color="E3E8EF"/>
              <w:right w:val="nil"/>
            </w:tcBorders>
            <w:tcMar>
              <w:top w:w="140" w:type="dxa"/>
              <w:start w:w="0" w:type="dxa"/>
              <w:bottom w:w="140" w:type="dxa"/>
              <w:end w:w="0" w:type="dxa"/>
            </w:tcMar>
          </w:tcPr>
          <w:p>
            <w:pPr>
              <w:spacing w:before="0" w:after="0" w:line="307" w:lineRule="auto"/>
            </w:pPr>
            <w:r>
              <w:rPr>
                <w:rFonts w:ascii="Aptos" w:hAnsi="Aptos" w:cs="Aptos" w:eastAsia="Aptos"/>
                <w:b w:val="0"/>
                <w:i w:val="0"/>
                <w:color w:val="2A2A2A"/>
                <w:sz w:val="19"/>
              </w:rPr>
              <w:t>42 approaches. At one per loop run this takes into 2027, which is the argument for batching rather than pacing.</w:t>
            </w:r>
          </w:p>
        </w:tc>
      </w:tr>
    </w:tbl>
    <w:p>
      <w:pPr>
        <w:spacing w:before="0" w:after="120" w:line="240" w:lineRule="auto"/>
      </w:pP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Mar>
              <w:top w:w="0" w:type="dxa"/>
              <w:start w:w="0" w:type="dxa"/>
              <w:bottom w:w="0" w:type="dxa"/>
              <w:end w:w="0" w:type="dxa"/>
            </w:tcMar>
            <w:shd w:val="clear" w:color="auto" w:fill="FDF0F5"/>
            <w:tcBorders>
              <w:top w:val="nil"/>
              <w:left w:val="single" w:sz="24" w:space="0" w:color="D50057"/>
              <w:bottom w:val="nil"/>
              <w:right w:val="nil"/>
            </w:tcBorders>
            <w:tcMar>
              <w:top w:w="200" w:type="dxa"/>
              <w:start w:w="320" w:type="dxa"/>
              <w:bottom w:w="200" w:type="dxa"/>
              <w:end w:w="320" w:type="dxa"/>
            </w:tcMar>
          </w:tcPr>
          <w:p>
            <w:pPr>
              <w:spacing w:before="0" w:after="0" w:line="276" w:lineRule="auto"/>
            </w:pPr>
            <w:r>
              <w:rPr>
                <w:rFonts w:ascii="Aptos Display" w:hAnsi="Aptos Display" w:cs="Aptos Display" w:eastAsia="Aptos Display"/>
                <w:b/>
                <w:i w:val="0"/>
                <w:color w:val="D50057"/>
                <w:sz w:val="17"/>
                <w:spacing w:val="24"/>
              </w:rPr>
              <w:t>WHAT THE FUNNEL IMPLIES ABOUT CADENCE</w:t>
            </w:r>
          </w:p>
          <w:p>
            <w:pPr>
              <w:spacing w:before="100" w:after="0" w:line="312" w:lineRule="auto"/>
            </w:pPr>
            <w:r>
              <w:rPr>
                <w:rFonts w:ascii="Aptos" w:hAnsi="Aptos" w:cs="Aptos" w:eastAsia="Aptos"/>
                <w:b w:val="0"/>
                <w:i w:val="0"/>
                <w:color w:val="2A2A2A"/>
                <w:sz w:val="21"/>
              </w:rPr>
              <w:t>Fifty outreaches at one per run is a year of runs. The loop now writes them in batches instead: eight already exist, and the queue can absorb university tech transfer offices, corporate venture arms in chemicals and packaging, waste haulers, and bottlers without changing the format. The constraint is not writing them. The constraint is that none of the eight already written has been sent.</w:t>
            </w:r>
          </w:p>
        </w:tc>
      </w:tr>
    </w:tbl>
    <w:p>
      <w:pPr>
        <w:spacing w:before="0" w:after="2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192"/>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pPr>
            <w:r>
              <w:rPr>
                <w:rFonts w:ascii="Aptos" w:hAnsi="Aptos" w:cs="Aptos" w:eastAsia="Aptos"/>
                <w:b w:val="0"/>
                <w:i w:val="0"/>
                <w:color w:val="6B7684"/>
                <w:sz w:val="16"/>
              </w:rPr>
              <w:t>PlastiBioFuel LLC  ·  12380 Iveson Drive, Haslet, TX 76052  ·  michael@plastibiofuel.com  ·  817-319-7383</w:t>
            </w:r>
          </w:p>
        </w:tc>
        <w:tc>
          <w:tcPr>
            <w:tcW w:type="dxa" w:w="3168"/>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jc w:val="right"/>
            </w:pPr>
            <w:r>
              <w:rPr>
                <w:rFonts w:ascii="Aptos" w:hAnsi="Aptos" w:cs="Aptos" w:eastAsia="Aptos"/>
                <w:b w:val="0"/>
                <w:i w:val="0"/>
                <w:color w:val="6B7684"/>
                <w:sz w:val="16"/>
              </w:rPr>
              <w:t>UEI KQAWZ54RDUM8  ·  CAGE 175D6</w:t>
            </w:r>
          </w:p>
        </w:tc>
      </w:tr>
    </w:tbl>
    <w:sectPr w:rsidR="00FC693F" w:rsidRPr="0006063C" w:rsidSect="00034616">
      <w:pgSz w:w="12240" w:h="15840"/>
      <w:pgMar w:top="79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ptos" w:hAnsi="Aptos" w:cs="Aptos" w:eastAsia="Aptos"/>
      <w:rFonts w:ascii="Aptos" w:hAnsi="Aptos"/>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