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4680"/>
        <w:gridCol w:w="4680"/>
      </w:tblGrid>
      <w:tr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1440" w:type="dxa"/>
              <w:bottom w:w="1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22"/>
                <w:spacing w:val="36"/>
              </w:rPr>
              <w:t>PLASTIBIOFUEL</w:t>
            </w:r>
          </w:p>
        </w:tc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0" w:type="dxa"/>
              <w:bottom w:w="140" w:type="dxa"/>
              <w:end w:w="14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9EC8F0"/>
                <w:sz w:val="16"/>
                <w:spacing w:val="38"/>
              </w:rPr>
              <w:t>CAPABILITY SNAPSHOT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9360"/>
      </w:tblGrid>
      <w:tr>
        <w:tc>
          <w:tcPr>
            <w:tcW w:type="dxa" w:w="122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D500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4"/>
              </w:rPr>
            </w:r>
          </w:p>
        </w:tc>
      </w:tr>
    </w:tbl>
    <w:p>
      <w:pPr>
        <w:spacing w:before="0" w:after="240" w:line="240" w:lineRule="auto"/>
      </w:pPr>
    </w:p>
    <w:p>
      <w:pPr>
        <w:keepNext/>
        <w:spacing w:before="0" w:after="100" w:line="264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18"/>
          <w:spacing w:val="28"/>
        </w:rPr>
        <w:t>PLASTIBIOFUEL LLC  ·  HASLET, TEXAS</w:t>
      </w:r>
    </w:p>
    <w:p>
      <w:pPr>
        <w:keepNext/>
        <w:spacing w:before="0" w:after="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Post-consumer PET</w:t>
      </w:r>
    </w:p>
    <w:p>
      <w:pPr>
        <w:keepNext/>
        <w:spacing w:before="0" w:after="12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to chemicals</w:t>
      </w:r>
    </w:p>
    <w:p>
      <w:pPr>
        <w:spacing w:before="0" w:after="260" w:line="312" w:lineRule="auto"/>
      </w:pPr>
      <w:r>
        <w:rPr>
          <w:rFonts w:ascii="Aptos" w:hAnsi="Aptos" w:cs="Aptos" w:eastAsia="Aptos"/>
          <w:b w:val="0"/>
          <w:i w:val="0"/>
          <w:color w:val="4A5561"/>
          <w:sz w:val="22"/>
        </w:rPr>
        <w:t>One page, written to be forwarded. Every number on it traces to a signed independent report.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0" w:type="dxa"/>
              <w:bottom w:w="160" w:type="dxa"/>
              <w:end w:w="24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34"/>
              </w:rPr>
              <w:t>122</w:t>
            </w:r>
          </w:p>
          <w:p>
            <w:pPr>
              <w:spacing w:before="8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MICROMOL/H/MG TURNOVER, IMMOBILIZED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34"/>
              </w:rPr>
              <w:t>3</w:t>
            </w:r>
          </w:p>
          <w:p>
            <w:pPr>
              <w:spacing w:before="8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MILESTONES CLOSED EARLY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nil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34"/>
              </w:rPr>
              <w:t>1</w:t>
            </w:r>
          </w:p>
          <w:p>
            <w:pPr>
              <w:spacing w:before="8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PROVISIONAL PATENT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ENTITY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PlastiBioFuel LLC. UEI KQAWZ54RDUM8, CAGE 175D6. Service-disabled veteran-owned small business, certified and active in SAM.gov.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NAICS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325199 other basic organic chemical manufacturing; 325193 ethyl alcohol manufacturing; 541715 research and development.</w:t>
            </w:r>
          </w:p>
        </w:tc>
      </w:tr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WHAT WE DO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A PET hydrolase immobilized in a covalent organic framework depolymerizes post-consumer PET. A continuous spiral-flow reactor, designed in simulation, is the intended production form.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RESEARCH PARTNER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University of North Texas, Prof. Shengqian Ma, under Sponsored Research Agreement SRA1016. Framework and immobilization chemistry.</w:t>
            </w:r>
          </w:p>
        </w:tc>
      </w:tr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INTELLECTUAL PROPERTY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USPTO provisional application 63/848,456, filed July 2025. Framework immobilization, spiral-flow reactor geometry, and the integrated process.</w:t>
            </w:r>
          </w:p>
        </w:tc>
        <w:tc>
          <w:tcPr>
            <w:tcW w:type="dxa" w:w="4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0" w:after="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19"/>
                <w:spacing w:val="24"/>
              </w:rPr>
              <w:t>ESTABLISHED BY INDEPENDENT REPORT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120" w:type="dxa"/>
              <w:start w:w="240" w:type="dxa"/>
              <w:bottom w:w="100" w:type="dxa"/>
              <w:end w:w="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8"/>
              </w:rPr>
              <w:t>UNT Final Project Report, Phase I, signed 2026-08-07</w:t>
            </w: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664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28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19"/>
              </w:rPr>
              <w:t>Depolymerization confirmed</w:t>
            </w:r>
          </w:p>
        </w:tc>
        <w:tc>
          <w:tcPr>
            <w:tcW w:type="dxa" w:w="669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Free FAST-PETase breaks real post-consumer water bottle PET down to terephthalic acid, confirmed by HPLC against standards.</w:t>
            </w:r>
          </w:p>
        </w:tc>
      </w:tr>
      <w:tr>
        <w:tc>
          <w:tcPr>
            <w:tcW w:type="dxa" w:w="2664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28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19"/>
              </w:rPr>
              <w:t>Immobilization confirmed</w:t>
            </w:r>
          </w:p>
        </w:tc>
        <w:tc>
          <w:tcPr>
            <w:tcW w:type="dxa" w:w="669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The enzyme loads into a TAPB-BPDA-COF with no protein detectable in the supernatant at 280 nm.</w:t>
            </w:r>
          </w:p>
        </w:tc>
      </w:tr>
      <w:tr>
        <w:tc>
          <w:tcPr>
            <w:tcW w:type="dxa" w:w="2664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28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19"/>
              </w:rPr>
              <w:t>Activity retained</w:t>
            </w:r>
          </w:p>
        </w:tc>
        <w:tc>
          <w:tcPr>
            <w:tcW w:type="dxa" w:w="669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Immobilized turnover measured 122 micromol per hour per milligram at 24 hours, against a 246 to 348 literature range for the free enzyme.</w:t>
            </w:r>
          </w:p>
        </w:tc>
      </w:tr>
      <w:tr>
        <w:tc>
          <w:tcPr>
            <w:tcW w:type="dxa" w:w="2664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28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19"/>
              </w:rPr>
              <w:t>Bottleneck identified</w:t>
            </w:r>
          </w:p>
        </w:tc>
        <w:tc>
          <w:tcPr>
            <w:tcW w:type="dxa" w:w="669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The laboratory attributes that gap to mass transfer down the framework channel rather than to loss of enzyme activity. Transport is what reactor geometry decides.</w:t>
            </w:r>
          </w:p>
        </w:tc>
      </w:tr>
      <w:tr>
        <w:tc>
          <w:tcPr>
            <w:tcW w:type="dxa" w:w="2664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single" w:sz="6" w:space="0" w:color="E3E8EF"/>
              <w:right w:val="nil"/>
            </w:tcBorders>
            <w:tcMar>
              <w:top w:w="140" w:type="dxa"/>
              <w:start w:w="0" w:type="dxa"/>
              <w:bottom w:w="140" w:type="dxa"/>
              <w:end w:w="28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19"/>
              </w:rPr>
              <w:t>Schedule</w:t>
            </w:r>
          </w:p>
        </w:tc>
        <w:tc>
          <w:tcPr>
            <w:tcW w:type="dxa" w:w="669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single" w:sz="6" w:space="0" w:color="E3E8EF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Three milestones completed ahead of schedule.</w:t>
            </w:r>
          </w:p>
        </w:tc>
      </w:tr>
    </w:tbl>
    <w:p>
      <w:pPr>
        <w:spacing w:before="0" w:after="12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19"/>
                <w:spacing w:val="24"/>
              </w:rPr>
              <w:t>NOT YET ESTABLISHED, STATED PLAINLY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120" w:type="dxa"/>
              <w:start w:w="240" w:type="dxa"/>
              <w:bottom w:w="100" w:type="dxa"/>
              <w:end w:w="0" w:type="dxa"/>
            </w:tcMar>
          </w:tcPr>
          <w:p>
            <w:pPr>
              <w:spacing w:before="0" w:after="0" w:line="264" w:lineRule="auto"/>
              <w:jc w:val="right"/>
            </w:pP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664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28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19"/>
              </w:rPr>
              <w:t>No reactor built</w:t>
            </w:r>
          </w:p>
        </w:tc>
        <w:tc>
          <w:tcPr>
            <w:tcW w:type="dxa" w:w="669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The spiral-flow reactor exists as a validated model. The report lists vessel shape and size as future work.</w:t>
            </w:r>
          </w:p>
        </w:tc>
      </w:tr>
      <w:tr>
        <w:tc>
          <w:tcPr>
            <w:tcW w:type="dxa" w:w="2664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28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19"/>
              </w:rPr>
              <w:t>No ethanol produced</w:t>
            </w:r>
          </w:p>
        </w:tc>
        <w:tc>
          <w:tcPr>
            <w:tcW w:type="dxa" w:w="669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The route from monomer to fuel-grade ethanol is the objective and has not been demonstrated.</w:t>
            </w:r>
          </w:p>
        </w:tc>
      </w:tr>
      <w:tr>
        <w:tc>
          <w:tcPr>
            <w:tcW w:type="dxa" w:w="2664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28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19"/>
              </w:rPr>
              <w:t>No offtake executed</w:t>
            </w:r>
          </w:p>
        </w:tc>
        <w:tc>
          <w:tcPr>
            <w:tcW w:type="dxa" w:w="669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Commercial offtake is in discussion. There is no signed letter of intent and no executed agreement.</w:t>
            </w:r>
          </w:p>
        </w:tc>
      </w:tr>
      <w:tr>
        <w:tc>
          <w:tcPr>
            <w:tcW w:type="dxa" w:w="2664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single" w:sz="6" w:space="0" w:color="E3E8EF"/>
              <w:right w:val="nil"/>
            </w:tcBorders>
            <w:tcMar>
              <w:top w:w="140" w:type="dxa"/>
              <w:start w:w="0" w:type="dxa"/>
              <w:bottom w:w="140" w:type="dxa"/>
              <w:end w:w="28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19"/>
              </w:rPr>
              <w:t>Fuel credits unqualified</w:t>
            </w:r>
          </w:p>
        </w:tc>
        <w:tc>
          <w:tcPr>
            <w:tcW w:type="dxa" w:w="669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single" w:sz="6" w:space="0" w:color="E3E8EF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Any renewable fuel credit eligibility remains subject to final pathway qualification.</w:t>
            </w:r>
          </w:p>
        </w:tc>
      </w:tr>
    </w:tbl>
    <w:p>
      <w:pPr>
        <w:spacing w:before="0" w:after="12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2F7FC"/>
            <w:tcMar>
              <w:top w:w="220" w:type="dxa"/>
              <w:start w:w="360" w:type="dxa"/>
              <w:bottom w:w="220" w:type="dxa"/>
              <w:end w:w="360" w:type="dxa"/>
            </w:tcMar>
          </w:tcPr>
          <w:p>
            <w:pPr>
              <w:spacing w:before="0" w:after="0" w:line="276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7"/>
                <w:spacing w:val="24"/>
              </w:rPr>
              <w:t>WHAT WE ARE LOOKING FOR</w:t>
            </w:r>
          </w:p>
          <w:p>
            <w:pPr>
              <w:spacing w:before="100" w:after="0" w:line="317" w:lineRule="auto"/>
              <w:ind w:left="200"/>
              <w:pBdr>
                <w:left w:val="single" w:sz="12" w:space="6" w:color="045AA9"/>
              </w:pBdr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>Partners and programs in chemicals from waste feedstocks, pre-pilot reactor capacity, and downstream separations. First-time federal applicant, prepared to work as prime or subrecipient.</w:t>
            </w:r>
          </w:p>
        </w:tc>
      </w:tr>
    </w:tbl>
    <w:p>
      <w:pPr>
        <w:spacing w:before="0" w:after="2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19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PlastiBioFuel LLC  ·  12380 Iveson Drive, Haslet, TX 76052  ·  michael@plastibiofuel.com  ·  817-319-7383</w:t>
            </w:r>
          </w:p>
        </w:tc>
        <w:tc>
          <w:tcPr>
            <w:tcW w:type="dxa" w:w="316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  <w:jc w:val="right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UEI KQAWZ54RDUM8  ·  CAGE 175D6</w:t>
            </w:r>
          </w:p>
        </w:tc>
      </w:tr>
    </w:tbl>
    <w:sectPr w:rsidR="00FC693F" w:rsidRPr="0006063C" w:rsidSect="00034616">
      <w:pgSz w:w="12240" w:h="15840"/>
      <w:pgMar w:top="79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Aptos" w:hAnsi="Aptos" w:cs="Aptos" w:eastAsia="Aptos"/>
      <w:rFonts w:ascii="Aptos" w:hAnsi="Aptos"/>
      <w:color w:val="2A2A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