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 w:cs="Calibri" w:eastAsia="Calibri"/>
          <w:b/>
          <w:color w:val="045AA9"/>
          <w:sz w:val="40"/>
        </w:rPr>
        <w:t>Opportunity Brief</w:t>
      </w:r>
    </w:p>
    <w:p>
      <w:pPr>
        <w:spacing w:after="240"/>
      </w:pPr>
      <w:r>
        <w:rPr>
          <w:rFonts w:ascii="Calibri" w:hAnsi="Calibri" w:cs="Calibri" w:eastAsia="Calibri"/>
          <w:b/>
          <w:color w:val="D50057"/>
          <w:sz w:val="21"/>
        </w:rPr>
        <w:t>DOE SBIR/STTR FY26 Phase I, Genesis Mission | Pitch due September 10, 2026, 2:00 PM ET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8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b/>
                <w:color w:val="045AA9"/>
                <w:sz w:val="20"/>
              </w:rPr>
              <w:t>Field</w:t>
            </w:r>
          </w:p>
        </w:tc>
        <w:tc>
          <w:tcPr>
            <w:tcW w:type="dxa" w:w="727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b/>
                <w:color w:val="045AA9"/>
                <w:sz w:val="20"/>
              </w:rPr>
              <w:t>Detail</w:t>
            </w:r>
          </w:p>
        </w:tc>
      </w:tr>
      <w:tr>
        <w:tc>
          <w:tcPr>
            <w:tcW w:type="dxa" w:w="208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Agency</w:t>
            </w:r>
          </w:p>
        </w:tc>
        <w:tc>
          <w:tcPr>
            <w:tcW w:type="dxa" w:w="727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U.S. Department of Energy, Office of Technology Commercialization (OTC). Administered by ConnectWerx, operated by Advanced Technology International, under a Partnership Intermediary Agreement. DOE retains award selection and technical oversight.</w:t>
            </w:r>
          </w:p>
        </w:tc>
      </w:tr>
      <w:tr>
        <w:tc>
          <w:tcPr>
            <w:tcW w:type="dxa" w:w="208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Program</w:t>
            </w:r>
          </w:p>
        </w:tc>
        <w:tc>
          <w:tcPr>
            <w:tcW w:type="dxa" w:w="727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Small Business Innovation Research (SBIR) and Small Business Technology Transfer (STTR)</w:t>
            </w:r>
          </w:p>
        </w:tc>
      </w:tr>
      <w:tr>
        <w:tc>
          <w:tcPr>
            <w:tcW w:type="dxa" w:w="208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Announcement number</w:t>
            </w:r>
          </w:p>
        </w:tc>
        <w:tc>
          <w:tcPr>
            <w:tcW w:type="dxa" w:w="727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None issued. DOE assigned no DE-FOA number to this opportunity; it is identified as FY26 Phase I, Genesis Mission on the DOE SBIR/STTR Application Hub.</w:t>
            </w:r>
          </w:p>
        </w:tc>
      </w:tr>
      <w:tr>
        <w:tc>
          <w:tcPr>
            <w:tcW w:type="dxa" w:w="208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Mechanism</w:t>
            </w:r>
          </w:p>
        </w:tc>
        <w:tc>
          <w:tcPr>
            <w:tcW w:type="dxa" w:w="727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Phase I, two stage. Stage 1 is a required Pitch; only invited pitches may submit a full application. Pitches are not scored separately for SBIR versus STTR, and that election is made at full application.</w:t>
            </w:r>
          </w:p>
        </w:tc>
      </w:tr>
      <w:tr>
        <w:tc>
          <w:tcPr>
            <w:tcW w:type="dxa" w:w="208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Topic and subtopic</w:t>
            </w:r>
          </w:p>
        </w:tc>
        <w:tc>
          <w:tcPr>
            <w:tcW w:type="dxa" w:w="727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Topic 1, Scaling the Biotechnology Revolution. No subtopics. DOE lists AI tools that accelerate bioreactor design and biomanufacturing, for biochemicals and bioproducts applications, among its areas of interest.</w:t>
            </w:r>
          </w:p>
        </w:tc>
      </w:tr>
      <w:tr>
        <w:tc>
          <w:tcPr>
            <w:tcW w:type="dxa" w:w="208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Ceiling</w:t>
            </w:r>
          </w:p>
        </w:tc>
        <w:tc>
          <w:tcPr>
            <w:tcW w:type="dxa" w:w="727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$250,000 total requested at full application, or $256,500 with a Technical and Business Assistance request. Program total $10,000,000 across roughly 40 awards, representing up to $44,000,000 cumulative across project lifecycles.</w:t>
            </w:r>
          </w:p>
        </w:tc>
      </w:tr>
      <w:tr>
        <w:tc>
          <w:tcPr>
            <w:tcW w:type="dxa" w:w="208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Period of performance</w:t>
            </w:r>
          </w:p>
        </w:tc>
        <w:tc>
          <w:tcPr>
            <w:tcW w:type="dxa" w:w="727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6 to 12 months. Exact term set during award negotiation.</w:t>
            </w:r>
          </w:p>
        </w:tc>
      </w:tr>
      <w:tr>
        <w:tc>
          <w:tcPr>
            <w:tcW w:type="dxa" w:w="208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Cost share</w:t>
            </w:r>
          </w:p>
        </w:tc>
        <w:tc>
          <w:tcPr>
            <w:tcW w:type="dxa" w:w="727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$0. None required at Phase I. A 1:1 third-party cash match applies only to a third Phase II award, which this application does not trigger.</w:t>
            </w:r>
          </w:p>
        </w:tc>
      </w:tr>
      <w:tr>
        <w:tc>
          <w:tcPr>
            <w:tcW w:type="dxa" w:w="208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Close date and time zone</w:t>
            </w:r>
          </w:p>
        </w:tc>
        <w:tc>
          <w:tcPr>
            <w:tcW w:type="dxa" w:w="727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Thursday, September 10, 2026 at 2:00 PM Eastern Time. Late submissions are not accepted. A submitted pitch may be edited and its files replaced up to the deadline.</w:t>
            </w:r>
          </w:p>
        </w:tc>
      </w:tr>
      <w:tr>
        <w:tc>
          <w:tcPr>
            <w:tcW w:type="dxa" w:w="208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Submission portal</w:t>
            </w:r>
          </w:p>
        </w:tc>
        <w:tc>
          <w:tcPr>
            <w:tcW w:type="dxa" w:w="727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DOE SBIR/STTR Acquisition Management Portal (AMP), https://sbirsttr-amp.ati.org/  Account requests at https://register.ati.org/</w:t>
            </w:r>
          </w:p>
        </w:tc>
      </w:tr>
      <w:tr>
        <w:tc>
          <w:tcPr>
            <w:tcW w:type="dxa" w:w="208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Direct URL</w:t>
            </w:r>
          </w:p>
        </w:tc>
        <w:tc>
          <w:tcPr>
            <w:tcW w:type="dxa" w:w="727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https://sbir-sttr.connectwerx.org/portfolio-items/fy26genesismission/</w:t>
            </w:r>
          </w:p>
        </w:tc>
      </w:tr>
      <w:tr>
        <w:tc>
          <w:tcPr>
            <w:tcW w:type="dxa" w:w="208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Window verified</w:t>
            </w:r>
          </w:p>
        </w:tc>
        <w:tc>
          <w:tcPr>
            <w:tcW w:type="dxa" w:w="727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 w:cs="Calibri" w:eastAsia="Calibri"/>
                <w:color w:val="2A2A2A"/>
                <w:sz w:val="20"/>
              </w:rPr>
              <w:t>Saturday, August 22, 2026, 13:45 to 14:30 UTC. Verified by direct fetch of two issuing-agency pages: the DOE announcement at energy.gov and the ConnectWerx opportunity page. Both state September 10, 2026 at 2:00 PM ET.</w:t>
            </w:r>
          </w:p>
        </w:tc>
      </w:tr>
    </w:tbl>
    <w:p>
      <w:pPr>
        <w:spacing w:before="280"/>
      </w:pPr>
      <w:r>
        <w:rPr>
          <w:rFonts w:ascii="Calibri" w:hAnsi="Calibri" w:cs="Calibri" w:eastAsia="Calibri"/>
          <w:i/>
          <w:color w:val="666666"/>
          <w:sz w:val="17"/>
        </w:rPr>
        <w:t>PlastiBioFuel LLC | 12380 Iveson Drive, Haslet, TX 76052 | Michael David Ward, Founder and CEO | michael@plastibiofuel.com | 817-319-7383 | UEI KQAWZ54RDUM8 | CAGE 175D6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cs="Calibri" w:eastAsia="Calibri"/>
      <w:color w:val="2A2A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