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cs="Calibri" w:eastAsia="Calibri"/>
          <w:b/>
          <w:color w:val="045AA9"/>
          <w:sz w:val="40"/>
        </w:rPr>
        <w:t>Submission Checklist</w:t>
      </w:r>
    </w:p>
    <w:p>
      <w:pPr>
        <w:spacing w:after="240"/>
      </w:pPr>
      <w:r>
        <w:rPr>
          <w:rFonts w:ascii="Calibri" w:hAnsi="Calibri" w:cs="Calibri" w:eastAsia="Calibri"/>
          <w:b/>
          <w:color w:val="D50057"/>
          <w:sz w:val="21"/>
        </w:rPr>
        <w:t>DOE SBIR/STTR FY26 Phase I, Genesis Mission | Deadline September 10, 2026, 2:00 PM ET</w:t>
      </w:r>
    </w:p>
    <w:p>
      <w:pPr>
        <w:spacing w:after="120"/>
      </w:pPr>
      <w:r>
        <w:rPr>
          <w:rFonts w:ascii="Calibri" w:hAnsi="Calibri" w:cs="Calibri" w:eastAsia="Calibri"/>
          <w:color w:val="2A2A2A"/>
          <w:sz w:val="22"/>
        </w:rPr>
        <w:t>Steps 1 through 4 are prerequisites and should be done this week. Steps 5 through 14 are the submission itself and take about thirty minutes once the account exists. Michael signs nothing at the pitch stage. The only irreversible action is step 13.</w:t>
      </w:r>
    </w:p>
    <w:p>
      <w:pPr>
        <w:spacing w:before="280" w:after="80"/>
      </w:pPr>
      <w:r>
        <w:rPr>
          <w:rFonts w:ascii="Calibri" w:hAnsi="Calibri" w:cs="Calibri" w:eastAsia="Calibri"/>
          <w:b/>
          <w:color w:val="045AA9"/>
          <w:sz w:val="27"/>
        </w:rPr>
        <w:t>Prerequisites</w:t>
      </w:r>
    </w:p>
    <w:p>
      <w:pPr>
        <w:pStyle w:val="ListNumber"/>
        <w:spacing w:after="60" w:line="276" w:lineRule="auto"/>
        <w:ind w:left="360"/>
      </w:pPr>
      <w:r>
        <w:rPr>
          <w:rFonts w:ascii="Calibri" w:hAnsi="Calibri" w:cs="Calibri" w:eastAsia="Calibri"/>
          <w:color w:val="2A2A2A"/>
          <w:sz w:val="22"/>
        </w:rPr>
        <w:t>Confirm the SAM.gov registration is active and not within 60 days of expiry. Log in at sam.gov and check the entity record for PlastiBioFuel LLC, UEI KQAWZ54RDUM8. DOE warns SAM renewal can take up to 8 weeks, which makes an expiring registration the single biggest schedule risk in this package. The pitch itself does not require SAM, but the full application does and an invitation can arrive quickly.</w:t>
      </w:r>
    </w:p>
    <w:p>
      <w:pPr>
        <w:pStyle w:val="ListNumber"/>
        <w:spacing w:after="60" w:line="276" w:lineRule="auto"/>
        <w:ind w:left="360"/>
      </w:pPr>
      <w:r>
        <w:rPr>
          <w:rFonts w:ascii="Calibri" w:hAnsi="Calibri" w:cs="Calibri" w:eastAsia="Calibri"/>
          <w:color w:val="2A2A2A"/>
          <w:sz w:val="22"/>
        </w:rPr>
        <w:t>Confirm the SBA Company Registry record is current and retrieve the SBC Control ID at app.www.sbir.gov/company-registration/overview. Under 10 minutes with the UEI in hand. Needed at full application, not at pitch.</w:t>
      </w:r>
    </w:p>
    <w:p>
      <w:pPr>
        <w:pStyle w:val="ListNumber"/>
        <w:spacing w:after="60" w:line="276" w:lineRule="auto"/>
        <w:ind w:left="360"/>
      </w:pPr>
      <w:r>
        <w:rPr>
          <w:rFonts w:ascii="Calibri" w:hAnsi="Calibri" w:cs="Calibri" w:eastAsia="Calibri"/>
          <w:color w:val="2A2A2A"/>
          <w:sz w:val="22"/>
        </w:rPr>
        <w:t>Request an AMP account at https://register.ati.org/ using michael@plastibiofuel.com. Never a university student address. Allow one to two business days for approval, which is why this is step 3 and not step 9.</w:t>
      </w:r>
    </w:p>
    <w:p>
      <w:pPr>
        <w:pStyle w:val="ListNumber"/>
        <w:spacing w:after="60" w:line="276" w:lineRule="auto"/>
        <w:ind w:left="360"/>
      </w:pPr>
      <w:r>
        <w:rPr>
          <w:rFonts w:ascii="Calibri" w:hAnsi="Calibri" w:cs="Calibri" w:eastAsia="Calibri"/>
          <w:color w:val="2A2A2A"/>
          <w:sz w:val="22"/>
        </w:rPr>
        <w:t>Read the Pitch Development Guide at https://sbir-sttr.connectwerx.org/wp-content/uploads/2026/07/Pitch-Stage-Key-Questions.docx and note the word limit printed for each of the four questions. The answers in 02_Pitch_Responses are written to 97, 202, 191, and 181 words, 671 total, with Question 1 held under 100. If the Guide allows more, append the optional add-on sentences supplied with each answer. If it allows less, trim at the paragraph boundaries marked in that file.</w:t>
      </w:r>
    </w:p>
    <w:p>
      <w:pPr>
        <w:spacing w:before="280" w:after="80"/>
      </w:pPr>
      <w:r>
        <w:rPr>
          <w:rFonts w:ascii="Calibri" w:hAnsi="Calibri" w:cs="Calibri" w:eastAsia="Calibri"/>
          <w:b/>
          <w:color w:val="045AA9"/>
          <w:sz w:val="27"/>
        </w:rPr>
        <w:t>Submission</w:t>
      </w:r>
    </w:p>
    <w:p>
      <w:pPr>
        <w:pStyle w:val="ListNumber"/>
        <w:spacing w:after="60" w:line="276" w:lineRule="auto"/>
        <w:ind w:left="360"/>
      </w:pPr>
      <w:r>
        <w:rPr>
          <w:rFonts w:ascii="Calibri" w:hAnsi="Calibri" w:cs="Calibri" w:eastAsia="Calibri"/>
          <w:color w:val="2A2A2A"/>
          <w:sz w:val="22"/>
        </w:rPr>
        <w:t>Log in to AMP at https://sbirsttr-amp.ati.org/dashboard.</w:t>
      </w:r>
    </w:p>
    <w:p>
      <w:pPr>
        <w:pStyle w:val="ListNumber"/>
        <w:spacing w:after="60" w:line="276" w:lineRule="auto"/>
        <w:ind w:left="360"/>
      </w:pPr>
      <w:r>
        <w:rPr>
          <w:rFonts w:ascii="Calibri" w:hAnsi="Calibri" w:cs="Calibri" w:eastAsia="Calibri"/>
          <w:color w:val="2A2A2A"/>
          <w:sz w:val="22"/>
        </w:rPr>
        <w:t>In the Open Solicitations section, find FY26 Phase I, Genesis Mission, click Respond, then click Proceed in the pop-up box.</w:t>
      </w:r>
    </w:p>
    <w:p>
      <w:pPr>
        <w:pStyle w:val="ListNumber"/>
        <w:spacing w:after="60" w:line="276" w:lineRule="auto"/>
        <w:ind w:left="360"/>
      </w:pPr>
      <w:r>
        <w:rPr>
          <w:rFonts w:ascii="Calibri" w:hAnsi="Calibri" w:cs="Calibri" w:eastAsia="Calibri"/>
          <w:color w:val="2A2A2A"/>
          <w:sz w:val="22"/>
        </w:rPr>
        <w:t>Enter the project title: Physics-Informed Machine Learning for Design of Continuous Immobilized-Enzyme Reactors Converting Post-Consumer PET to Fuel-Grade Ethanol.</w:t>
      </w:r>
    </w:p>
    <w:p>
      <w:pPr>
        <w:pStyle w:val="ListNumber"/>
        <w:spacing w:after="60" w:line="276" w:lineRule="auto"/>
        <w:ind w:left="360"/>
      </w:pPr>
      <w:r>
        <w:rPr>
          <w:rFonts w:ascii="Calibri" w:hAnsi="Calibri" w:cs="Calibri" w:eastAsia="Calibri"/>
          <w:color w:val="2A2A2A"/>
          <w:sz w:val="22"/>
        </w:rPr>
        <w:t>Select Topic 1, Scaling the Biotechnology Revolution. Select one topic only. Topic and prime small business cannot change between pitch and full application; title and team partners may shift slightly.</w:t>
      </w:r>
    </w:p>
    <w:p>
      <w:pPr>
        <w:pStyle w:val="ListNumber"/>
        <w:spacing w:after="60" w:line="276" w:lineRule="auto"/>
        <w:ind w:left="360"/>
      </w:pPr>
      <w:r>
        <w:rPr>
          <w:rFonts w:ascii="Calibri" w:hAnsi="Calibri" w:cs="Calibri" w:eastAsia="Calibri"/>
          <w:color w:val="2A2A2A"/>
          <w:sz w:val="22"/>
        </w:rPr>
        <w:t>Paste the four answers from 02_Pitch_Responses into the four open-text fields, in order. Paste, do not retype. Images and video are not enabled.</w:t>
      </w:r>
    </w:p>
    <w:p>
      <w:pPr>
        <w:pStyle w:val="ListNumber"/>
        <w:spacing w:after="60" w:line="276" w:lineRule="auto"/>
        <w:ind w:left="360"/>
      </w:pPr>
      <w:r>
        <w:rPr>
          <w:rFonts w:ascii="Calibri" w:hAnsi="Calibri" w:cs="Calibri" w:eastAsia="Calibri"/>
          <w:color w:val="2A2A2A"/>
          <w:sz w:val="22"/>
        </w:rPr>
        <w:t>Upload PlastiBioFuelBibliography.pdf. Requirements from the solicitation: Adobe PDF only, 5 MB or smaller, printable, no password, no ZIP or other formats, and no special characters in the filename. The supplied file is well under 5 MB and its name uses letters only.</w:t>
      </w:r>
    </w:p>
    <w:p>
      <w:pPr>
        <w:pStyle w:val="ListNumber"/>
        <w:spacing w:after="60" w:line="276" w:lineRule="auto"/>
        <w:ind w:left="360"/>
      </w:pPr>
      <w:r>
        <w:rPr>
          <w:rFonts w:ascii="Calibri" w:hAnsi="Calibri" w:cs="Calibri" w:eastAsia="Calibri"/>
          <w:color w:val="2A2A2A"/>
          <w:sz w:val="22"/>
        </w:rPr>
        <w:t>Complete every field marked with a red asterisk. Do not enter proprietary or business sensitive information beyond what is already in the approved answer text.</w:t>
      </w:r>
    </w:p>
    <w:p>
      <w:pPr>
        <w:pStyle w:val="ListNumber"/>
        <w:spacing w:after="60" w:line="276" w:lineRule="auto"/>
        <w:ind w:left="360"/>
      </w:pPr>
      <w:r>
        <w:rPr>
          <w:rFonts w:ascii="Calibri" w:hAnsi="Calibri" w:cs="Calibri" w:eastAsia="Calibri"/>
          <w:color w:val="2A2A2A"/>
          <w:sz w:val="22"/>
        </w:rPr>
        <w:t>Click Submit Application in the upper-right corner. This fixes the topic selection. Everything else can still be edited, and uploaded files replaced, until 2:00 PM ET on September 10.</w:t>
      </w:r>
    </w:p>
    <w:p>
      <w:pPr>
        <w:pStyle w:val="ListNumber"/>
        <w:spacing w:after="60" w:line="276" w:lineRule="auto"/>
        <w:ind w:left="360"/>
      </w:pPr>
      <w:r>
        <w:rPr>
          <w:rFonts w:ascii="Calibri" w:hAnsi="Calibri" w:cs="Calibri" w:eastAsia="Calibri"/>
          <w:color w:val="2A2A2A"/>
          <w:sz w:val="22"/>
        </w:rPr>
        <w:t>Confirm receipt. ConnectWerx sends an email confirming the submission was accepted. If no email arrives within a few hours, contact sbir-sttr@connectwerx.org.</w:t>
      </w:r>
    </w:p>
    <w:p>
      <w:pPr>
        <w:pStyle w:val="ListNumber"/>
        <w:spacing w:after="60" w:line="276" w:lineRule="auto"/>
        <w:ind w:left="360"/>
      </w:pPr>
      <w:r>
        <w:rPr>
          <w:rFonts w:ascii="Calibri" w:hAnsi="Calibri" w:cs="Calibri" w:eastAsia="Calibri"/>
          <w:color w:val="2A2A2A"/>
          <w:sz w:val="22"/>
        </w:rPr>
        <w:t>Log back in and verify that exactly one pitch is pending for PlastiBioFuel. DOE accepts up to three pitches per company and reviews only the three most recent by timestamp. Withdraw anything unintended before the deadline.</w:t>
      </w:r>
    </w:p>
    <w:p>
      <w:pPr>
        <w:spacing w:before="280" w:after="80"/>
      </w:pPr>
      <w:r>
        <w:rPr>
          <w:rFonts w:ascii="Calibri" w:hAnsi="Calibri" w:cs="Calibri" w:eastAsia="Calibri"/>
          <w:b/>
          <w:color w:val="045AA9"/>
          <w:sz w:val="27"/>
        </w:rPr>
        <w:t>Where Michael signs</w:t>
      </w:r>
    </w:p>
    <w:p>
      <w:pPr>
        <w:spacing w:after="120"/>
      </w:pPr>
      <w:r>
        <w:rPr>
          <w:rFonts w:ascii="Calibri" w:hAnsi="Calibri" w:cs="Calibri" w:eastAsia="Calibri"/>
          <w:color w:val="2A2A2A"/>
          <w:sz w:val="22"/>
        </w:rPr>
        <w:t>Nowhere, at this stage. The pitch carries no certification, representation, or signature block. The first signature in this program comes at award negotiation, when PlastiBioFuel would enter a funding agreement with DOE and ConnectWerx. If the pitch is invited forward, the full application carries the eligibility and work-share certifications listed in 04_Forms_and_Certifications_Checklist, signed by Michael Ward as Founder and CEO.</w:t>
      </w:r>
    </w:p>
    <w:p>
      <w:pPr>
        <w:spacing w:before="280" w:after="80"/>
      </w:pPr>
      <w:r>
        <w:rPr>
          <w:rFonts w:ascii="Calibri" w:hAnsi="Calibri" w:cs="Calibri" w:eastAsia="Calibri"/>
          <w:b/>
          <w:color w:val="045AA9"/>
          <w:sz w:val="27"/>
        </w:rPr>
        <w:t>Dates to hold</w:t>
      </w:r>
    </w:p>
    <w:tbl>
      <w:tblPr>
        <w:tblW w:type="auto" w:w="0"/>
        <w:jc w:val="left"/>
        <w:tblLayout w:type="autofit"/>
        <w:tblLook w:firstColumn="1" w:firstRow="1" w:lastColumn="0" w:lastRow="0" w:noHBand="0" w:noVBand="1" w:val="04A0"/>
      </w:tblPr>
      <w:tblGrid>
        <w:gridCol w:w="4680"/>
        <w:gridCol w:w="4680"/>
      </w:tblGrid>
      <w:tr>
        <w:tc>
          <w:tcPr>
            <w:tcW w:type="dxa" w:w="2736"/>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b/>
                <w:color w:val="045AA9"/>
                <w:sz w:val="20"/>
              </w:rPr>
              <w:t>Date</w:t>
            </w:r>
          </w:p>
        </w:tc>
        <w:tc>
          <w:tcPr>
            <w:tcW w:type="dxa" w:w="662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b/>
                <w:color w:val="045AA9"/>
                <w:sz w:val="20"/>
              </w:rPr>
              <w:t>Event</w:t>
            </w:r>
          </w:p>
        </w:tc>
      </w:tr>
      <w:tr>
        <w:tc>
          <w:tcPr>
            <w:tcW w:type="dxa" w:w="2736"/>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September 10, 2026, 2:00 PM ET</w:t>
            </w:r>
          </w:p>
        </w:tc>
        <w:tc>
          <w:tcPr>
            <w:tcW w:type="dxa" w:w="662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Pitch closes. Late submissions are not accepted.</w:t>
            </w:r>
          </w:p>
        </w:tc>
      </w:tr>
      <w:tr>
        <w:tc>
          <w:tcPr>
            <w:tcW w:type="dxa" w:w="2736"/>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After the deadline</w:t>
            </w:r>
          </w:p>
        </w:tc>
        <w:tc>
          <w:tcPr>
            <w:tcW w:type="dxa" w:w="662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ConnectWerx emails the decision. Invited pitches may receive reviewer feedback. Declined pitches receive brief standardized feedback, and there is no resubmission for this opportunity.</w:t>
            </w:r>
          </w:p>
        </w:tc>
      </w:tr>
      <w:tr>
        <w:tc>
          <w:tcPr>
            <w:tcW w:type="dxa" w:w="2736"/>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Fall 2026</w:t>
            </w:r>
          </w:p>
        </w:tc>
        <w:tc>
          <w:tcPr>
            <w:tcW w:type="dxa" w:w="6624"/>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DOE has stated that a broader Phase I opportunity covering additional technology topics will open. That is the next shot if this one does not land, and it is a better fit for the reactor hardware work.</w:t>
            </w:r>
          </w:p>
        </w:tc>
      </w:tr>
    </w:tbl>
    <w:p>
      <w:pPr>
        <w:spacing w:before="280" w:after="80"/>
      </w:pPr>
      <w:r>
        <w:rPr>
          <w:rFonts w:ascii="Calibri" w:hAnsi="Calibri" w:cs="Calibri" w:eastAsia="Calibri"/>
          <w:b/>
          <w:color w:val="045AA9"/>
          <w:sz w:val="27"/>
        </w:rPr>
        <w:t>Recorded office hours, if useful before submitting</w:t>
      </w:r>
    </w:p>
    <w:p>
      <w:pPr>
        <w:pStyle w:val="ListBullet"/>
        <w:spacing w:after="60" w:line="276" w:lineRule="auto"/>
        <w:ind w:left="360"/>
      </w:pPr>
      <w:r>
        <w:rPr>
          <w:rFonts w:ascii="Calibri" w:hAnsi="Calibri" w:cs="Calibri" w:eastAsia="Calibri"/>
          <w:color w:val="2A2A2A"/>
          <w:sz w:val="22"/>
        </w:rPr>
        <w:t>Part I, August 5, 2026. Video: https://youtu.be/SKzaJ3W3nPM  Slides: https://sbir-sttr.connectwerx.org/wp-content/uploads/2026/08/Presentation-Office-Hours-8.5.pdf  Transcript: https://sbir-sttr.connectwerx.org/wp-content/uploads/2026/08/Transcript-Office-Hours-8.5.pdf</w:t>
      </w:r>
    </w:p>
    <w:p>
      <w:pPr>
        <w:pStyle w:val="ListBullet"/>
        <w:spacing w:after="60" w:line="276" w:lineRule="auto"/>
        <w:ind w:left="360"/>
      </w:pPr>
      <w:r>
        <w:rPr>
          <w:rFonts w:ascii="Calibri" w:hAnsi="Calibri" w:cs="Calibri" w:eastAsia="Calibri"/>
          <w:color w:val="2A2A2A"/>
          <w:sz w:val="22"/>
        </w:rPr>
        <w:t>Part II, August 12, 2026. Video: https://www.youtube.com/watch?v=JYKvUx3voRI  Slides: https://sbir-sttr.connectwerx.org/wp-content/uploads/2026/08/Phase-I-Pilot-Office-Hours-Webinar_2026.08.12.pdf  Transcript: https://sbir-sttr.connectwerx.org/wp-content/uploads/2026/08/Transcript-Office-Hours-8.12.pdf</w:t>
      </w:r>
    </w:p>
    <w:p>
      <w:pPr>
        <w:spacing w:before="280"/>
      </w:pPr>
      <w:r>
        <w:rPr>
          <w:rFonts w:ascii="Calibri" w:hAnsi="Calibri" w:cs="Calibri" w:eastAsia="Calibri"/>
          <w:i/>
          <w:color w:val="666666"/>
          <w:sz w:val="17"/>
        </w:rPr>
        <w:t>Questions to ConnectWerx: sbir-sttr@connectwerx.org. DOE program feedback: sbir-sttr@hq.doe.gov. Opportunity page verified August 22,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s="Calibri" w:eastAsia="Calibri"/>
      <w:color w:val="2A2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