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PITCH RESPONSES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SBIR/STTR FY26 PHASE I  ·  GENESIS MISSION</w:t>
      </w:r>
    </w:p>
    <w:p>
      <w:pPr>
        <w:keepNext/>
        <w:spacing w:before="0" w:after="0" w:line="247" w:lineRule="auto"/>
      </w:pPr>
      <w:r>
        <w:rPr>
          <w:rFonts w:ascii="Aptos Display" w:hAnsi="Aptos Display" w:cs="Aptos Display" w:eastAsia="Aptos Display"/>
          <w:b/>
          <w:i w:val="0"/>
          <w:color w:val="2A2A2A"/>
          <w:sz w:val="56"/>
        </w:rPr>
        <w:t>Topic 1, Scaling the</w:t>
      </w:r>
    </w:p>
    <w:p>
      <w:pPr>
        <w:keepNext/>
        <w:spacing w:before="0" w:after="120" w:line="247" w:lineRule="auto"/>
      </w:pPr>
      <w:r>
        <w:rPr>
          <w:rFonts w:ascii="Aptos Display" w:hAnsi="Aptos Display" w:cs="Aptos Display" w:eastAsia="Aptos Display"/>
          <w:b/>
          <w:i w:val="0"/>
          <w:color w:val="2A2A2A"/>
          <w:sz w:val="56"/>
        </w:rPr>
        <w:t>Biotechnology Revolution</w:t>
      </w:r>
    </w:p>
    <w:p>
      <w:pPr>
        <w:spacing w:before="0" w:after="260" w:line="312" w:lineRule="auto"/>
      </w:pPr>
      <w:r>
        <w:rPr>
          <w:rFonts w:ascii="Aptos" w:hAnsi="Aptos" w:cs="Aptos" w:eastAsia="Aptos"/>
          <w:b w:val="0"/>
          <w:i w:val="0"/>
          <w:color w:val="4A5561"/>
          <w:sz w:val="22"/>
        </w:rPr>
        <w:t>Copy each answer into the matching open-text field in AMP. Word counts are shown so you can check them against the Pitch Development Guide before pasting. Images and video are not enabled, so all four answers are plain text.</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40" w:lineRule="auto"/>
            </w:pPr>
            <w:r>
              <w:rPr>
                <w:rFonts w:ascii="Aptos Display" w:hAnsi="Aptos Display" w:cs="Aptos Display" w:eastAsia="Aptos Display"/>
                <w:b/>
                <w:i w:val="0"/>
                <w:color w:val="6B7684"/>
                <w:sz w:val="15"/>
                <w:spacing w:val="22"/>
              </w:rPr>
              <w:t>TOTAL WORDS</w:t>
            </w:r>
          </w:p>
          <w:p>
            <w:pPr>
              <w:spacing w:before="80" w:after="0" w:line="240" w:lineRule="auto"/>
            </w:pPr>
            <w:r>
              <w:rPr>
                <w:rFonts w:ascii="Aptos Display" w:hAnsi="Aptos Display" w:cs="Aptos Display" w:eastAsia="Aptos Display"/>
                <w:b/>
                <w:i w:val="0"/>
                <w:color w:val="045AA9"/>
                <w:sz w:val="46"/>
              </w:rPr>
              <w:t>671</w:t>
            </w:r>
          </w:p>
          <w:p>
            <w:pPr>
              <w:spacing w:before="80" w:after="0" w:line="264" w:lineRule="auto"/>
            </w:pPr>
            <w:r>
              <w:rPr>
                <w:rFonts w:ascii="Aptos" w:hAnsi="Aptos" w:cs="Aptos" w:eastAsia="Aptos"/>
                <w:b w:val="0"/>
                <w:i w:val="0"/>
                <w:color w:val="6B7684"/>
                <w:sz w:val="18"/>
              </w:rPr>
              <w:t>across four answers</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40" w:lineRule="auto"/>
            </w:pPr>
            <w:r>
              <w:rPr>
                <w:rFonts w:ascii="Aptos Display" w:hAnsi="Aptos Display" w:cs="Aptos Display" w:eastAsia="Aptos Display"/>
                <w:b/>
                <w:i w:val="0"/>
                <w:color w:val="6B7684"/>
                <w:sz w:val="15"/>
                <w:spacing w:val="22"/>
              </w:rPr>
              <w:t>QUESTION 1</w:t>
            </w:r>
          </w:p>
          <w:p>
            <w:pPr>
              <w:spacing w:before="80" w:after="0" w:line="240" w:lineRule="auto"/>
            </w:pPr>
            <w:r>
              <w:rPr>
                <w:rFonts w:ascii="Aptos Display" w:hAnsi="Aptos Display" w:cs="Aptos Display" w:eastAsia="Aptos Display"/>
                <w:b/>
                <w:i w:val="0"/>
                <w:color w:val="045AA9"/>
                <w:sz w:val="46"/>
              </w:rPr>
              <w:t>97</w:t>
            </w:r>
          </w:p>
          <w:p>
            <w:pPr>
              <w:spacing w:before="80" w:after="0" w:line="264" w:lineRule="auto"/>
            </w:pPr>
            <w:r>
              <w:rPr>
                <w:rFonts w:ascii="Aptos" w:hAnsi="Aptos" w:cs="Aptos" w:eastAsia="Aptos"/>
                <w:b w:val="0"/>
                <w:i w:val="0"/>
                <w:color w:val="6B7684"/>
                <w:sz w:val="18"/>
              </w:rPr>
              <w:t>held under 100</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40" w:lineRule="auto"/>
            </w:pPr>
            <w:r>
              <w:rPr>
                <w:rFonts w:ascii="Aptos Display" w:hAnsi="Aptos Display" w:cs="Aptos Display" w:eastAsia="Aptos Display"/>
                <w:b/>
                <w:i w:val="0"/>
                <w:color w:val="6B7684"/>
                <w:sz w:val="15"/>
                <w:spacing w:val="22"/>
              </w:rPr>
              <w:t>TOPIC</w:t>
            </w:r>
          </w:p>
          <w:p>
            <w:pPr>
              <w:spacing w:before="80" w:after="0" w:line="240" w:lineRule="auto"/>
            </w:pPr>
            <w:r>
              <w:rPr>
                <w:rFonts w:ascii="Aptos Display" w:hAnsi="Aptos Display" w:cs="Aptos Display" w:eastAsia="Aptos Display"/>
                <w:b/>
                <w:i w:val="0"/>
                <w:color w:val="045AA9"/>
                <w:sz w:val="46"/>
              </w:rPr>
              <w:t>Locked</w:t>
            </w:r>
          </w:p>
          <w:p>
            <w:pPr>
              <w:spacing w:before="80" w:after="0" w:line="264" w:lineRule="auto"/>
            </w:pPr>
            <w:r>
              <w:rPr>
                <w:rFonts w:ascii="Aptos" w:hAnsi="Aptos" w:cs="Aptos" w:eastAsia="Aptos"/>
                <w:b w:val="0"/>
                <w:i w:val="0"/>
                <w:color w:val="6B7684"/>
                <w:sz w:val="18"/>
              </w:rPr>
              <w:t>after the pitch is submitted</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PROJECT TITLE TO ENTER IN AMP</w:t>
            </w:r>
          </w:p>
          <w:p>
            <w:pPr>
              <w:spacing w:before="60" w:after="0" w:line="302" w:lineRule="auto"/>
            </w:pPr>
            <w:r>
              <w:rPr>
                <w:rFonts w:ascii="Aptos" w:hAnsi="Aptos" w:cs="Aptos" w:eastAsia="Aptos"/>
                <w:b/>
                <w:i w:val="0"/>
                <w:color w:val="2A2A2A"/>
                <w:sz w:val="19"/>
              </w:rPr>
              <w:t>Physics-Informed Machine Learning for Design of Continuous Immobilized-Enzyme Reactors Converting Post-Consumer PET to Fuel-Grade Ethanol</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1238"/>
            <w:tcBorders>
              <w:top w:val="nil"/>
              <w:left w:val="nil"/>
              <w:bottom w:val="nil"/>
              <w:right w:val="nil"/>
            </w:tcBorders>
            <w:tcMar>
              <w:top w:w="0" w:type="dxa"/>
              <w:start w:w="0" w:type="dxa"/>
              <w:bottom w:w="0" w:type="dxa"/>
              <w:end w:w="0" w:type="dxa"/>
            </w:tcMar>
            <w:tcMar>
              <w:top w:w="40" w:type="dxa"/>
              <w:start w:w="0" w:type="dxa"/>
              <w:bottom w:w="0" w:type="dxa"/>
              <w:end w:w="0" w:type="dxa"/>
            </w:tcMar>
          </w:tcPr>
          <w:p>
            <w:pPr>
              <w:spacing w:before="0" w:after="0" w:line="228" w:lineRule="auto"/>
            </w:pPr>
            <w:r>
              <w:rPr>
                <w:rFonts w:ascii="Aptos Display" w:hAnsi="Aptos Display" w:cs="Aptos Display" w:eastAsia="Aptos Display"/>
                <w:b/>
                <w:i w:val="0"/>
                <w:color w:val="D7E6F5"/>
                <w:sz w:val="60"/>
              </w:rPr>
              <w:t>01</w:t>
            </w:r>
          </w:p>
        </w:tc>
        <w:tc>
          <w:tcPr>
            <w:tcW w:type="dxa" w:w="6480"/>
            <w:tcMar>
              <w:top w:w="0" w:type="dxa"/>
              <w:start w:w="0" w:type="dxa"/>
              <w:bottom w:w="0" w:type="dxa"/>
              <w:end w:w="0" w:type="dxa"/>
            </w:tcMar>
            <w:tcMar>
              <w:top w:w="160" w:type="dxa"/>
              <w:start w:w="0" w:type="dxa"/>
              <w:bottom w:w="120" w:type="dxa"/>
              <w:end w:w="0" w:type="dxa"/>
            </w:tcMar>
            <w:tcBorders>
              <w:top w:val="nil"/>
              <w:left w:val="nil"/>
              <w:bottom w:val="single" w:sz="6" w:space="0" w:color="E3E8EF"/>
              <w:right w:val="nil"/>
            </w:tcBorders>
          </w:tcPr>
          <w:p>
            <w:pPr>
              <w:spacing w:before="0" w:after="0" w:line="276" w:lineRule="auto"/>
            </w:pPr>
            <w:r>
              <w:rPr>
                <w:rFonts w:ascii="Aptos Display" w:hAnsi="Aptos Display" w:cs="Aptos Display" w:eastAsia="Aptos Display"/>
                <w:b/>
                <w:i w:val="0"/>
                <w:color w:val="045AA9"/>
                <w:sz w:val="28"/>
              </w:rPr>
              <w:t>Summary, Topic, and Mission Alignment</w:t>
            </w:r>
          </w:p>
        </w:tc>
        <w:tc>
          <w:tcPr>
            <w:tcW w:type="dxa" w:w="1642"/>
            <w:tcMar>
              <w:top w:w="0" w:type="dxa"/>
              <w:start w:w="0" w:type="dxa"/>
              <w:bottom w:w="0" w:type="dxa"/>
              <w:end w:w="0" w:type="dxa"/>
            </w:tcMar>
            <w:tcMar>
              <w:top w:w="180" w:type="dxa"/>
              <w:start w:w="0" w:type="dxa"/>
              <w:bottom w:w="120" w:type="dxa"/>
              <w:end w:w="0" w:type="dxa"/>
            </w:tcMar>
            <w:tcBorders>
              <w:top w:val="nil"/>
              <w:left w:val="nil"/>
              <w:bottom w:val="single" w:sz="6" w:space="0" w:color="E3E8EF"/>
              <w:right w:val="nil"/>
            </w:tcBorders>
          </w:tcPr>
          <w:p>
            <w:pPr>
              <w:spacing w:before="0" w:after="0" w:line="288" w:lineRule="auto"/>
              <w:jc w:val="right"/>
            </w:pPr>
            <w:r>
              <w:rPr>
                <w:rFonts w:ascii="Aptos Display" w:hAnsi="Aptos Display" w:cs="Aptos Display" w:eastAsia="Aptos Display"/>
                <w:b/>
                <w:i w:val="0"/>
                <w:color w:val="FFFFFF"/>
                <w:sz w:val="14"/>
                <w:spacing w:val="20"/>
                <w:shd w:val="clear" w:color="auto" w:fill="045AA9"/>
              </w:rPr>
              <w:t xml:space="preserve"> 97 WORDS </w:t>
            </w:r>
          </w:p>
        </w:tc>
      </w:tr>
    </w:tbl>
    <w:p>
      <w:pPr>
        <w:spacing w:before="0" w:after="60" w:line="240" w:lineRule="auto"/>
      </w:pPr>
    </w:p>
    <w:p>
      <w:pPr>
        <w:spacing w:before="0" w:after="140" w:line="312" w:lineRule="auto"/>
        <w:ind w:left="1240"/>
      </w:pPr>
      <w:r>
        <w:rPr>
          <w:rFonts w:ascii="Aptos" w:hAnsi="Aptos" w:cs="Aptos" w:eastAsia="Aptos"/>
          <w:b w:val="0"/>
          <w:i w:val="0"/>
          <w:color w:val="2A2A2A"/>
          <w:sz w:val="21"/>
        </w:rPr>
        <w:t>PlastiBioFuel converts post-consumer PET plastic waste into fuel-grade ethanol. A PET hydrolase is immobilized inside a custom covalent organic framework and run in a continuous spiral-flow reactor, and the recovered monomers are biologically converted to ethanol. Scale-up of this reactor class is limited by design search, not by enzyme performance. We will build a physics-informed machine learning model of the immobilized-enzyme reactor, train it on our own continuous-operation data, and use it to predict operating conditions that we then confirm experimentally. This is AI applied to bioreactor design and biomanufacturing for a bioproduct, which is Topic 1.</w:t>
      </w:r>
    </w:p>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1238"/>
            <w:tcBorders>
              <w:top w:val="nil"/>
              <w:left w:val="nil"/>
              <w:bottom w:val="nil"/>
              <w:right w:val="nil"/>
            </w:tcBorders>
            <w:tcMar>
              <w:top w:w="0" w:type="dxa"/>
              <w:start w:w="0" w:type="dxa"/>
              <w:bottom w:w="0" w:type="dxa"/>
              <w:end w:w="0" w:type="dxa"/>
            </w:tcMar>
            <w:tcMar>
              <w:top w:w="40" w:type="dxa"/>
              <w:start w:w="0" w:type="dxa"/>
              <w:bottom w:w="0" w:type="dxa"/>
              <w:end w:w="0" w:type="dxa"/>
            </w:tcMar>
          </w:tcPr>
          <w:p>
            <w:pPr>
              <w:spacing w:before="0" w:after="0" w:line="228" w:lineRule="auto"/>
            </w:pPr>
            <w:r>
              <w:rPr>
                <w:rFonts w:ascii="Aptos Display" w:hAnsi="Aptos Display" w:cs="Aptos Display" w:eastAsia="Aptos Display"/>
                <w:b/>
                <w:i w:val="0"/>
                <w:color w:val="D7E6F5"/>
                <w:sz w:val="60"/>
              </w:rPr>
              <w:t>02</w:t>
            </w:r>
          </w:p>
        </w:tc>
        <w:tc>
          <w:tcPr>
            <w:tcW w:type="dxa" w:w="6480"/>
            <w:tcMar>
              <w:top w:w="0" w:type="dxa"/>
              <w:start w:w="0" w:type="dxa"/>
              <w:bottom w:w="0" w:type="dxa"/>
              <w:end w:w="0" w:type="dxa"/>
            </w:tcMar>
            <w:tcMar>
              <w:top w:w="160" w:type="dxa"/>
              <w:start w:w="0" w:type="dxa"/>
              <w:bottom w:w="120" w:type="dxa"/>
              <w:end w:w="0" w:type="dxa"/>
            </w:tcMar>
            <w:tcBorders>
              <w:top w:val="nil"/>
              <w:left w:val="nil"/>
              <w:bottom w:val="single" w:sz="6" w:space="0" w:color="E3E8EF"/>
              <w:right w:val="nil"/>
            </w:tcBorders>
          </w:tcPr>
          <w:p>
            <w:pPr>
              <w:spacing w:before="0" w:after="0" w:line="276" w:lineRule="auto"/>
            </w:pPr>
            <w:r>
              <w:rPr>
                <w:rFonts w:ascii="Aptos Display" w:hAnsi="Aptos Display" w:cs="Aptos Display" w:eastAsia="Aptos Display"/>
                <w:b/>
                <w:i w:val="0"/>
                <w:color w:val="045AA9"/>
                <w:sz w:val="28"/>
              </w:rPr>
              <w:t>Technical Promise</w:t>
            </w:r>
          </w:p>
        </w:tc>
        <w:tc>
          <w:tcPr>
            <w:tcW w:type="dxa" w:w="1642"/>
            <w:tcMar>
              <w:top w:w="0" w:type="dxa"/>
              <w:start w:w="0" w:type="dxa"/>
              <w:bottom w:w="0" w:type="dxa"/>
              <w:end w:w="0" w:type="dxa"/>
            </w:tcMar>
            <w:tcMar>
              <w:top w:w="180" w:type="dxa"/>
              <w:start w:w="0" w:type="dxa"/>
              <w:bottom w:w="120" w:type="dxa"/>
              <w:end w:w="0" w:type="dxa"/>
            </w:tcMar>
            <w:tcBorders>
              <w:top w:val="nil"/>
              <w:left w:val="nil"/>
              <w:bottom w:val="single" w:sz="6" w:space="0" w:color="E3E8EF"/>
              <w:right w:val="nil"/>
            </w:tcBorders>
          </w:tcPr>
          <w:p>
            <w:pPr>
              <w:spacing w:before="0" w:after="0" w:line="288" w:lineRule="auto"/>
              <w:jc w:val="right"/>
            </w:pPr>
            <w:r>
              <w:rPr>
                <w:rFonts w:ascii="Aptos Display" w:hAnsi="Aptos Display" w:cs="Aptos Display" w:eastAsia="Aptos Display"/>
                <w:b/>
                <w:i w:val="0"/>
                <w:color w:val="FFFFFF"/>
                <w:sz w:val="14"/>
                <w:spacing w:val="20"/>
                <w:shd w:val="clear" w:color="auto" w:fill="045AA9"/>
              </w:rPr>
              <w:t xml:space="preserve"> 202 WORDS </w:t>
            </w:r>
          </w:p>
        </w:tc>
      </w:tr>
    </w:tbl>
    <w:p>
      <w:pPr>
        <w:spacing w:before="0" w:after="60" w:line="240" w:lineRule="auto"/>
      </w:pPr>
    </w:p>
    <w:p>
      <w:pPr>
        <w:spacing w:before="0" w:after="140" w:line="312" w:lineRule="auto"/>
        <w:ind w:left="1240"/>
      </w:pPr>
      <w:r>
        <w:rPr>
          <w:rFonts w:ascii="Aptos Display" w:hAnsi="Aptos Display" w:cs="Aptos Display" w:eastAsia="Aptos Display"/>
          <w:b/>
          <w:i w:val="0"/>
          <w:color w:val="045AA9"/>
          <w:sz w:val="21"/>
        </w:rPr>
        <w:t xml:space="preserve">Significance. </w:t>
      </w:r>
      <w:r>
        <w:rPr>
          <w:rFonts w:ascii="Aptos" w:hAnsi="Aptos" w:cs="Aptos" w:eastAsia="Aptos"/>
          <w:b w:val="0"/>
          <w:i w:val="0"/>
          <w:color w:val="2A2A2A"/>
          <w:sz w:val="21"/>
        </w:rPr>
        <w:t>Enzymatic PET recycling is now limited by reactor engineering rather than enzyme discovery. Operating conditions for continuous immobilized-enzyme reactors are still chosen by one-factor-at-a-time bench runs that take days each, so only a small part of the design space is ever searched, and scale-up decisions rest on thin evidence.</w:t>
      </w:r>
    </w:p>
    <w:p>
      <w:pPr>
        <w:spacing w:before="0" w:after="140" w:line="312" w:lineRule="auto"/>
        <w:ind w:left="1240"/>
      </w:pPr>
      <w:r>
        <w:rPr>
          <w:rFonts w:ascii="Aptos Display" w:hAnsi="Aptos Display" w:cs="Aptos Display" w:eastAsia="Aptos Display"/>
          <w:b/>
          <w:i w:val="0"/>
          <w:color w:val="045AA9"/>
          <w:sz w:val="21"/>
        </w:rPr>
        <w:t xml:space="preserve">Innovation. </w:t>
      </w:r>
      <w:r>
        <w:rPr>
          <w:rFonts w:ascii="Aptos" w:hAnsi="Aptos" w:cs="Aptos" w:eastAsia="Aptos"/>
          <w:b w:val="0"/>
          <w:i w:val="0"/>
          <w:color w:val="2A2A2A"/>
          <w:sz w:val="21"/>
        </w:rPr>
        <w:t>FAST-PETase was reported by the Alper group at the University of Texas at Austin in 2022. PlastiBioFuel did not invent the enzyme. Our contributions, covered by USPTO provisional 63/848,456, are the covalent organic framework immobilization system, the spiral-flow reactor geometry, and the integrated depolymerization-to-ethanol process. Phase I adds a surrogate model that predicts conversion and turnover frequency from temperature, residence time, feedstock crystallinity, and enzyme loading density, then proposes the next conditions for the reactor to run.</w:t>
      </w:r>
    </w:p>
    <w:p>
      <w:pPr>
        <w:spacing w:before="0" w:after="140" w:line="312" w:lineRule="auto"/>
        <w:ind w:left="1240"/>
      </w:pPr>
      <w:r>
        <w:rPr>
          <w:rFonts w:ascii="Aptos Display" w:hAnsi="Aptos Display" w:cs="Aptos Display" w:eastAsia="Aptos Display"/>
          <w:b/>
          <w:i w:val="0"/>
          <w:color w:val="045AA9"/>
          <w:sz w:val="21"/>
        </w:rPr>
        <w:t xml:space="preserve">Feasibility. </w:t>
      </w:r>
      <w:r>
        <w:rPr>
          <w:rFonts w:ascii="Aptos" w:hAnsi="Aptos" w:cs="Aptos" w:eastAsia="Aptos"/>
          <w:b w:val="0"/>
          <w:i w:val="0"/>
          <w:color w:val="2A2A2A"/>
          <w:sz w:val="21"/>
        </w:rPr>
        <w:t>The training data already exists. We have depolymerized real high-crystallinity post-consumer bottle PET to terephthalic acid, MHET, and ethylene glycol with HPLC confirmation, loaded the framework to near-complete enzyme occupancy with full retention of catalytic activity, held product formation linear through 24 hours of continuous operation, and shown that turnover-frequency decline tracks substrate depletion rather than enzyme deactivation. Identifiable kinetics are what make this model tractable on a Phase I budget and schedule.</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1238"/>
            <w:tcBorders>
              <w:top w:val="nil"/>
              <w:left w:val="nil"/>
              <w:bottom w:val="nil"/>
              <w:right w:val="nil"/>
            </w:tcBorders>
            <w:tcMar>
              <w:top w:w="0" w:type="dxa"/>
              <w:start w:w="0" w:type="dxa"/>
              <w:bottom w:w="0" w:type="dxa"/>
              <w:end w:w="0" w:type="dxa"/>
            </w:tcMar>
          </w:tcPr>
          <w:p/>
        </w:tc>
        <w:tc>
          <w:tcPr>
            <w:tcW w:type="dxa" w:w="8122"/>
            <w:tcMar>
              <w:top w:w="0" w:type="dxa"/>
              <w:start w:w="0" w:type="dxa"/>
              <w:bottom w:w="0" w:type="dxa"/>
              <w:end w:w="0" w:type="dxa"/>
            </w:tcMar>
            <w:tcBorders>
              <w:top w:val="nil"/>
              <w:left w:val="single" w:sz="12" w:space="0" w:color="E3E8EF"/>
              <w:bottom w:val="nil"/>
              <w:right w:val="nil"/>
            </w:tcBorders>
            <w:tcMar>
              <w:top w:w="60" w:type="dxa"/>
              <w:start w:w="240" w:type="dxa"/>
              <w:bottom w:w="60" w:type="dxa"/>
              <w:end w:w="0" w:type="dxa"/>
            </w:tcMar>
          </w:tcPr>
          <w:p>
            <w:pPr>
              <w:spacing w:before="0" w:after="0" w:line="264" w:lineRule="auto"/>
            </w:pPr>
            <w:r>
              <w:rPr>
                <w:rFonts w:ascii="Aptos Display" w:hAnsi="Aptos Display" w:cs="Aptos Display" w:eastAsia="Aptos Display"/>
                <w:b/>
                <w:i w:val="0"/>
                <w:color w:val="6B7684"/>
                <w:sz w:val="14"/>
                <w:spacing w:val="20"/>
              </w:rPr>
              <w:t>OPTIONAL ADD-ON, ONLY IF THE GUIDE ALLOWS MORE WORDS  ·  34 WORDS</w:t>
            </w:r>
          </w:p>
          <w:p>
            <w:pPr>
              <w:spacing w:before="60" w:after="0" w:line="312" w:lineRule="auto"/>
            </w:pPr>
            <w:r>
              <w:rPr>
                <w:rFonts w:ascii="Aptos" w:hAnsi="Aptos" w:cs="Aptos" w:eastAsia="Aptos"/>
                <w:b w:val="0"/>
                <w:i w:val="0"/>
                <w:color w:val="4A5561"/>
                <w:sz w:val="19"/>
              </w:rPr>
              <w:t>Phase I will produce a model whose predictions are tested against held-out reactor runs, so the go or no-go evidence at the end of Phase I is a measured prediction error, not a claim.</w:t>
            </w:r>
          </w:p>
        </w:tc>
      </w:tr>
    </w:tbl>
    <w:p>
      <w:pPr>
        <w:spacing w:before="0" w:after="80" w:line="240" w:lineRule="auto"/>
      </w:pPr>
    </w:p>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1238"/>
            <w:tcBorders>
              <w:top w:val="nil"/>
              <w:left w:val="nil"/>
              <w:bottom w:val="nil"/>
              <w:right w:val="nil"/>
            </w:tcBorders>
            <w:tcMar>
              <w:top w:w="0" w:type="dxa"/>
              <w:start w:w="0" w:type="dxa"/>
              <w:bottom w:w="0" w:type="dxa"/>
              <w:end w:w="0" w:type="dxa"/>
            </w:tcMar>
            <w:tcMar>
              <w:top w:w="40" w:type="dxa"/>
              <w:start w:w="0" w:type="dxa"/>
              <w:bottom w:w="0" w:type="dxa"/>
              <w:end w:w="0" w:type="dxa"/>
            </w:tcMar>
          </w:tcPr>
          <w:p>
            <w:pPr>
              <w:spacing w:before="0" w:after="0" w:line="228" w:lineRule="auto"/>
            </w:pPr>
            <w:r>
              <w:rPr>
                <w:rFonts w:ascii="Aptos Display" w:hAnsi="Aptos Display" w:cs="Aptos Display" w:eastAsia="Aptos Display"/>
                <w:b/>
                <w:i w:val="0"/>
                <w:color w:val="D7E6F5"/>
                <w:sz w:val="60"/>
              </w:rPr>
              <w:t>03</w:t>
            </w:r>
          </w:p>
        </w:tc>
        <w:tc>
          <w:tcPr>
            <w:tcW w:type="dxa" w:w="6480"/>
            <w:tcMar>
              <w:top w:w="0" w:type="dxa"/>
              <w:start w:w="0" w:type="dxa"/>
              <w:bottom w:w="0" w:type="dxa"/>
              <w:end w:w="0" w:type="dxa"/>
            </w:tcMar>
            <w:tcMar>
              <w:top w:w="160" w:type="dxa"/>
              <w:start w:w="0" w:type="dxa"/>
              <w:bottom w:w="120" w:type="dxa"/>
              <w:end w:w="0" w:type="dxa"/>
            </w:tcMar>
            <w:tcBorders>
              <w:top w:val="nil"/>
              <w:left w:val="nil"/>
              <w:bottom w:val="single" w:sz="6" w:space="0" w:color="E3E8EF"/>
              <w:right w:val="nil"/>
            </w:tcBorders>
          </w:tcPr>
          <w:p>
            <w:pPr>
              <w:spacing w:before="0" w:after="0" w:line="276" w:lineRule="auto"/>
            </w:pPr>
            <w:r>
              <w:rPr>
                <w:rFonts w:ascii="Aptos Display" w:hAnsi="Aptos Display" w:cs="Aptos Display" w:eastAsia="Aptos Display"/>
                <w:b/>
                <w:i w:val="0"/>
                <w:color w:val="045AA9"/>
                <w:sz w:val="28"/>
              </w:rPr>
              <w:t>Commercialization Potential</w:t>
            </w:r>
          </w:p>
        </w:tc>
        <w:tc>
          <w:tcPr>
            <w:tcW w:type="dxa" w:w="1642"/>
            <w:tcMar>
              <w:top w:w="0" w:type="dxa"/>
              <w:start w:w="0" w:type="dxa"/>
              <w:bottom w:w="0" w:type="dxa"/>
              <w:end w:w="0" w:type="dxa"/>
            </w:tcMar>
            <w:tcMar>
              <w:top w:w="180" w:type="dxa"/>
              <w:start w:w="0" w:type="dxa"/>
              <w:bottom w:w="120" w:type="dxa"/>
              <w:end w:w="0" w:type="dxa"/>
            </w:tcMar>
            <w:tcBorders>
              <w:top w:val="nil"/>
              <w:left w:val="nil"/>
              <w:bottom w:val="single" w:sz="6" w:space="0" w:color="E3E8EF"/>
              <w:right w:val="nil"/>
            </w:tcBorders>
          </w:tcPr>
          <w:p>
            <w:pPr>
              <w:spacing w:before="0" w:after="0" w:line="288" w:lineRule="auto"/>
              <w:jc w:val="right"/>
            </w:pPr>
            <w:r>
              <w:rPr>
                <w:rFonts w:ascii="Aptos Display" w:hAnsi="Aptos Display" w:cs="Aptos Display" w:eastAsia="Aptos Display"/>
                <w:b/>
                <w:i w:val="0"/>
                <w:color w:val="FFFFFF"/>
                <w:sz w:val="14"/>
                <w:spacing w:val="20"/>
                <w:shd w:val="clear" w:color="auto" w:fill="045AA9"/>
              </w:rPr>
              <w:t xml:space="preserve"> 191 WORDS </w:t>
            </w:r>
          </w:p>
        </w:tc>
      </w:tr>
    </w:tbl>
    <w:p>
      <w:pPr>
        <w:spacing w:before="0" w:after="60" w:line="240" w:lineRule="auto"/>
      </w:pPr>
    </w:p>
    <w:p>
      <w:pPr>
        <w:spacing w:before="0" w:after="140" w:line="312" w:lineRule="auto"/>
        <w:ind w:left="1240"/>
      </w:pPr>
      <w:r>
        <w:rPr>
          <w:rFonts w:ascii="Aptos Display" w:hAnsi="Aptos Display" w:cs="Aptos Display" w:eastAsia="Aptos Display"/>
          <w:b/>
          <w:i w:val="0"/>
          <w:color w:val="045AA9"/>
          <w:sz w:val="21"/>
        </w:rPr>
        <w:t xml:space="preserve">Value proposition. </w:t>
      </w:r>
      <w:r>
        <w:rPr>
          <w:rFonts w:ascii="Aptos" w:hAnsi="Aptos" w:cs="Aptos" w:eastAsia="Aptos"/>
          <w:b w:val="0"/>
          <w:i w:val="0"/>
          <w:color w:val="2A2A2A"/>
          <w:sz w:val="21"/>
        </w:rPr>
        <w:t>The product is fuel-grade ethanol made from a waste feedstock. Post-consumer PET is abundant, domestically sourced, priced well below agricultural feedstock, and it does not compete with food production. Low carbon fuel standard credit value applies to the finished fuel and is the firmer part of the value case. Federal renewable identification number eligibility remains subject to final renewable-fuel pathway qualification, and we do not assume it.</w:t>
      </w:r>
    </w:p>
    <w:p>
      <w:pPr>
        <w:spacing w:before="0" w:after="140" w:line="312" w:lineRule="auto"/>
        <w:ind w:left="1240"/>
      </w:pPr>
      <w:r>
        <w:rPr>
          <w:rFonts w:ascii="Aptos Display" w:hAnsi="Aptos Display" w:cs="Aptos Display" w:eastAsia="Aptos Display"/>
          <w:b/>
          <w:i w:val="0"/>
          <w:color w:val="045AA9"/>
          <w:sz w:val="21"/>
        </w:rPr>
        <w:t xml:space="preserve">Competitive advantage. </w:t>
      </w:r>
      <w:r>
        <w:rPr>
          <w:rFonts w:ascii="Aptos" w:hAnsi="Aptos" w:cs="Aptos" w:eastAsia="Aptos"/>
          <w:b w:val="0"/>
          <w:i w:val="0"/>
          <w:color w:val="2A2A2A"/>
          <w:sz w:val="21"/>
        </w:rPr>
        <w:t>Pyrolysis routes to fuel carry high energy cost per gallon. Mechanical recycling degrades polymer quality on every cycle. Enzymatic recyclers that return monomer to virgin-equivalent resin compete for the same feedstock but sell into the resin market, so our offtake channel does not overlap theirs. The design model shortens the bench-to-plant step, which is where enzymatic routes usually stall.</w:t>
      </w:r>
    </w:p>
    <w:p>
      <w:pPr>
        <w:spacing w:before="0" w:after="140" w:line="312" w:lineRule="auto"/>
        <w:ind w:left="1240"/>
      </w:pPr>
      <w:r>
        <w:rPr>
          <w:rFonts w:ascii="Aptos Display" w:hAnsi="Aptos Display" w:cs="Aptos Display" w:eastAsia="Aptos Display"/>
          <w:b/>
          <w:i w:val="0"/>
          <w:color w:val="045AA9"/>
          <w:sz w:val="21"/>
        </w:rPr>
        <w:t xml:space="preserve">Go to market. </w:t>
      </w:r>
      <w:r>
        <w:rPr>
          <w:rFonts w:ascii="Aptos" w:hAnsi="Aptos" w:cs="Aptos" w:eastAsia="Aptos"/>
          <w:b w:val="0"/>
          <w:i w:val="0"/>
          <w:color w:val="2A2A2A"/>
          <w:sz w:val="21"/>
        </w:rPr>
        <w:t>We are in offtake discussions with ARG Petro, a regional fuel distributor, and have their interest. Texas puts PET waste aggregation, refining infrastructure, and fuel blending demand in one region. The Phase I output is a sizing and operating envelope for the first modular unit, so the model feeds a capital decision rather than sitting on a shelf.</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1238"/>
            <w:tcBorders>
              <w:top w:val="nil"/>
              <w:left w:val="nil"/>
              <w:bottom w:val="nil"/>
              <w:right w:val="nil"/>
            </w:tcBorders>
            <w:tcMar>
              <w:top w:w="0" w:type="dxa"/>
              <w:start w:w="0" w:type="dxa"/>
              <w:bottom w:w="0" w:type="dxa"/>
              <w:end w:w="0" w:type="dxa"/>
            </w:tcMar>
          </w:tcPr>
          <w:p/>
        </w:tc>
        <w:tc>
          <w:tcPr>
            <w:tcW w:type="dxa" w:w="8122"/>
            <w:tcMar>
              <w:top w:w="0" w:type="dxa"/>
              <w:start w:w="0" w:type="dxa"/>
              <w:bottom w:w="0" w:type="dxa"/>
              <w:end w:w="0" w:type="dxa"/>
            </w:tcMar>
            <w:tcBorders>
              <w:top w:val="nil"/>
              <w:left w:val="single" w:sz="12" w:space="0" w:color="E3E8EF"/>
              <w:bottom w:val="nil"/>
              <w:right w:val="nil"/>
            </w:tcBorders>
            <w:tcMar>
              <w:top w:w="60" w:type="dxa"/>
              <w:start w:w="240" w:type="dxa"/>
              <w:bottom w:w="60" w:type="dxa"/>
              <w:end w:w="0" w:type="dxa"/>
            </w:tcMar>
          </w:tcPr>
          <w:p>
            <w:pPr>
              <w:spacing w:before="0" w:after="0" w:line="264" w:lineRule="auto"/>
            </w:pPr>
            <w:r>
              <w:rPr>
                <w:rFonts w:ascii="Aptos Display" w:hAnsi="Aptos Display" w:cs="Aptos Display" w:eastAsia="Aptos Display"/>
                <w:b/>
                <w:i w:val="0"/>
                <w:color w:val="6B7684"/>
                <w:sz w:val="14"/>
                <w:spacing w:val="20"/>
              </w:rPr>
              <w:t>OPTIONAL ADD-ON, ONLY IF THE GUIDE ALLOWS MORE WORDS  ·  23 WORDS</w:t>
            </w:r>
          </w:p>
          <w:p>
            <w:pPr>
              <w:spacing w:before="60" w:after="0" w:line="312" w:lineRule="auto"/>
            </w:pPr>
            <w:r>
              <w:rPr>
                <w:rFonts w:ascii="Aptos" w:hAnsi="Aptos" w:cs="Aptos" w:eastAsia="Aptos"/>
                <w:b w:val="0"/>
                <w:i w:val="0"/>
                <w:color w:val="4A5561"/>
                <w:sz w:val="19"/>
              </w:rPr>
              <w:t>A first modular unit sited near a Texas PET aggregation point is the specific commercial target that Phase I is meant to de-risk.</w:t>
            </w:r>
          </w:p>
        </w:tc>
      </w:tr>
    </w:tbl>
    <w:p>
      <w:pPr>
        <w:spacing w:before="0" w:after="80" w:line="240" w:lineRule="auto"/>
      </w:pPr>
    </w:p>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1238"/>
            <w:tcBorders>
              <w:top w:val="nil"/>
              <w:left w:val="nil"/>
              <w:bottom w:val="nil"/>
              <w:right w:val="nil"/>
            </w:tcBorders>
            <w:tcMar>
              <w:top w:w="0" w:type="dxa"/>
              <w:start w:w="0" w:type="dxa"/>
              <w:bottom w:w="0" w:type="dxa"/>
              <w:end w:w="0" w:type="dxa"/>
            </w:tcMar>
            <w:tcMar>
              <w:top w:w="40" w:type="dxa"/>
              <w:start w:w="0" w:type="dxa"/>
              <w:bottom w:w="0" w:type="dxa"/>
              <w:end w:w="0" w:type="dxa"/>
            </w:tcMar>
          </w:tcPr>
          <w:p>
            <w:pPr>
              <w:spacing w:before="0" w:after="0" w:line="228" w:lineRule="auto"/>
            </w:pPr>
            <w:r>
              <w:rPr>
                <w:rFonts w:ascii="Aptos Display" w:hAnsi="Aptos Display" w:cs="Aptos Display" w:eastAsia="Aptos Display"/>
                <w:b/>
                <w:i w:val="0"/>
                <w:color w:val="D7E6F5"/>
                <w:sz w:val="60"/>
              </w:rPr>
              <w:t>04</w:t>
            </w:r>
          </w:p>
        </w:tc>
        <w:tc>
          <w:tcPr>
            <w:tcW w:type="dxa" w:w="6480"/>
            <w:tcMar>
              <w:top w:w="0" w:type="dxa"/>
              <w:start w:w="0" w:type="dxa"/>
              <w:bottom w:w="0" w:type="dxa"/>
              <w:end w:w="0" w:type="dxa"/>
            </w:tcMar>
            <w:tcMar>
              <w:top w:w="160" w:type="dxa"/>
              <w:start w:w="0" w:type="dxa"/>
              <w:bottom w:w="120" w:type="dxa"/>
              <w:end w:w="0" w:type="dxa"/>
            </w:tcMar>
            <w:tcBorders>
              <w:top w:val="nil"/>
              <w:left w:val="nil"/>
              <w:bottom w:val="single" w:sz="6" w:space="0" w:color="E3E8EF"/>
              <w:right w:val="nil"/>
            </w:tcBorders>
          </w:tcPr>
          <w:p>
            <w:pPr>
              <w:spacing w:before="0" w:after="0" w:line="276" w:lineRule="auto"/>
            </w:pPr>
            <w:r>
              <w:rPr>
                <w:rFonts w:ascii="Aptos Display" w:hAnsi="Aptos Display" w:cs="Aptos Display" w:eastAsia="Aptos Display"/>
                <w:b/>
                <w:i w:val="0"/>
                <w:color w:val="045AA9"/>
                <w:sz w:val="28"/>
              </w:rPr>
              <w:t>Team Qualifications</w:t>
            </w:r>
          </w:p>
        </w:tc>
        <w:tc>
          <w:tcPr>
            <w:tcW w:type="dxa" w:w="1642"/>
            <w:tcMar>
              <w:top w:w="0" w:type="dxa"/>
              <w:start w:w="0" w:type="dxa"/>
              <w:bottom w:w="0" w:type="dxa"/>
              <w:end w:w="0" w:type="dxa"/>
            </w:tcMar>
            <w:tcMar>
              <w:top w:w="180" w:type="dxa"/>
              <w:start w:w="0" w:type="dxa"/>
              <w:bottom w:w="120" w:type="dxa"/>
              <w:end w:w="0" w:type="dxa"/>
            </w:tcMar>
            <w:tcBorders>
              <w:top w:val="nil"/>
              <w:left w:val="nil"/>
              <w:bottom w:val="single" w:sz="6" w:space="0" w:color="E3E8EF"/>
              <w:right w:val="nil"/>
            </w:tcBorders>
          </w:tcPr>
          <w:p>
            <w:pPr>
              <w:spacing w:before="0" w:after="0" w:line="288" w:lineRule="auto"/>
              <w:jc w:val="right"/>
            </w:pPr>
            <w:r>
              <w:rPr>
                <w:rFonts w:ascii="Aptos Display" w:hAnsi="Aptos Display" w:cs="Aptos Display" w:eastAsia="Aptos Display"/>
                <w:b/>
                <w:i w:val="0"/>
                <w:color w:val="FFFFFF"/>
                <w:sz w:val="14"/>
                <w:spacing w:val="20"/>
                <w:shd w:val="clear" w:color="auto" w:fill="045AA9"/>
              </w:rPr>
              <w:t xml:space="preserve"> 181 WORDS </w:t>
            </w:r>
          </w:p>
        </w:tc>
      </w:tr>
    </w:tbl>
    <w:p>
      <w:pPr>
        <w:spacing w:before="0" w:after="60" w:line="240" w:lineRule="auto"/>
      </w:pPr>
    </w:p>
    <w:p>
      <w:pPr>
        <w:spacing w:before="0" w:after="140" w:line="312" w:lineRule="auto"/>
        <w:ind w:left="1240"/>
      </w:pPr>
      <w:r>
        <w:rPr>
          <w:rFonts w:ascii="Aptos Display" w:hAnsi="Aptos Display" w:cs="Aptos Display" w:eastAsia="Aptos Display"/>
          <w:b/>
          <w:i w:val="0"/>
          <w:color w:val="045AA9"/>
          <w:sz w:val="21"/>
        </w:rPr>
        <w:t xml:space="preserve">Company. </w:t>
      </w:r>
      <w:r>
        <w:rPr>
          <w:rFonts w:ascii="Aptos" w:hAnsi="Aptos" w:cs="Aptos" w:eastAsia="Aptos"/>
          <w:b w:val="0"/>
          <w:i w:val="0"/>
          <w:color w:val="2A2A2A"/>
          <w:sz w:val="21"/>
        </w:rPr>
        <w:t>Michael David Ward, Founder and CEO, is the principal investigator and is primarily employed by PlastiBioFuel. The company is a service-disabled veteran-owned small business verified through SBA VetCert, holds USPTO provisional 63/848,456, and generated the preliminary data cited here with its research partner. All work will be performed in the United States.</w:t>
      </w:r>
    </w:p>
    <w:p>
      <w:pPr>
        <w:spacing w:before="0" w:after="140" w:line="312" w:lineRule="auto"/>
        <w:ind w:left="1240"/>
      </w:pPr>
      <w:r>
        <w:rPr>
          <w:rFonts w:ascii="Aptos Display" w:hAnsi="Aptos Display" w:cs="Aptos Display" w:eastAsia="Aptos Display"/>
          <w:b/>
          <w:i w:val="0"/>
          <w:color w:val="045AA9"/>
          <w:sz w:val="21"/>
        </w:rPr>
        <w:t xml:space="preserve">Partnerships. </w:t>
      </w:r>
      <w:r>
        <w:rPr>
          <w:rFonts w:ascii="Aptos" w:hAnsi="Aptos" w:cs="Aptos" w:eastAsia="Aptos"/>
          <w:b w:val="0"/>
          <w:i w:val="0"/>
          <w:color w:val="2A2A2A"/>
          <w:sz w:val="21"/>
        </w:rPr>
        <w:t>The University of North Texas is our research partner under executed Sponsored Research Agreement SRA1016, with a $250,000 extension under negotiation. Dr. Shengqian Ma, Department of Chemistry, leads covalent organic framework and immobilization chemistry; his group has published on enzyme immobilization in covalent organic frameworks and on framework host materials for enzymes. Dr. Joshua Phipps, postdoctoral researcher, runs day-to-day wet lab work. The partnership gives Phase I reactor access, HPLC analytics, and materials characterization with no capital spending.</w:t>
      </w:r>
    </w:p>
    <w:p>
      <w:pPr>
        <w:spacing w:before="0" w:after="140" w:line="312" w:lineRule="auto"/>
        <w:ind w:left="1240"/>
      </w:pPr>
      <w:r>
        <w:rPr>
          <w:rFonts w:ascii="Aptos Display" w:hAnsi="Aptos Display" w:cs="Aptos Display" w:eastAsia="Aptos Display"/>
          <w:b/>
          <w:i w:val="0"/>
          <w:color w:val="045AA9"/>
          <w:sz w:val="21"/>
        </w:rPr>
        <w:t xml:space="preserve">Follow-on funding. </w:t>
      </w:r>
      <w:r>
        <w:rPr>
          <w:rFonts w:ascii="Aptos" w:hAnsi="Aptos" w:cs="Aptos" w:eastAsia="Aptos"/>
          <w:b w:val="0"/>
          <w:i w:val="0"/>
          <w:color w:val="2A2A2A"/>
          <w:sz w:val="21"/>
        </w:rPr>
        <w:t>PlastiBioFuel has a separate NSF SBIR Phase I proposal, Research.gov 328095, submitting against the November 4, 2026 window. That proposal covers wet chemistry and reactor hardware and does not overlap the computational scope proposed here. We disclose it so DOE can confirm there is no duplicate funding.</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1238"/>
            <w:tcBorders>
              <w:top w:val="nil"/>
              <w:left w:val="nil"/>
              <w:bottom w:val="nil"/>
              <w:right w:val="nil"/>
            </w:tcBorders>
            <w:tcMar>
              <w:top w:w="0" w:type="dxa"/>
              <w:start w:w="0" w:type="dxa"/>
              <w:bottom w:w="0" w:type="dxa"/>
              <w:end w:w="0" w:type="dxa"/>
            </w:tcMar>
          </w:tcPr>
          <w:p/>
        </w:tc>
        <w:tc>
          <w:tcPr>
            <w:tcW w:type="dxa" w:w="8122"/>
            <w:tcMar>
              <w:top w:w="0" w:type="dxa"/>
              <w:start w:w="0" w:type="dxa"/>
              <w:bottom w:w="0" w:type="dxa"/>
              <w:end w:w="0" w:type="dxa"/>
            </w:tcMar>
            <w:tcBorders>
              <w:top w:val="nil"/>
              <w:left w:val="single" w:sz="12" w:space="0" w:color="E3E8EF"/>
              <w:bottom w:val="nil"/>
              <w:right w:val="nil"/>
            </w:tcBorders>
            <w:tcMar>
              <w:top w:w="60" w:type="dxa"/>
              <w:start w:w="240" w:type="dxa"/>
              <w:bottom w:w="60" w:type="dxa"/>
              <w:end w:w="0" w:type="dxa"/>
            </w:tcMar>
          </w:tcPr>
          <w:p>
            <w:pPr>
              <w:spacing w:before="0" w:after="0" w:line="264" w:lineRule="auto"/>
            </w:pPr>
            <w:r>
              <w:rPr>
                <w:rFonts w:ascii="Aptos Display" w:hAnsi="Aptos Display" w:cs="Aptos Display" w:eastAsia="Aptos Display"/>
                <w:b/>
                <w:i w:val="0"/>
                <w:color w:val="6B7684"/>
                <w:sz w:val="14"/>
                <w:spacing w:val="20"/>
              </w:rPr>
              <w:t>OPTIONAL ADD-ON, ONLY IF THE GUIDE ALLOWS MORE WORDS  ·  19 WORDS</w:t>
            </w:r>
          </w:p>
          <w:p>
            <w:pPr>
              <w:spacing w:before="60" w:after="0" w:line="312" w:lineRule="auto"/>
            </w:pPr>
            <w:r>
              <w:rPr>
                <w:rFonts w:ascii="Aptos" w:hAnsi="Aptos" w:cs="Aptos" w:eastAsia="Aptos"/>
                <w:b w:val="0"/>
                <w:i w:val="0"/>
                <w:color w:val="4A5561"/>
                <w:sz w:val="19"/>
              </w:rPr>
              <w:t>Marshall Nadel is a seed investor in PlastiBioFuel, and Patrick Tarlton of the Texas Concrete Association supports business development.</w:t>
            </w:r>
          </w:p>
        </w:tc>
      </w:tr>
    </w:tbl>
    <w:p>
      <w:pPr>
        <w:spacing w:before="0" w:after="80" w:line="240" w:lineRule="auto"/>
      </w:pPr>
    </w:p>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WORD COUNT SUMMARY</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As written  ·  With add-on</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1. Summary, Topic, and Mission Alignment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97 words as written  ·  97 with add-on</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2. Technical Promise</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202 words as written  ·  236 with add-on</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3. Commercialization Potential</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191 words as written  ·  214 with add-on</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4. Team Qualifications</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181 words as written  ·  200 with add-on</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Total</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671 words as written  ·  747 with add-on</w:t>
            </w:r>
          </w:p>
        </w:tc>
      </w:tr>
    </w:tbl>
    <w:p>
      <w:pPr>
        <w:spacing w:before="0" w:after="120" w:line="240" w:lineRule="auto"/>
      </w:pPr>
    </w:p>
    <w:p>
      <w:pPr>
        <w:spacing w:before="0" w:after="140" w:line="312" w:lineRule="auto"/>
      </w:pPr>
      <w:r>
        <w:rPr>
          <w:rFonts w:ascii="Aptos" w:hAnsi="Aptos" w:cs="Aptos" w:eastAsia="Aptos"/>
          <w:b w:val="0"/>
          <w:i w:val="0"/>
          <w:color w:val="2A2A2A"/>
          <w:sz w:val="21"/>
        </w:rPr>
        <w:t>Question 1 is held under 100 words. If the Pitch Development Guide sets higher limits, append the add-on sentences. If it sets lower limits, the answers cut cleanly at paragraph boundaries. Drop the Feasibility paragraph from Question 2 last, since it carries the preliminary data that makes the pitch credible.</w:t>
      </w: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Borders>
              <w:top w:val="nil"/>
              <w:left w:val="nil"/>
              <w:bottom w:val="nil"/>
              <w:right w:val="nil"/>
            </w:tcBorders>
            <w:tcMar>
              <w:top w:w="0" w:type="dxa"/>
              <w:start w:w="0" w:type="dxa"/>
              <w:bottom w:w="0" w:type="dxa"/>
              <w:end w:w="0" w:type="dxa"/>
            </w:tcMar>
            <w:shd w:val="clear" w:color="auto" w:fill="F2F7FC"/>
            <w:tcMar>
              <w:top w:w="220" w:type="dxa"/>
              <w:start w:w="360" w:type="dxa"/>
              <w:bottom w:w="220" w:type="dxa"/>
              <w:end w:w="360" w:type="dxa"/>
            </w:tcMar>
          </w:tcPr>
          <w:p>
            <w:pPr>
              <w:spacing w:before="0" w:after="0" w:line="276" w:lineRule="auto"/>
            </w:pPr>
            <w:r>
              <w:rPr>
                <w:rFonts w:ascii="Aptos Display" w:hAnsi="Aptos Display" w:cs="Aptos Display" w:eastAsia="Aptos Display"/>
                <w:b/>
                <w:i w:val="0"/>
                <w:color w:val="045AA9"/>
                <w:sz w:val="17"/>
                <w:spacing w:val="24"/>
              </w:rPr>
              <w:t>OPTIONAL UPLOAD: BIBLIOGRAPHY AND REFERENCES CITED</w:t>
            </w:r>
          </w:p>
          <w:p>
            <w:pPr>
              <w:spacing w:before="100" w:after="0" w:line="317" w:lineRule="auto"/>
              <w:ind w:left="200"/>
              <w:pBdr>
                <w:left w:val="single" w:sz="12" w:space="6" w:color="045AA9"/>
              </w:pBdr>
            </w:pPr>
            <w:r>
              <w:rPr>
                <w:rFonts w:ascii="Aptos" w:hAnsi="Aptos" w:cs="Aptos" w:eastAsia="Aptos"/>
                <w:b w:val="0"/>
                <w:i w:val="0"/>
                <w:color w:val="2A2A2A"/>
                <w:sz w:val="20"/>
              </w:rPr>
              <w:t>Prepared and included in this package. Worth uploading: it substantiates the statement that PlastiBioFuel did not invent the enzyme, and it shows the UNT partner's published record in enzyme immobilization in covalent organic frameworks.</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Michael David Ward, Founder and CEO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