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FORMS AND CERTIFICATIONS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SBIR/STTR FY26 PHASE I  ·  GENESIS MISSION</w:t>
      </w:r>
    </w:p>
    <w:p>
      <w:pPr>
        <w:keepNext/>
        <w:spacing w:before="0" w:after="0" w:line="247" w:lineRule="auto"/>
      </w:pPr>
      <w:r>
        <w:rPr>
          <w:rFonts w:ascii="Aptos Display" w:hAnsi="Aptos Display" w:cs="Aptos Display" w:eastAsia="Aptos Display"/>
          <w:b/>
          <w:i w:val="0"/>
          <w:color w:val="2A2A2A"/>
          <w:sz w:val="56"/>
        </w:rPr>
        <w:t>Nothing to sign</w:t>
      </w:r>
    </w:p>
    <w:p>
      <w:pPr>
        <w:keepNext/>
        <w:spacing w:before="0" w:after="120" w:line="247" w:lineRule="auto"/>
      </w:pPr>
      <w:r>
        <w:rPr>
          <w:rFonts w:ascii="Aptos Display" w:hAnsi="Aptos Display" w:cs="Aptos Display" w:eastAsia="Aptos Display"/>
          <w:b/>
          <w:i w:val="0"/>
          <w:color w:val="2A2A2A"/>
          <w:sz w:val="56"/>
        </w:rPr>
        <w:t>at the pitch stage</w:t>
      </w:r>
    </w:p>
    <w:p>
      <w:pPr>
        <w:spacing w:before="0" w:after="260" w:line="312" w:lineRule="auto"/>
      </w:pPr>
      <w:r>
        <w:rPr>
          <w:rFonts w:ascii="Aptos" w:hAnsi="Aptos" w:cs="Aptos" w:eastAsia="Aptos"/>
          <w:b w:val="0"/>
          <w:i w:val="0"/>
          <w:color w:val="4A5561"/>
          <w:sz w:val="22"/>
        </w:rPr>
        <w:t>DOE requires no forms, certifications, or representations at the pitch stage. The only gate is an AMP account. Stage 2 applies only if the pitch is invited forward, and DOE has not yet published the full-application forms package. Every Stage 2 row is marked by source so nothing anticipated is mistaken for something confirmed.</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468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r>
              <w:rPr>
                <w:rFonts w:ascii="Aptos" w:hAnsi="Aptos" w:cs="Aptos" w:eastAsia="Aptos"/>
                <w:b w:val="0"/>
                <w:i w:val="0"/>
                <w:color w:val="6B7684"/>
                <w:sz w:val="17"/>
              </w:rPr>
              <w:t xml:space="preserve">   Stated on a DOE or ConnectWerx page as of August 22, 2026</w:t>
            </w:r>
          </w:p>
        </w:tc>
        <w:tc>
          <w:tcPr>
            <w:tcW w:type="dxa" w:w="468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r>
              <w:rPr>
                <w:rFonts w:ascii="Aptos" w:hAnsi="Aptos" w:cs="Aptos" w:eastAsia="Aptos"/>
                <w:b w:val="0"/>
                <w:i w:val="0"/>
                <w:color w:val="6B7684"/>
                <w:sz w:val="17"/>
              </w:rPr>
              <w:t xml:space="preserve">   Standard SBIR/STTR practice, not yet published here</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STAGE 1  ·  PITCH</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Due Sep 10, 2026, 2:00 PM ET</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D50057"/>
                <w:sz w:val="14"/>
                <w:spacing w:val="20"/>
                <w:shd w:val="clear" w:color="auto" w:fill="FDF0F5"/>
              </w:rPr>
              <w:t xml:space="preserve"> REQUIRED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AMP account request</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register.ati.org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no signature</w:t>
            </w:r>
          </w:p>
          <w:p>
            <w:pPr>
              <w:spacing w:before="60" w:after="0" w:line="307" w:lineRule="auto"/>
            </w:pPr>
            <w:r>
              <w:rPr>
                <w:rFonts w:ascii="Aptos" w:hAnsi="Aptos" w:cs="Aptos" w:eastAsia="Aptos"/>
                <w:b w:val="0"/>
                <w:i w:val="0"/>
                <w:color w:val="4A5561"/>
                <w:sz w:val="19"/>
              </w:rPr>
              <w:t>Required before submission. Under 5 minutes to request, allow 1 to 2 business days for approval.</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F766E"/>
                <w:sz w:val="14"/>
                <w:spacing w:val="20"/>
                <w:shd w:val="clear" w:color="auto" w:fill="E6F4F1"/>
              </w:rPr>
              <w:t xml:space="preserve"> READY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Pitch submission form, four open-text answers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AMP, sbirsttr-amp.ati.org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 signature</w:t>
            </w:r>
          </w:p>
          <w:p>
            <w:pPr>
              <w:spacing w:before="60" w:after="0" w:line="307" w:lineRule="auto"/>
            </w:pPr>
            <w:r>
              <w:rPr>
                <w:rFonts w:ascii="Aptos" w:hAnsi="Aptos" w:cs="Aptos" w:eastAsia="Aptos"/>
                <w:b w:val="0"/>
                <w:i w:val="0"/>
                <w:color w:val="4A5561"/>
                <w:sz w:val="19"/>
              </w:rPr>
              <w:t>Text is written. See the Pitch Responses document in this package.</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D50057"/>
                <w:sz w:val="14"/>
                <w:spacing w:val="20"/>
                <w:shd w:val="clear" w:color="auto" w:fill="FDF0F5"/>
              </w:rPr>
              <w:t xml:space="preserve"> REQUIRED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Topic selection, one only</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AMP submission form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 signature</w:t>
            </w:r>
          </w:p>
          <w:p>
            <w:pPr>
              <w:spacing w:before="60" w:after="0" w:line="307" w:lineRule="auto"/>
            </w:pPr>
            <w:r>
              <w:rPr>
                <w:rFonts w:ascii="Aptos" w:hAnsi="Aptos" w:cs="Aptos" w:eastAsia="Aptos"/>
                <w:b w:val="0"/>
                <w:i w:val="0"/>
                <w:color w:val="4A5561"/>
                <w:sz w:val="19"/>
              </w:rPr>
              <w:t>Topic 1, Scaling the Biotechnology Revolution. Cannot be changed after submission.</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OPTIONAL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Bibliography and References Cited</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AMP file upload, PDF, 5 MB or smaller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 signature</w:t>
            </w:r>
          </w:p>
          <w:p>
            <w:pPr>
              <w:spacing w:before="60" w:after="0" w:line="307" w:lineRule="auto"/>
            </w:pPr>
            <w:r>
              <w:rPr>
                <w:rFonts w:ascii="Aptos" w:hAnsi="Aptos" w:cs="Aptos" w:eastAsia="Aptos"/>
                <w:b w:val="0"/>
                <w:i w:val="0"/>
                <w:color w:val="4A5561"/>
                <w:sz w:val="19"/>
              </w:rPr>
              <w:t>Prepared. Upload the file named PlastiBioFuelBibliography.pdf.</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NOT APPLICABLE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Certifications and representations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Not applicable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Not applicable</w:t>
            </w:r>
          </w:p>
          <w:p>
            <w:pPr>
              <w:spacing w:before="60" w:after="0" w:line="307" w:lineRule="auto"/>
            </w:pPr>
            <w:r>
              <w:rPr>
                <w:rFonts w:ascii="Aptos" w:hAnsi="Aptos" w:cs="Aptos" w:eastAsia="Aptos"/>
                <w:b w:val="0"/>
                <w:i w:val="0"/>
                <w:color w:val="4A5561"/>
                <w:sz w:val="19"/>
              </w:rPr>
              <w:t>None required at pitch stage. Confirmed against the ConnectWerx opportunity page and FAQ on August 22, 2026.</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NOT APPLICABLE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SBIR versus STTR election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Not applicable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Not applicable</w:t>
            </w:r>
          </w:p>
          <w:p>
            <w:pPr>
              <w:spacing w:before="60" w:after="0" w:line="307" w:lineRule="auto"/>
            </w:pPr>
            <w:r>
              <w:rPr>
                <w:rFonts w:ascii="Aptos" w:hAnsi="Aptos" w:cs="Aptos" w:eastAsia="Aptos"/>
                <w:b w:val="0"/>
                <w:i w:val="0"/>
                <w:color w:val="4A5561"/>
                <w:sz w:val="19"/>
              </w:rPr>
              <w:t>Not made at pitch. DOE states pitches are not evaluated separately for SBIR and STTR.</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STAGE 2  ·  FULL APPLICATION</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Only if invited</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Active SAM.gov registration and UEI</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sam.gov/entity-registration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as Entity Administrator</w:t>
            </w:r>
          </w:p>
          <w:p>
            <w:pPr>
              <w:spacing w:before="60" w:after="0" w:line="307" w:lineRule="auto"/>
            </w:pPr>
            <w:r>
              <w:rPr>
                <w:rFonts w:ascii="Aptos" w:hAnsi="Aptos" w:cs="Aptos" w:eastAsia="Aptos"/>
                <w:b w:val="0"/>
                <w:i w:val="0"/>
                <w:color w:val="4A5561"/>
                <w:sz w:val="19"/>
              </w:rPr>
              <w:t>UEI KQAWZ54RDUM8 must be entered on the application.</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SBA Company Registry registration and proof</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app.www.sbir.gov/company-registration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Proof of registration is required as part of the application.</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Small Business Concern eligibility representation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Founder and CEO</w:t>
            </w:r>
          </w:p>
          <w:p>
            <w:pPr>
              <w:spacing w:before="60" w:after="0" w:line="307" w:lineRule="auto"/>
            </w:pPr>
            <w:r>
              <w:rPr>
                <w:rFonts w:ascii="Aptos" w:hAnsi="Aptos" w:cs="Aptos" w:eastAsia="Aptos"/>
                <w:b w:val="0"/>
                <w:i w:val="0"/>
                <w:color w:val="4A5561"/>
                <w:sz w:val="19"/>
              </w:rPr>
              <w:t>For-profit, U.S. place of business, 51 percent or more U.S. citizen owned and controlled, 500 or fewer employees. Form not yet published.</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Place of performance</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All research and development performed in the United States.</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SBIR only: PI primary employment certification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as PI</w:t>
            </w:r>
          </w:p>
          <w:p>
            <w:pPr>
              <w:spacing w:before="60" w:after="0" w:line="307" w:lineRule="auto"/>
            </w:pPr>
            <w:r>
              <w:rPr>
                <w:rFonts w:ascii="Aptos" w:hAnsi="Aptos" w:cs="Aptos" w:eastAsia="Aptos"/>
                <w:b w:val="0"/>
                <w:i w:val="0"/>
                <w:color w:val="4A5561"/>
                <w:sz w:val="19"/>
              </w:rPr>
              <w:t>More than 50 percent employment with the small business.</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SBIR only: work-share certification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Small business performs at least two-thirds of Phase I effort.</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STTR only: work-share certification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and UNT authorized official</w:t>
            </w:r>
          </w:p>
          <w:p>
            <w:pPr>
              <w:spacing w:before="60" w:after="0" w:line="307" w:lineRule="auto"/>
            </w:pPr>
            <w:r>
              <w:rPr>
                <w:rFonts w:ascii="Aptos" w:hAnsi="Aptos" w:cs="Aptos" w:eastAsia="Aptos"/>
                <w:b w:val="0"/>
                <w:i w:val="0"/>
                <w:color w:val="4A5561"/>
                <w:sz w:val="19"/>
              </w:rPr>
              <w:t>Small business at least 40 percent and research institution at least 30 percent.</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STTR only: written IP allocation and licensing agreement</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Executed before work begins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and UNT authorized official</w:t>
            </w:r>
          </w:p>
          <w:p>
            <w:pPr>
              <w:spacing w:before="60" w:after="0" w:line="307" w:lineRule="auto"/>
            </w:pPr>
            <w:r>
              <w:rPr>
                <w:rFonts w:ascii="Aptos" w:hAnsi="Aptos" w:cs="Aptos" w:eastAsia="Aptos"/>
                <w:b w:val="0"/>
                <w:i w:val="0"/>
                <w:color w:val="4A5561"/>
                <w:sz w:val="19"/>
              </w:rPr>
              <w:t>DOE states this must be in place before work begins.</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Essentially equivalent work and duplicate funding disclosure</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Standard across SBIR and STTR agencies. Ready-to-use language is below.</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Current and pending support for all personnel</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Not yet published for this opportunity.</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UNT subaward statement of work and budget</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attachment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Prepared by PlastiBioFuel with UNT input</w:t>
            </w:r>
          </w:p>
          <w:p>
            <w:pPr>
              <w:spacing w:before="60" w:after="0" w:line="307" w:lineRule="auto"/>
            </w:pPr>
            <w:r>
              <w:rPr>
                <w:rFonts w:ascii="Aptos" w:hAnsi="Aptos" w:cs="Aptos" w:eastAsia="Aptos"/>
                <w:b w:val="0"/>
                <w:i w:val="0"/>
                <w:color w:val="4A5561"/>
                <w:sz w:val="19"/>
              </w:rPr>
              <w:t>Award-stage under 2 CFR 200.332. Institutional sign-off is not required at submission.</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Budget and line-by-line justification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Must not exceed $250,000, or $256,500 with TABA.</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Foreign risk management and research security disclosures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Full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w:t>
            </w:r>
          </w:p>
          <w:p>
            <w:pPr>
              <w:spacing w:before="60" w:after="0" w:line="307" w:lineRule="auto"/>
            </w:pPr>
            <w:r>
              <w:rPr>
                <w:rFonts w:ascii="Aptos" w:hAnsi="Aptos" w:cs="Aptos" w:eastAsia="Aptos"/>
                <w:b w:val="0"/>
                <w:i w:val="0"/>
                <w:color w:val="4A5561"/>
                <w:sz w:val="19"/>
              </w:rPr>
              <w:t>DOE maintains a Foreign Risk Management page for the SBIR and STTR programs.</w:t>
            </w:r>
          </w:p>
        </w:tc>
      </w:tr>
    </w:tbl>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DUPLICATE FUNDING DISCLOSURE, READY TO USE</w:t>
            </w:r>
          </w:p>
          <w:p>
            <w:pPr>
              <w:spacing w:before="80" w:after="0" w:line="300" w:lineRule="auto"/>
            </w:pPr>
            <w:r>
              <w:rPr>
                <w:rFonts w:ascii="Aptos" w:hAnsi="Aptos" w:cs="Aptos" w:eastAsia="Aptos"/>
                <w:b w:val="0"/>
                <w:i w:val="0"/>
                <w:color w:val="6B7684"/>
                <w:sz w:val="17"/>
              </w:rPr>
              <w:t>Use this wording on any essentially equivalent work certification at full application. It is already reflected in Question 4 of the pitch.</w:t>
            </w:r>
          </w:p>
          <w:p>
            <w:pPr>
              <w:spacing w:before="100" w:after="0" w:line="317" w:lineRule="auto"/>
              <w:ind w:left="200"/>
              <w:pBdr>
                <w:left w:val="single" w:sz="12" w:space="6" w:color="045AA9"/>
              </w:pBdr>
            </w:pPr>
            <w:r>
              <w:rPr>
                <w:rFonts w:ascii="Aptos" w:hAnsi="Aptos" w:cs="Aptos" w:eastAsia="Aptos"/>
                <w:b w:val="0"/>
                <w:i w:val="0"/>
                <w:color w:val="2A2A2A"/>
                <w:sz w:val="20"/>
              </w:rPr>
              <w:t>“PlastiBioFuel LLC has one other federal proposal pending: NSF SBIR Phase I, Research.gov proposal 328095, solicitation NSF 26-510, subtopic BT10 Synthetic Biology and Metabolic Engineering, total requested $304,955, submitting against the November 4, 2026 window. That proposal addresses COF-enzyme reusability, the monomer-to-ethanol biological conversion pathway, and construction of an integrated lab-scale spiral reactor module. The scope proposed to DOE is the computational design layer: a physics-informed machine learning surrogate model of the immobilized-enzyme reactor and its experimental validation. The two efforts share no tasks, no personnel effort months, and no budget lines. This is not essentially equivalent work, and no duplicate funding would result from award of both.”</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TWO STANDING RULES FOR THIS PACKAGE</w:t>
            </w:r>
          </w:p>
          <w:p>
            <w:pPr>
              <w:spacing w:before="100" w:after="0" w:line="312" w:lineRule="auto"/>
            </w:pPr>
            <w:r>
              <w:rPr>
                <w:rFonts w:ascii="Aptos" w:hAnsi="Aptos" w:cs="Aptos" w:eastAsia="Aptos"/>
                <w:b w:val="0"/>
                <w:i w:val="0"/>
                <w:color w:val="2A2A2A"/>
                <w:sz w:val="21"/>
              </w:rPr>
              <w:t>1.  Dr. Shengqian Ma is Other Personnel on NSF-style forms, not Senior or Key Personnel. DOE has not published its personnel categories for this opportunity, so apply the same treatment unless the DOE form defines categories differently.</w:t>
            </w:r>
          </w:p>
          <w:p>
            <w:pPr>
              <w:spacing w:before="80" w:after="0" w:line="312" w:lineRule="auto"/>
            </w:pPr>
            <w:r>
              <w:rPr>
                <w:rFonts w:ascii="Aptos" w:hAnsi="Aptos" w:cs="Aptos" w:eastAsia="Aptos"/>
                <w:b w:val="0"/>
                <w:i w:val="0"/>
                <w:color w:val="2A2A2A"/>
                <w:sz w:val="21"/>
              </w:rPr>
              <w:t>2.  ARG Petro is offtake discussions and interest. There is no signed letter of intent and no executed offtake agreement. No document in this package may say otherwise.</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SDVOSB, SBA VetCert verified  ·  NAICS 325199, 325193, 541715</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