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4680"/>
        <w:gridCol w:w="4680"/>
      </w:tblGrid>
      <w:tr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1440" w:type="dxa"/>
              <w:bottom w:w="14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22"/>
                <w:spacing w:val="36"/>
              </w:rPr>
              <w:t>PLASTIBIOFUEL</w:t>
            </w:r>
          </w:p>
        </w:tc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0" w:type="dxa"/>
              <w:bottom w:w="140" w:type="dxa"/>
              <w:end w:w="14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9EC8F0"/>
                <w:sz w:val="16"/>
                <w:spacing w:val="38"/>
              </w:rPr>
              <w:t>BIBLIOGRAPHY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9360"/>
      </w:tblGrid>
      <w:tr>
        <w:tc>
          <w:tcPr>
            <w:tcW w:type="dxa" w:w="122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D500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4"/>
              </w:rPr>
            </w:r>
          </w:p>
        </w:tc>
      </w:tr>
    </w:tbl>
    <w:p>
      <w:pPr>
        <w:spacing w:before="0" w:after="240" w:line="240" w:lineRule="auto"/>
      </w:pPr>
    </w:p>
    <w:p>
      <w:pPr>
        <w:keepNext/>
        <w:spacing w:before="0" w:after="100" w:line="264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18"/>
          <w:spacing w:val="28"/>
        </w:rPr>
        <w:t>DOE ASPECT  ·  DE-FOA-0003646  ·  TEAMING PARTNER LIST TPL-0000073</w:t>
      </w:r>
    </w:p>
    <w:p>
      <w:pPr>
        <w:keepNext/>
        <w:spacing w:before="0" w:after="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Bibliography and</w:t>
      </w:r>
    </w:p>
    <w:p>
      <w:pPr>
        <w:keepNext/>
        <w:spacing w:before="0" w:after="12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References Cited</w:t>
      </w:r>
    </w:p>
    <w:p>
      <w:pPr>
        <w:spacing w:before="0" w:after="260" w:line="312" w:lineRule="auto"/>
      </w:pPr>
      <w:r>
        <w:rPr>
          <w:rFonts w:ascii="Aptos" w:hAnsi="Aptos" w:cs="Aptos" w:eastAsia="Aptos"/>
          <w:b w:val="0"/>
          <w:i w:val="0"/>
          <w:color w:val="4A5561"/>
          <w:sz w:val="22"/>
        </w:rPr>
        <w:t>Not requested by the teaming form. Held with the package so the technical claims in the profile can be traced by anyone who asks for them.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single" w:sz="6" w:space="0" w:color="E3E8EF"/>
            </w:tcBorders>
            <w:tcMar>
              <w:top w:w="160" w:type="dxa"/>
              <w:start w:w="0" w:type="dxa"/>
              <w:bottom w:w="160" w:type="dxa"/>
              <w:end w:w="2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34"/>
              </w:rPr>
              <w:t>4</w:t>
            </w:r>
          </w:p>
          <w:p>
            <w:pPr>
              <w:spacing w:before="8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PEER-REVIEWED SOURCES</w:t>
            </w:r>
          </w:p>
        </w:tc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single" w:sz="6" w:space="0" w:color="E3E8EF"/>
            </w:tcBorders>
            <w:tcMar>
              <w:top w:w="160" w:type="dxa"/>
              <w:start w:w="240" w:type="dxa"/>
              <w:bottom w:w="160" w:type="dxa"/>
              <w:end w:w="2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34"/>
              </w:rPr>
              <w:t>1</w:t>
            </w:r>
          </w:p>
          <w:p>
            <w:pPr>
              <w:spacing w:before="8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WITH DR. MA AS AUTHOR</w:t>
            </w:r>
          </w:p>
        </w:tc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nil"/>
            </w:tcBorders>
            <w:tcMar>
              <w:top w:w="160" w:type="dxa"/>
              <w:start w:w="240" w:type="dxa"/>
              <w:bottom w:w="160" w:type="dxa"/>
              <w:end w:w="2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34"/>
              </w:rPr>
              <w:t>1</w:t>
            </w:r>
          </w:p>
          <w:p>
            <w:pPr>
              <w:spacing w:before="8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PROVISIONAL PATENT</w:t>
            </w:r>
          </w:p>
        </w:tc>
      </w:tr>
    </w:tbl>
    <w:p>
      <w:pPr>
        <w:spacing w:before="0" w:after="1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19"/>
                <w:spacing w:val="24"/>
              </w:rPr>
              <w:t>ENZYMATIC DEPOLYMERIZATION OF PET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120" w:type="dxa"/>
              <w:start w:w="240" w:type="dxa"/>
              <w:bottom w:w="100" w:type="dxa"/>
              <w:end w:w="0" w:type="dxa"/>
            </w:tcMar>
          </w:tcPr>
          <w:p>
            <w:pPr>
              <w:spacing w:before="0" w:after="0" w:line="264" w:lineRule="auto"/>
              <w:jc w:val="right"/>
            </w:pP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7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80" w:type="dxa"/>
              <w:start w:w="0" w:type="dxa"/>
              <w:bottom w:w="22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D7E6F5"/>
                <w:sz w:val="30"/>
              </w:rPr>
              <w:t>1</w:t>
            </w:r>
          </w:p>
        </w:tc>
        <w:tc>
          <w:tcPr>
            <w:tcW w:type="dxa" w:w="8683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80" w:type="dxa"/>
              <w:start w:w="0" w:type="dxa"/>
              <w:bottom w:w="22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 xml:space="preserve">Lu, H.; Diaz, D. J.; Czarnecki, N. J.; Zhu, C.; Kim, W.; Shroff, R.; Acosta, D. J.; Alexander, B. R.; Cole, H. O.; Zhang, Y.; Lynd, N. A.; Ellington, A. D.; Alper, H. S. </w:t>
            </w:r>
            <w:r>
              <w:rPr>
                <w:rFonts w:ascii="Aptos" w:hAnsi="Aptos" w:cs="Aptos" w:eastAsia="Aptos"/>
                <w:b/>
                <w:i w:val="0"/>
                <w:color w:val="2A2A2A"/>
                <w:sz w:val="20"/>
              </w:rPr>
              <w:t>Machine learning-aided engineering of hydrolases for PET depolymerization.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 xml:space="preserve"> </w:t>
            </w:r>
            <w:r>
              <w:rPr>
                <w:rFonts w:ascii="Aptos" w:hAnsi="Aptos" w:cs="Aptos" w:eastAsia="Aptos"/>
                <w:b w:val="0"/>
                <w:i/>
                <w:color w:val="2A2A2A"/>
                <w:sz w:val="20"/>
              </w:rPr>
              <w:t>Nature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 xml:space="preserve"> 2022, 604 (7907), 662-667.</w:t>
            </w:r>
          </w:p>
          <w:p>
            <w:pPr>
              <w:spacing w:before="8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7"/>
              </w:rPr>
              <w:t>DOI 10.1038/s41586-022-04599-z  ·  PMID 35478237</w:t>
            </w:r>
          </w:p>
          <w:p>
            <w:pPr>
              <w:spacing w:before="100" w:after="0" w:line="312" w:lineRule="auto"/>
              <w:ind w:left="200"/>
              <w:pBdr>
                <w:left w:val="single" w:sz="8" w:space="6" w:color="E3E8EF"/>
              </w:pBdr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Source of FAST-PETase. PlastiBioFuel did not develop this enzyme and makes no claim to it. Cited to fix the boundary between prior art and the company contribution.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7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80" w:type="dxa"/>
              <w:start w:w="0" w:type="dxa"/>
              <w:bottom w:w="22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D7E6F5"/>
                <w:sz w:val="30"/>
              </w:rPr>
              <w:t>2</w:t>
            </w:r>
          </w:p>
        </w:tc>
        <w:tc>
          <w:tcPr>
            <w:tcW w:type="dxa" w:w="8683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80" w:type="dxa"/>
              <w:start w:w="0" w:type="dxa"/>
              <w:bottom w:w="22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 xml:space="preserve">Tournier, V.; Topham, C. M.; Gilles, A.; David, B.; Folgoas, C.; Moya-Leclair, E.; Kamionka, E.; Desrousseaux, M.-L.; Texier, H.; Gavalda, S.; Cot, M.; Guemard, E.; Dalibey, M.; Nomme, J.; Cioci, G.; Barbe, S.; Chateau, M.; Andre, I.; Duquesne, S.; Marty, A. </w:t>
            </w:r>
            <w:r>
              <w:rPr>
                <w:rFonts w:ascii="Aptos" w:hAnsi="Aptos" w:cs="Aptos" w:eastAsia="Aptos"/>
                <w:b/>
                <w:i w:val="0"/>
                <w:color w:val="2A2A2A"/>
                <w:sz w:val="20"/>
              </w:rPr>
              <w:t>An engineered PET depolymerase to break down and recycle plastic bottles.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 xml:space="preserve"> </w:t>
            </w:r>
            <w:r>
              <w:rPr>
                <w:rFonts w:ascii="Aptos" w:hAnsi="Aptos" w:cs="Aptos" w:eastAsia="Aptos"/>
                <w:b w:val="0"/>
                <w:i/>
                <w:color w:val="2A2A2A"/>
                <w:sz w:val="20"/>
              </w:rPr>
              <w:t>Nature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 xml:space="preserve"> 2020, 580 (7802), 216-219.</w:t>
            </w:r>
          </w:p>
          <w:p>
            <w:pPr>
              <w:spacing w:before="8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7"/>
              </w:rPr>
              <w:t>DOI 10.1038/s41586-020-2149-4  ·  PMID 32269349</w:t>
            </w:r>
          </w:p>
          <w:p>
            <w:pPr>
              <w:spacing w:before="100" w:after="0" w:line="312" w:lineRule="auto"/>
              <w:ind w:left="200"/>
              <w:pBdr>
                <w:left w:val="single" w:sz="8" w:space="6" w:color="E3E8EF"/>
              </w:pBdr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Benchmark for enzymatic PET depolymerization productivity, and the competing route that returns terephthalate to virgin-equivalent PET rather than to fuel.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7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80" w:type="dxa"/>
              <w:start w:w="0" w:type="dxa"/>
              <w:bottom w:w="22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D7E6F5"/>
                <w:sz w:val="30"/>
              </w:rPr>
              <w:t>3</w:t>
            </w:r>
          </w:p>
        </w:tc>
        <w:tc>
          <w:tcPr>
            <w:tcW w:type="dxa" w:w="8683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80" w:type="dxa"/>
              <w:start w:w="0" w:type="dxa"/>
              <w:bottom w:w="22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 xml:space="preserve">Yoshida, S.; Hiraga, K.; Takehana, T.; Taniguchi, I.; Yamaji, H.; Maeda, Y.; Toyohara, K.; Miyamoto, K.; Kimura, Y.; Oda, K. </w:t>
            </w:r>
            <w:r>
              <w:rPr>
                <w:rFonts w:ascii="Aptos" w:hAnsi="Aptos" w:cs="Aptos" w:eastAsia="Aptos"/>
                <w:b/>
                <w:i w:val="0"/>
                <w:color w:val="2A2A2A"/>
                <w:sz w:val="20"/>
              </w:rPr>
              <w:t>A bacterium that degrades and assimilates poly(ethylene terephthalate).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 xml:space="preserve"> </w:t>
            </w:r>
            <w:r>
              <w:rPr>
                <w:rFonts w:ascii="Aptos" w:hAnsi="Aptos" w:cs="Aptos" w:eastAsia="Aptos"/>
                <w:b w:val="0"/>
                <w:i/>
                <w:color w:val="2A2A2A"/>
                <w:sz w:val="20"/>
              </w:rPr>
              <w:t>Science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 xml:space="preserve"> 2016, 351 (6278), 1196-1199.</w:t>
            </w:r>
          </w:p>
          <w:p>
            <w:pPr>
              <w:spacing w:before="8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7"/>
              </w:rPr>
              <w:t>DOI 10.1126/science.aad6359  ·  PMID 26965627</w:t>
            </w:r>
          </w:p>
          <w:p>
            <w:pPr>
              <w:spacing w:before="100" w:after="0" w:line="312" w:lineRule="auto"/>
              <w:ind w:left="200"/>
              <w:pBdr>
                <w:left w:val="single" w:sz="8" w:space="6" w:color="E3E8EF"/>
              </w:pBdr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Origin of the PETase and MHETase system, and the source of the terephthalic acid and ethylene glycol product pair that the company intends to route onward.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19"/>
                <w:spacing w:val="24"/>
              </w:rPr>
              <w:t>ENZYME IMMOBILIZATION IN FRAMEWORK MATERIALS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120" w:type="dxa"/>
              <w:start w:w="240" w:type="dxa"/>
              <w:bottom w:w="100" w:type="dxa"/>
              <w:end w:w="0" w:type="dxa"/>
            </w:tcMar>
          </w:tcPr>
          <w:p>
            <w:pPr>
              <w:spacing w:before="0" w:after="0" w:line="264" w:lineRule="auto"/>
              <w:jc w:val="right"/>
            </w:pP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7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80" w:type="dxa"/>
              <w:start w:w="0" w:type="dxa"/>
              <w:bottom w:w="22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D7E6F5"/>
                <w:sz w:val="30"/>
              </w:rPr>
              <w:t>4</w:t>
            </w:r>
          </w:p>
        </w:tc>
        <w:tc>
          <w:tcPr>
            <w:tcW w:type="dxa" w:w="8683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80" w:type="dxa"/>
              <w:start w:w="0" w:type="dxa"/>
              <w:bottom w:w="22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 xml:space="preserve">Wang, X.; Lan, P. C.; </w:t>
            </w:r>
            <w:r>
              <w:rPr>
                <w:rFonts w:ascii="Aptos" w:hAnsi="Aptos" w:cs="Aptos" w:eastAsia="Aptos"/>
                <w:b/>
                <w:i w:val="0"/>
                <w:color w:val="2A2A2A"/>
                <w:sz w:val="20"/>
              </w:rPr>
              <w:t>Ma, S.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 xml:space="preserve"> </w:t>
            </w:r>
            <w:r>
              <w:rPr>
                <w:rFonts w:ascii="Aptos" w:hAnsi="Aptos" w:cs="Aptos" w:eastAsia="Aptos"/>
                <w:b/>
                <w:i w:val="0"/>
                <w:color w:val="2A2A2A"/>
                <w:sz w:val="20"/>
              </w:rPr>
              <w:t>Metal-Organic Frameworks for Enzyme Immobilization: Beyond Host Matrix Materials.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 xml:space="preserve"> </w:t>
            </w:r>
            <w:r>
              <w:rPr>
                <w:rFonts w:ascii="Aptos" w:hAnsi="Aptos" w:cs="Aptos" w:eastAsia="Aptos"/>
                <w:b w:val="0"/>
                <w:i/>
                <w:color w:val="2A2A2A"/>
                <w:sz w:val="20"/>
              </w:rPr>
              <w:t>ACS Central Science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 xml:space="preserve"> 2020, 6 (9), 1497-1506.</w:t>
            </w:r>
          </w:p>
          <w:p>
            <w:pPr>
              <w:spacing w:before="8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7"/>
              </w:rPr>
              <w:t>DOI 10.1021/acscentsci.0c00687  ·  PMID 32999925</w:t>
            </w:r>
          </w:p>
          <w:p>
            <w:pPr>
              <w:spacing w:before="100" w:after="0" w:line="312" w:lineRule="auto"/>
              <w:ind w:left="200"/>
              <w:pBdr>
                <w:left w:val="single" w:sz="8" w:space="6" w:color="E3E8EF"/>
              </w:pBdr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Authored from the Department of Chemistry, University of North Texas. Dr. Shengqian Ma is the PlastiBioFuel subaward lead for framework and immobilization chemistry under Sponsored Research Agreement SRA1016.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19"/>
                <w:spacing w:val="24"/>
              </w:rPr>
              <w:t>PLASTIBIOFUEL INTELLECTUAL PROPERTY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120" w:type="dxa"/>
              <w:start w:w="240" w:type="dxa"/>
              <w:bottom w:w="100" w:type="dxa"/>
              <w:end w:w="0" w:type="dxa"/>
            </w:tcMar>
          </w:tcPr>
          <w:p>
            <w:pPr>
              <w:spacing w:before="0" w:after="0" w:line="264" w:lineRule="auto"/>
              <w:jc w:val="right"/>
            </w:pP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7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80" w:type="dxa"/>
              <w:start w:w="0" w:type="dxa"/>
              <w:bottom w:w="22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D7E6F5"/>
                <w:sz w:val="30"/>
              </w:rPr>
              <w:t>5</w:t>
            </w:r>
          </w:p>
        </w:tc>
        <w:tc>
          <w:tcPr>
            <w:tcW w:type="dxa" w:w="8683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80" w:type="dxa"/>
              <w:start w:w="0" w:type="dxa"/>
              <w:bottom w:w="22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 xml:space="preserve">Ward, M. D. </w:t>
            </w:r>
            <w:r>
              <w:rPr>
                <w:rFonts w:ascii="Aptos" w:hAnsi="Aptos" w:cs="Aptos" w:eastAsia="Aptos"/>
                <w:b/>
                <w:i w:val="0"/>
                <w:color w:val="2A2A2A"/>
                <w:sz w:val="20"/>
              </w:rPr>
              <w:t>U.S. Provisional Patent Application 63/848,456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>, filed July 2025.</w:t>
            </w:r>
          </w:p>
          <w:p>
            <w:pPr>
              <w:spacing w:before="100" w:after="0" w:line="312" w:lineRule="auto"/>
              <w:ind w:left="200"/>
              <w:pBdr>
                <w:left w:val="single" w:sz="8" w:space="6" w:color="E3E8EF"/>
              </w:pBdr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Covers framework immobilization, spiral-flow reactor geometry, and the integrated depolymerization process.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2F7FC"/>
            <w:tcMar>
              <w:top w:w="220" w:type="dxa"/>
              <w:start w:w="360" w:type="dxa"/>
              <w:bottom w:w="220" w:type="dxa"/>
              <w:end w:w="36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7"/>
                <w:spacing w:val="24"/>
              </w:rPr>
              <w:t>VERIFICATION</w:t>
            </w:r>
          </w:p>
          <w:p>
            <w:pPr>
              <w:spacing w:before="100" w:after="0" w:line="317" w:lineRule="auto"/>
              <w:ind w:left="200"/>
              <w:pBdr>
                <w:left w:val="single" w:sz="12" w:space="6" w:color="045AA9"/>
              </w:pBdr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>References 1 through 4 were retrieved from PubMed and verified by identifier on August 25, 2026.</w:t>
            </w:r>
          </w:p>
        </w:tc>
      </w:tr>
    </w:tbl>
    <w:p>
      <w:pPr>
        <w:spacing w:before="0" w:after="20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19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PlastiBioFuel LLC  ·  michael@plastibiofuel.com  ·  817-319-7383</w:t>
            </w:r>
          </w:p>
        </w:tc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  <w:jc w:val="right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UEI KQAWZ54RDUM8  ·  CAGE 175D6</w:t>
            </w:r>
          </w:p>
        </w:tc>
      </w:tr>
    </w:tbl>
    <w:sectPr w:rsidR="00FC693F" w:rsidRPr="0006063C" w:rsidSect="00034616">
      <w:pgSz w:w="12240" w:h="15840"/>
      <w:pgMar w:top="79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cs="Aptos" w:eastAsia="Aptos"/>
      <w:rFonts w:ascii="Aptos" w:hAnsi="Aptos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