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-1440" w:type="dxa"/>
        <w:tblLayout w:type="fixed"/>
      </w:tblPr>
      <w:tblGrid>
        <w:gridCol w:w="4680"/>
        <w:gridCol w:w="4680"/>
      </w:tblGrid>
      <w:tr>
        <w:tc>
          <w:tcPr>
            <w:tcW w:type="dxa" w:w="61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045AA9"/>
            <w:tcMar>
              <w:top w:w="140" w:type="dxa"/>
              <w:start w:w="1440" w:type="dxa"/>
              <w:bottom w:w="14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FFFFFF"/>
                <w:sz w:val="22"/>
                <w:spacing w:val="36"/>
              </w:rPr>
              <w:t>PLASTIBIOFUEL</w:t>
            </w:r>
          </w:p>
        </w:tc>
        <w:tc>
          <w:tcPr>
            <w:tcW w:type="dxa" w:w="61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045AA9"/>
            <w:tcMar>
              <w:top w:w="140" w:type="dxa"/>
              <w:start w:w="0" w:type="dxa"/>
              <w:bottom w:w="140" w:type="dxa"/>
              <w:end w:w="14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ptos Display" w:hAnsi="Aptos Display" w:cs="Aptos Display" w:eastAsia="Aptos Display"/>
                <w:b/>
                <w:i w:val="0"/>
                <w:color w:val="9EC8F0"/>
                <w:sz w:val="16"/>
                <w:spacing w:val="38"/>
              </w:rPr>
              <w:t>SUBMISSION CHECKLIST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-1440" w:type="dxa"/>
        <w:tblLayout w:type="fixed"/>
      </w:tblPr>
      <w:tblGrid>
        <w:gridCol w:w="9360"/>
      </w:tblGrid>
      <w:tr>
        <w:tc>
          <w:tcPr>
            <w:tcW w:type="dxa" w:w="122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D500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4"/>
              </w:rPr>
            </w:r>
          </w:p>
        </w:tc>
      </w:tr>
    </w:tbl>
    <w:p>
      <w:pPr>
        <w:spacing w:before="0" w:after="240" w:line="240" w:lineRule="auto"/>
      </w:pPr>
    </w:p>
    <w:p>
      <w:pPr>
        <w:keepNext/>
        <w:spacing w:before="0" w:after="100" w:line="264" w:lineRule="auto"/>
      </w:pPr>
      <w:r>
        <w:rPr>
          <w:rFonts w:ascii="Aptos Display" w:hAnsi="Aptos Display" w:cs="Aptos Display" w:eastAsia="Aptos Display"/>
          <w:b/>
          <w:i w:val="0"/>
          <w:color w:val="045AA9"/>
          <w:sz w:val="18"/>
          <w:spacing w:val="28"/>
        </w:rPr>
        <w:t>DOE ASPECT  ·  DE-FOA-0003646  ·  TEAMING PARTNER LIST TPL-0000073</w:t>
      </w:r>
    </w:p>
    <w:p>
      <w:pPr>
        <w:keepNext/>
        <w:spacing w:before="0" w:after="0" w:line="247" w:lineRule="auto"/>
      </w:pPr>
      <w:r>
        <w:rPr>
          <w:rFonts w:ascii="Aptos Display" w:hAnsi="Aptos Display" w:cs="Aptos Display" w:eastAsia="Aptos Display"/>
          <w:b/>
          <w:i w:val="0"/>
          <w:color w:val="2A2A2A"/>
          <w:sz w:val="56"/>
        </w:rPr>
        <w:t>Nine steps,</w:t>
      </w:r>
    </w:p>
    <w:p>
      <w:pPr>
        <w:keepNext/>
        <w:spacing w:before="0" w:after="120" w:line="247" w:lineRule="auto"/>
      </w:pPr>
      <w:r>
        <w:rPr>
          <w:rFonts w:ascii="Aptos Display" w:hAnsi="Aptos Display" w:cs="Aptos Display" w:eastAsia="Aptos Display"/>
          <w:b/>
          <w:i w:val="0"/>
          <w:color w:val="2A2A2A"/>
          <w:sz w:val="56"/>
        </w:rPr>
        <w:t>about twenty minutes</w:t>
      </w:r>
    </w:p>
    <w:p>
      <w:pPr>
        <w:spacing w:before="0" w:after="260" w:line="312" w:lineRule="auto"/>
      </w:pPr>
      <w:r>
        <w:rPr>
          <w:rFonts w:ascii="Aptos" w:hAnsi="Aptos" w:cs="Aptos" w:eastAsia="Aptos"/>
          <w:b w:val="0"/>
          <w:i w:val="0"/>
          <w:color w:val="4A5561"/>
          <w:sz w:val="22"/>
        </w:rPr>
        <w:t>There is no deadline on a teaming list, which is exactly why it slips. The whole action fits in one sitting.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64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8" w:space="0" w:color="045AA9"/>
              <w:left w:val="single" w:sz="8" w:space="0" w:color="045AA9"/>
              <w:bottom w:val="single" w:sz="8" w:space="0" w:color="045AA9"/>
              <w:right w:val="single" w:sz="8" w:space="0" w:color="045AA9"/>
            </w:tcBorders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21"/>
              </w:rPr>
              <w:t>1</w:t>
            </w:r>
          </w:p>
        </w:tc>
        <w:tc>
          <w:tcPr>
            <w:tcW w:type="dxa" w:w="871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tcMar>
              <w:top w:w="60" w:type="dxa"/>
              <w:start w:w="280" w:type="dxa"/>
              <w:bottom w:w="0" w:type="dxa"/>
              <w:end w:w="0" w:type="dxa"/>
            </w:tcMar>
          </w:tcPr>
          <w:p>
            <w:pPr>
              <w:spacing w:before="0" w:after="0" w:line="312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21"/>
              </w:rPr>
              <w:t xml:space="preserve">Open </w:t>
            </w:r>
            <w:r>
              <w:rPr>
                <w:rFonts w:ascii="Aptos" w:hAnsi="Aptos" w:cs="Aptos" w:eastAsia="Aptos"/>
                <w:b w:val="0"/>
                <w:i w:val="0"/>
                <w:color w:val="045AA9"/>
                <w:sz w:val="21"/>
              </w:rPr>
              <w:t>eere-exchange.energy.gov</w:t>
            </w:r>
            <w:r>
              <w:rPr>
                <w:rFonts w:ascii="Aptos" w:hAnsi="Aptos" w:cs="Aptos" w:eastAsia="Aptos"/>
                <w:b w:val="0"/>
                <w:i w:val="0"/>
                <w:color w:val="2A2A2A"/>
                <w:sz w:val="21"/>
              </w:rPr>
              <w:t>. This is the DOE Funding Opportunity Exchange, not the ARPA-E Exchange and not Grants.gov.</w:t>
            </w:r>
          </w:p>
        </w:tc>
      </w:tr>
    </w:tbl>
    <w:p>
      <w:pPr>
        <w:spacing w:before="0" w:after="14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64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8" w:space="0" w:color="045AA9"/>
              <w:left w:val="single" w:sz="8" w:space="0" w:color="045AA9"/>
              <w:bottom w:val="single" w:sz="8" w:space="0" w:color="045AA9"/>
              <w:right w:val="single" w:sz="8" w:space="0" w:color="045AA9"/>
            </w:tcBorders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21"/>
              </w:rPr>
              <w:t>2</w:t>
            </w:r>
          </w:p>
        </w:tc>
        <w:tc>
          <w:tcPr>
            <w:tcW w:type="dxa" w:w="871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tcMar>
              <w:top w:w="60" w:type="dxa"/>
              <w:start w:w="280" w:type="dxa"/>
              <w:bottom w:w="0" w:type="dxa"/>
              <w:end w:w="0" w:type="dxa"/>
            </w:tcMar>
          </w:tcPr>
          <w:p>
            <w:pPr>
              <w:spacing w:before="0" w:after="0" w:line="312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21"/>
              </w:rPr>
              <w:t xml:space="preserve">Register an account, or log in if one already exists. Use </w:t>
            </w:r>
            <w:r>
              <w:rPr>
                <w:rFonts w:ascii="Aptos" w:hAnsi="Aptos" w:cs="Aptos" w:eastAsia="Aptos"/>
                <w:b/>
                <w:i w:val="0"/>
                <w:color w:val="2A2A2A"/>
                <w:sz w:val="21"/>
              </w:rPr>
              <w:t>michael@plastibiofuel.com</w:t>
            </w:r>
            <w:r>
              <w:rPr>
                <w:rFonts w:ascii="Aptos" w:hAnsi="Aptos" w:cs="Aptos" w:eastAsia="Aptos"/>
                <w:b w:val="0"/>
                <w:i w:val="0"/>
                <w:color w:val="2A2A2A"/>
                <w:sz w:val="21"/>
              </w:rPr>
              <w:t xml:space="preserve"> so DOE correspondence lands in the company inbox rather than a personal one.</w:t>
            </w:r>
          </w:p>
        </w:tc>
      </w:tr>
    </w:tbl>
    <w:p>
      <w:pPr>
        <w:spacing w:before="0" w:after="14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64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8" w:space="0" w:color="045AA9"/>
              <w:left w:val="single" w:sz="8" w:space="0" w:color="045AA9"/>
              <w:bottom w:val="single" w:sz="8" w:space="0" w:color="045AA9"/>
              <w:right w:val="single" w:sz="8" w:space="0" w:color="045AA9"/>
            </w:tcBorders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21"/>
              </w:rPr>
              <w:t>3</w:t>
            </w:r>
          </w:p>
        </w:tc>
        <w:tc>
          <w:tcPr>
            <w:tcW w:type="dxa" w:w="871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tcMar>
              <w:top w:w="60" w:type="dxa"/>
              <w:start w:w="280" w:type="dxa"/>
              <w:bottom w:w="0" w:type="dxa"/>
              <w:end w:w="0" w:type="dxa"/>
            </w:tcMar>
          </w:tcPr>
          <w:p>
            <w:pPr>
              <w:spacing w:before="0" w:after="0" w:line="312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21"/>
              </w:rPr>
              <w:t xml:space="preserve">In the left navigation pane, click </w:t>
            </w:r>
            <w:r>
              <w:rPr>
                <w:rFonts w:ascii="Aptos" w:hAnsi="Aptos" w:cs="Aptos" w:eastAsia="Aptos"/>
                <w:b/>
                <w:i w:val="0"/>
                <w:color w:val="2A2A2A"/>
                <w:sz w:val="21"/>
              </w:rPr>
              <w:t>Teaming Partners</w:t>
            </w:r>
            <w:r>
              <w:rPr>
                <w:rFonts w:ascii="Aptos" w:hAnsi="Aptos" w:cs="Aptos" w:eastAsia="Aptos"/>
                <w:b w:val="0"/>
                <w:i w:val="0"/>
                <w:color w:val="2A2A2A"/>
                <w:sz w:val="21"/>
              </w:rPr>
              <w:t>.</w:t>
            </w:r>
          </w:p>
        </w:tc>
      </w:tr>
    </w:tbl>
    <w:p>
      <w:pPr>
        <w:spacing w:before="0" w:after="14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64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8" w:space="0" w:color="045AA9"/>
              <w:left w:val="single" w:sz="8" w:space="0" w:color="045AA9"/>
              <w:bottom w:val="single" w:sz="8" w:space="0" w:color="045AA9"/>
              <w:right w:val="single" w:sz="8" w:space="0" w:color="045AA9"/>
            </w:tcBorders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21"/>
              </w:rPr>
              <w:t>4</w:t>
            </w:r>
          </w:p>
        </w:tc>
        <w:tc>
          <w:tcPr>
            <w:tcW w:type="dxa" w:w="871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tcMar>
              <w:top w:w="60" w:type="dxa"/>
              <w:start w:w="280" w:type="dxa"/>
              <w:bottom w:w="0" w:type="dxa"/>
              <w:end w:w="0" w:type="dxa"/>
            </w:tcMar>
          </w:tcPr>
          <w:p>
            <w:pPr>
              <w:spacing w:before="0" w:after="0" w:line="312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21"/>
              </w:rPr>
              <w:t xml:space="preserve">From the drop-down, select the list titled </w:t>
            </w:r>
            <w:r>
              <w:rPr>
                <w:rFonts w:ascii="Aptos" w:hAnsi="Aptos" w:cs="Aptos" w:eastAsia="Aptos"/>
                <w:b/>
                <w:i w:val="0"/>
                <w:color w:val="2A2A2A"/>
                <w:sz w:val="21"/>
              </w:rPr>
              <w:t>"Teaming Partner List for DE-FOA-0003647: Accelerating Scale-up and Pre-piloting of Emerging Chemical Technologies (ASPECT)."</w:t>
            </w:r>
            <w:r>
              <w:rPr>
                <w:rFonts w:ascii="Aptos" w:hAnsi="Aptos" w:cs="Aptos" w:eastAsia="Aptos"/>
                <w:b w:val="0"/>
                <w:i w:val="0"/>
                <w:color w:val="2A2A2A"/>
                <w:sz w:val="21"/>
              </w:rPr>
              <w:t xml:space="preserve"> Select it by title. The title cites DE-FOA-0003647 and the body cites DE-FOA-0003646, and DOE has not reconciled the two.</w:t>
            </w:r>
          </w:p>
        </w:tc>
      </w:tr>
    </w:tbl>
    <w:p>
      <w:pPr>
        <w:spacing w:before="0" w:after="14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64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8" w:space="0" w:color="045AA9"/>
              <w:left w:val="single" w:sz="8" w:space="0" w:color="045AA9"/>
              <w:bottom w:val="single" w:sz="8" w:space="0" w:color="045AA9"/>
              <w:right w:val="single" w:sz="8" w:space="0" w:color="045AA9"/>
            </w:tcBorders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21"/>
              </w:rPr>
              <w:t>5</w:t>
            </w:r>
          </w:p>
        </w:tc>
        <w:tc>
          <w:tcPr>
            <w:tcW w:type="dxa" w:w="871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tcMar>
              <w:top w:w="60" w:type="dxa"/>
              <w:start w:w="280" w:type="dxa"/>
              <w:bottom w:w="0" w:type="dxa"/>
              <w:end w:w="0" w:type="dxa"/>
            </w:tcMar>
          </w:tcPr>
          <w:p>
            <w:pPr>
              <w:spacing w:before="0" w:after="0" w:line="312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21"/>
              </w:rPr>
              <w:t>Fill the nine fields from the Teaming Profile Responses document in this package. Paste the Background and Capabilities text whole rather than retyping it.</w:t>
            </w:r>
          </w:p>
        </w:tc>
      </w:tr>
    </w:tbl>
    <w:p>
      <w:pPr>
        <w:spacing w:before="0" w:after="14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64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8" w:space="0" w:color="045AA9"/>
              <w:left w:val="single" w:sz="8" w:space="0" w:color="045AA9"/>
              <w:bottom w:val="single" w:sz="8" w:space="0" w:color="045AA9"/>
              <w:right w:val="single" w:sz="8" w:space="0" w:color="045AA9"/>
            </w:tcBorders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21"/>
              </w:rPr>
              <w:t>6</w:t>
            </w:r>
          </w:p>
        </w:tc>
        <w:tc>
          <w:tcPr>
            <w:tcW w:type="dxa" w:w="871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tcMar>
              <w:top w:w="60" w:type="dxa"/>
              <w:start w:w="280" w:type="dxa"/>
              <w:bottom w:w="0" w:type="dxa"/>
              <w:end w:w="0" w:type="dxa"/>
            </w:tcMar>
          </w:tcPr>
          <w:p>
            <w:pPr>
              <w:spacing w:before="0" w:after="0" w:line="312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21"/>
              </w:rPr>
              <w:t>Read the publication notice before submitting. Every field becomes public on a list other applicants can read.</w:t>
            </w:r>
          </w:p>
        </w:tc>
      </w:tr>
    </w:tbl>
    <w:p>
      <w:pPr>
        <w:spacing w:before="0" w:after="14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64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8" w:space="0" w:color="045AA9"/>
              <w:left w:val="single" w:sz="8" w:space="0" w:color="045AA9"/>
              <w:bottom w:val="single" w:sz="8" w:space="0" w:color="045AA9"/>
              <w:right w:val="single" w:sz="8" w:space="0" w:color="045AA9"/>
            </w:tcBorders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21"/>
              </w:rPr>
              <w:t>7</w:t>
            </w:r>
          </w:p>
        </w:tc>
        <w:tc>
          <w:tcPr>
            <w:tcW w:type="dxa" w:w="871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tcMar>
              <w:top w:w="60" w:type="dxa"/>
              <w:start w:w="280" w:type="dxa"/>
              <w:bottom w:w="0" w:type="dxa"/>
              <w:end w:w="0" w:type="dxa"/>
            </w:tcMar>
          </w:tcPr>
          <w:p>
            <w:pPr>
              <w:spacing w:before="0" w:after="0" w:line="312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21"/>
              </w:rPr>
              <w:t>Submit the request.</w:t>
            </w:r>
          </w:p>
        </w:tc>
      </w:tr>
    </w:tbl>
    <w:p>
      <w:pPr>
        <w:spacing w:before="0" w:after="14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64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8" w:space="0" w:color="045AA9"/>
              <w:left w:val="single" w:sz="8" w:space="0" w:color="045AA9"/>
              <w:bottom w:val="single" w:sz="8" w:space="0" w:color="045AA9"/>
              <w:right w:val="single" w:sz="8" w:space="0" w:color="045AA9"/>
            </w:tcBorders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21"/>
              </w:rPr>
              <w:t>8</w:t>
            </w:r>
          </w:p>
        </w:tc>
        <w:tc>
          <w:tcPr>
            <w:tcW w:type="dxa" w:w="871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tcMar>
              <w:top w:w="60" w:type="dxa"/>
              <w:start w:w="280" w:type="dxa"/>
              <w:bottom w:w="0" w:type="dxa"/>
              <w:end w:w="0" w:type="dxa"/>
            </w:tcMar>
          </w:tcPr>
          <w:p>
            <w:pPr>
              <w:spacing w:before="0" w:after="0" w:line="312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21"/>
              </w:rPr>
              <w:t xml:space="preserve">Confirm the entry appears on the published list. If it has not appeared within five business days, email </w:t>
            </w:r>
            <w:r>
              <w:rPr>
                <w:rFonts w:ascii="Aptos" w:hAnsi="Aptos" w:cs="Aptos" w:eastAsia="Aptos"/>
                <w:b/>
                <w:i w:val="0"/>
                <w:color w:val="2A2A2A"/>
                <w:sz w:val="21"/>
              </w:rPr>
              <w:t>eere-exchangesupport@hq.doe.gov</w:t>
            </w:r>
            <w:r>
              <w:rPr>
                <w:rFonts w:ascii="Aptos" w:hAnsi="Aptos" w:cs="Aptos" w:eastAsia="Aptos"/>
                <w:b w:val="0"/>
                <w:i w:val="0"/>
                <w:color w:val="2A2A2A"/>
                <w:sz w:val="21"/>
              </w:rPr>
              <w:t xml:space="preserve"> with the submission date.</w:t>
            </w:r>
          </w:p>
        </w:tc>
      </w:tr>
    </w:tbl>
    <w:p>
      <w:pPr>
        <w:spacing w:before="0" w:after="14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64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8" w:space="0" w:color="045AA9"/>
              <w:left w:val="single" w:sz="8" w:space="0" w:color="045AA9"/>
              <w:bottom w:val="single" w:sz="8" w:space="0" w:color="045AA9"/>
              <w:right w:val="single" w:sz="8" w:space="0" w:color="045AA9"/>
            </w:tcBorders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21"/>
              </w:rPr>
              <w:t>9</w:t>
            </w:r>
          </w:p>
        </w:tc>
        <w:tc>
          <w:tcPr>
            <w:tcW w:type="dxa" w:w="871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tcMar>
              <w:top w:w="60" w:type="dxa"/>
              <w:start w:w="280" w:type="dxa"/>
              <w:bottom w:w="0" w:type="dxa"/>
              <w:end w:w="0" w:type="dxa"/>
            </w:tcMar>
          </w:tcPr>
          <w:p>
            <w:pPr>
              <w:spacing w:before="0" w:after="0" w:line="312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21"/>
              </w:rPr>
              <w:t xml:space="preserve">Set a watch on the ASPECT page for the NOFO itself. Program questions go to </w:t>
            </w:r>
            <w:r>
              <w:rPr>
                <w:rFonts w:ascii="Aptos" w:hAnsi="Aptos" w:cs="Aptos" w:eastAsia="Aptos"/>
                <w:b/>
                <w:i w:val="0"/>
                <w:color w:val="2A2A2A"/>
                <w:sz w:val="21"/>
              </w:rPr>
              <w:t>ASPECT@doe.gov</w:t>
            </w:r>
            <w:r>
              <w:rPr>
                <w:rFonts w:ascii="Aptos" w:hAnsi="Aptos" w:cs="Aptos" w:eastAsia="Aptos"/>
                <w:b w:val="0"/>
                <w:i w:val="0"/>
                <w:color w:val="2A2A2A"/>
                <w:sz w:val="21"/>
              </w:rPr>
              <w:t>, Josh Messner. The funding loop rechecks this page every run.</w:t>
            </w:r>
          </w:p>
        </w:tc>
      </w:tr>
    </w:tbl>
    <w:p>
      <w:pPr>
        <w:spacing w:before="0" w:after="140" w:line="240" w:lineRule="auto"/>
      </w:pPr>
    </w:p>
    <w:p>
      <w:pPr>
        <w:keepNext/>
        <w:spacing w:before="240" w:after="80" w:line="288" w:lineRule="auto"/>
      </w:pPr>
      <w:r>
        <w:rPr>
          <w:rFonts w:ascii="Aptos Display" w:hAnsi="Aptos Display" w:cs="Aptos Display" w:eastAsia="Aptos Display"/>
          <w:b/>
          <w:i w:val="0"/>
          <w:color w:val="045AA9"/>
          <w:sz w:val="26"/>
        </w:rPr>
        <w:t>What this does not do</w:t>
      </w:r>
    </w:p>
    <w:p>
      <w:pPr>
        <w:spacing w:before="0" w:after="140" w:line="312" w:lineRule="auto"/>
      </w:pPr>
      <w:r>
        <w:rPr>
          <w:rFonts w:ascii="Aptos" w:hAnsi="Aptos" w:cs="Aptos" w:eastAsia="Aptos"/>
          <w:b w:val="0"/>
          <w:i w:val="0"/>
          <w:color w:val="2A2A2A"/>
          <w:sz w:val="21"/>
        </w:rPr>
        <w:t>Joining the list is not an application, does not reserve a place, and carries no weight in any future merit review. DOE says plainly that it does not endorse or evaluate the organizations that list themselves, and that a NOFO may never issue. The value is that teams form before a NOFO drops, and PlastiBioFuel is currently invisible to them.</w:t>
      </w:r>
    </w:p>
    <w:p>
      <w:pPr>
        <w:keepNext/>
        <w:spacing w:before="240" w:after="80" w:line="288" w:lineRule="auto"/>
      </w:pPr>
      <w:r>
        <w:rPr>
          <w:rFonts w:ascii="Aptos Display" w:hAnsi="Aptos Display" w:cs="Aptos Display" w:eastAsia="Aptos Display"/>
          <w:b/>
          <w:i w:val="0"/>
          <w:color w:val="045AA9"/>
          <w:sz w:val="26"/>
        </w:rPr>
        <w:t>One thing worth deciding before the NOFO</w:t>
      </w:r>
    </w:p>
    <w:p>
      <w:pPr>
        <w:spacing w:before="0" w:after="140" w:line="312" w:lineRule="auto"/>
      </w:pPr>
      <w:r>
        <w:rPr>
          <w:rFonts w:ascii="Aptos" w:hAnsi="Aptos" w:cs="Aptos" w:eastAsia="Aptos"/>
          <w:b w:val="0"/>
          <w:i w:val="0"/>
          <w:color w:val="2A2A2A"/>
          <w:sz w:val="21"/>
        </w:rPr>
        <w:t>Whether PlastiBioFuel wants to be a prime or a subrecipient on a scale-up award. The profile says the company is prepared to be either, which is honest today. A pre-pilot program will ask for reactor capacity the company does not own, so the answer probably decides which partners are worth calling first.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619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300" w:lineRule="auto"/>
            </w:pPr>
            <w:r>
              <w:rPr>
                <w:rFonts w:ascii="Aptos" w:hAnsi="Aptos" w:cs="Aptos" w:eastAsia="Aptos"/>
                <w:b w:val="0"/>
                <w:i w:val="0"/>
                <w:color w:val="6B7684"/>
                <w:sz w:val="16"/>
              </w:rPr>
              <w:t>DOE Funding Opportunity Exchange support: eere-exchangesupport@hq.doe.gov  ·  Program: ASPECT@doe.gov</w:t>
            </w:r>
          </w:p>
        </w:tc>
        <w:tc>
          <w:tcPr>
            <w:tcW w:type="dxa" w:w="316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300" w:lineRule="auto"/>
              <w:jc w:val="right"/>
            </w:pPr>
            <w:r>
              <w:rPr>
                <w:rFonts w:ascii="Aptos" w:hAnsi="Aptos" w:cs="Aptos" w:eastAsia="Aptos"/>
                <w:b w:val="0"/>
                <w:i w:val="0"/>
                <w:color w:val="6B7684"/>
                <w:sz w:val="16"/>
              </w:rPr>
              <w:t>Verified August 25, 2026</w:t>
            </w:r>
          </w:p>
        </w:tc>
      </w:tr>
    </w:tbl>
    <w:sectPr w:rsidR="00FC693F" w:rsidRPr="0006063C" w:rsidSect="00034616">
      <w:pgSz w:w="12240" w:h="15840"/>
      <w:pgMar w:top="792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Aptos" w:hAnsi="Aptos" w:cs="Aptos" w:eastAsia="Aptos"/>
      <w:rFonts w:ascii="Aptos" w:hAnsi="Aptos"/>
      <w:color w:val="2A2A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