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F926" w14:textId="77777777" w:rsidR="006979C4" w:rsidRPr="00940B03" w:rsidRDefault="00812E2F">
      <w:pPr>
        <w:rPr>
          <w:sz w:val="20"/>
          <w:szCs w:val="20"/>
        </w:rPr>
      </w:pPr>
      <w:r w:rsidRPr="00940B03">
        <w:rPr>
          <w:sz w:val="20"/>
          <w:szCs w:val="20"/>
        </w:rPr>
        <w:t>This tool is designed to help a user determine the amount of greenhouse gases emitted from seaweed aquaculture production. Specifically, a user can input materials and quantities used for the production of propagules, aka seed, and the construction, deploy</w:t>
      </w:r>
      <w:r w:rsidRPr="00940B03">
        <w:rPr>
          <w:sz w:val="20"/>
          <w:szCs w:val="20"/>
        </w:rPr>
        <w:t xml:space="preserve">ment, and operation of a long-line seaweed farm. A collection of input values is then used to populate a life cycle contribution model (Fig. 1) to determine the total equivalent </w:t>
      </w:r>
      <w:proofErr w:type="gramStart"/>
      <w:r w:rsidRPr="00940B03">
        <w:rPr>
          <w:sz w:val="20"/>
          <w:szCs w:val="20"/>
        </w:rPr>
        <w:t>amount</w:t>
      </w:r>
      <w:proofErr w:type="gramEnd"/>
      <w:r w:rsidRPr="00940B03">
        <w:rPr>
          <w:sz w:val="20"/>
          <w:szCs w:val="20"/>
        </w:rPr>
        <w:t xml:space="preserve"> of kilograms of carbon dioxide (CO</w:t>
      </w:r>
      <w:r w:rsidRPr="00940B03">
        <w:rPr>
          <w:sz w:val="20"/>
          <w:szCs w:val="20"/>
          <w:vertAlign w:val="subscript"/>
        </w:rPr>
        <w:t>2</w:t>
      </w:r>
      <w:r w:rsidRPr="00940B03">
        <w:rPr>
          <w:sz w:val="20"/>
          <w:szCs w:val="20"/>
        </w:rPr>
        <w:t>-eq) emitted per hectare of farm per</w:t>
      </w:r>
      <w:r w:rsidRPr="00940B03">
        <w:rPr>
          <w:sz w:val="20"/>
          <w:szCs w:val="20"/>
        </w:rPr>
        <w:t xml:space="preserve"> year, otherwise known as the annual global warming potential (GWP). </w:t>
      </w:r>
    </w:p>
    <w:p w14:paraId="2748CD3F" w14:textId="77777777" w:rsidR="006979C4" w:rsidRDefault="006979C4"/>
    <w:p w14:paraId="2EF6A455" w14:textId="77777777" w:rsidR="006979C4" w:rsidRPr="00940B03" w:rsidRDefault="00812E2F">
      <w:pPr>
        <w:rPr>
          <w:sz w:val="20"/>
          <w:szCs w:val="20"/>
        </w:rPr>
      </w:pPr>
      <w:r w:rsidRPr="00940B03">
        <w:rPr>
          <w:sz w:val="20"/>
          <w:szCs w:val="20"/>
        </w:rPr>
        <w:t>Use the “Input” tab to populate the model with your data. All inputs should be recorded per hectare of farm per year. Inputs are reported in two stages: “Propagule Production” (on the l</w:t>
      </w:r>
      <w:r w:rsidRPr="00940B03">
        <w:rPr>
          <w:sz w:val="20"/>
          <w:szCs w:val="20"/>
        </w:rPr>
        <w:t xml:space="preserve">eft) and “Ocean Cultivation and Harvesting” (on the right). Inputs are selected from drop down menus, and quantities are specified using a slider bar (constrained by published </w:t>
      </w:r>
      <w:proofErr w:type="gramStart"/>
      <w:r w:rsidRPr="00940B03">
        <w:rPr>
          <w:sz w:val="20"/>
          <w:szCs w:val="20"/>
        </w:rPr>
        <w:t>values, and</w:t>
      </w:r>
      <w:proofErr w:type="gramEnd"/>
      <w:r w:rsidRPr="00940B03">
        <w:rPr>
          <w:sz w:val="20"/>
          <w:szCs w:val="20"/>
        </w:rPr>
        <w:t xml:space="preserve"> set to the average reported value for a given category) or manually.</w:t>
      </w:r>
      <w:r w:rsidRPr="00940B03">
        <w:rPr>
          <w:sz w:val="20"/>
          <w:szCs w:val="20"/>
        </w:rPr>
        <w:t xml:space="preserve"> Note that some materials are assumed to last longer than one year. The GWP from producing these materials is then divided by the total </w:t>
      </w:r>
      <w:proofErr w:type="gramStart"/>
      <w:r w:rsidRPr="00940B03">
        <w:rPr>
          <w:sz w:val="20"/>
          <w:szCs w:val="20"/>
        </w:rPr>
        <w:t>life-time</w:t>
      </w:r>
      <w:proofErr w:type="gramEnd"/>
      <w:r w:rsidRPr="00940B03">
        <w:rPr>
          <w:sz w:val="20"/>
          <w:szCs w:val="20"/>
        </w:rPr>
        <w:t xml:space="preserve"> to estimate the annual GWP of each material, for example</w:t>
      </w:r>
    </w:p>
    <w:p w14:paraId="470B1E6E" w14:textId="77777777" w:rsidR="006979C4" w:rsidRDefault="006979C4"/>
    <w:p w14:paraId="109B3BBA" w14:textId="77777777" w:rsidR="006979C4" w:rsidRDefault="00812E2F">
      <w:pPr>
        <w:jc w:val="center"/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10 </m:t>
        </m:r>
        <m:r>
          <w:rPr>
            <w:rFonts w:ascii="Cambria Math" w:hAnsi="Cambria Math"/>
            <w:sz w:val="24"/>
            <w:szCs w:val="24"/>
            <w:vertAlign w:val="subscript"/>
          </w:rPr>
          <m:t>kg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/>
            <w:sz w:val="24"/>
            <w:szCs w:val="24"/>
            <w:vertAlign w:val="subscript"/>
          </w:rPr>
          <m:t>CO</m:t>
        </m:r>
        <m:r>
          <w:rPr>
            <w:rFonts w:ascii="Cambria Math" w:hAnsi="Cambria Math"/>
            <w:sz w:val="24"/>
            <w:szCs w:val="24"/>
            <w:vertAlign w:val="subscript"/>
          </w:rPr>
          <m:t>2/</m:t>
        </m:r>
        <m:r>
          <w:rPr>
            <w:rFonts w:ascii="Cambria Math" w:hAnsi="Cambria Math"/>
            <w:sz w:val="24"/>
            <w:szCs w:val="24"/>
            <w:vertAlign w:val="subscript"/>
          </w:rPr>
          <m:t>kg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/>
            <w:sz w:val="24"/>
            <w:szCs w:val="24"/>
            <w:vertAlign w:val="subscript"/>
          </w:rPr>
          <m:t>steel</m:t>
        </m:r>
        <m:r>
          <w:rPr>
            <w:rFonts w:ascii="Cambria Math" w:hAnsi="Cambria Math"/>
            <w:sz w:val="24"/>
            <w:szCs w:val="24"/>
            <w:vertAlign w:val="subscript"/>
          </w:rPr>
          <m:t>/20</m:t>
        </m:r>
        <m:r>
          <w:rPr>
            <w:rFonts w:ascii="Cambria Math" w:hAnsi="Cambria Math"/>
            <w:sz w:val="24"/>
            <w:szCs w:val="24"/>
            <w:vertAlign w:val="subscript"/>
          </w:rPr>
          <m:t>yr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/>
            <w:sz w:val="24"/>
            <w:szCs w:val="24"/>
            <w:vertAlign w:val="subscript"/>
          </w:rPr>
          <m:t>life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/>
            <w:sz w:val="24"/>
            <w:szCs w:val="24"/>
            <w:vertAlign w:val="subscript"/>
          </w:rPr>
          <m:t>ti</m:t>
        </m:r>
        <m:r>
          <w:rPr>
            <w:rFonts w:ascii="Cambria Math" w:hAnsi="Cambria Math"/>
            <w:sz w:val="24"/>
            <w:szCs w:val="24"/>
            <w:vertAlign w:val="subscript"/>
          </w:rPr>
          <m:t>me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 = 0.5 </m:t>
        </m:r>
        <m:r>
          <w:rPr>
            <w:rFonts w:ascii="Cambria Math" w:hAnsi="Cambria Math"/>
            <w:sz w:val="24"/>
            <w:szCs w:val="24"/>
            <w:vertAlign w:val="subscript"/>
          </w:rPr>
          <m:t>kg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/>
            <w:sz w:val="24"/>
            <w:szCs w:val="24"/>
            <w:vertAlign w:val="subscript"/>
          </w:rPr>
          <m:t>CO</m:t>
        </m:r>
        <m:r>
          <w:rPr>
            <w:rFonts w:ascii="Cambria Math" w:hAnsi="Cambria Math"/>
            <w:sz w:val="24"/>
            <w:szCs w:val="24"/>
            <w:vertAlign w:val="subscript"/>
          </w:rPr>
          <m:t>2/</m:t>
        </m:r>
        <m:r>
          <w:rPr>
            <w:rFonts w:ascii="Cambria Math" w:hAnsi="Cambria Math"/>
            <w:sz w:val="24"/>
            <w:szCs w:val="24"/>
            <w:vertAlign w:val="subscript"/>
          </w:rPr>
          <m:t>kg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/>
            <w:sz w:val="24"/>
            <w:szCs w:val="24"/>
            <w:vertAlign w:val="subscript"/>
          </w:rPr>
          <m:t>steel</m:t>
        </m:r>
        <m:r>
          <w:rPr>
            <w:rFonts w:ascii="Cambria Math" w:hAnsi="Cambria Math"/>
            <w:sz w:val="24"/>
            <w:szCs w:val="24"/>
            <w:vertAlign w:val="subscript"/>
          </w:rPr>
          <m:t>/</m:t>
        </m:r>
        <m:r>
          <w:rPr>
            <w:rFonts w:ascii="Cambria Math" w:hAnsi="Cambria Math"/>
            <w:sz w:val="24"/>
            <w:szCs w:val="24"/>
            <w:vertAlign w:val="subscript"/>
          </w:rPr>
          <m:t>yr</m:t>
        </m:r>
        <m:r>
          <w:rPr>
            <w:rFonts w:ascii="Cambria Math" w:hAnsi="Cambria Math"/>
            <w:sz w:val="24"/>
            <w:szCs w:val="24"/>
            <w:vertAlign w:val="subscript"/>
          </w:rPr>
          <m:t>)</m:t>
        </m:r>
      </m:oMath>
      <w:r>
        <w:t xml:space="preserve"> </w:t>
      </w:r>
    </w:p>
    <w:p w14:paraId="2E4F1946" w14:textId="77777777" w:rsidR="006979C4" w:rsidRDefault="006979C4"/>
    <w:p w14:paraId="2B896FF1" w14:textId="77777777" w:rsidR="006979C4" w:rsidRPr="00940B03" w:rsidRDefault="00812E2F">
      <w:pPr>
        <w:rPr>
          <w:sz w:val="20"/>
          <w:szCs w:val="20"/>
        </w:rPr>
      </w:pPr>
      <w:r w:rsidRPr="00940B03">
        <w:rPr>
          <w:sz w:val="20"/>
          <w:szCs w:val="20"/>
        </w:rPr>
        <w:t xml:space="preserve">Examples of material </w:t>
      </w:r>
      <w:proofErr w:type="gramStart"/>
      <w:r w:rsidRPr="00940B03">
        <w:rPr>
          <w:sz w:val="20"/>
          <w:szCs w:val="20"/>
        </w:rPr>
        <w:t>life-times</w:t>
      </w:r>
      <w:proofErr w:type="gramEnd"/>
      <w:r w:rsidRPr="00940B03">
        <w:rPr>
          <w:sz w:val="20"/>
          <w:szCs w:val="20"/>
        </w:rPr>
        <w:t xml:space="preserve"> are as follows: culture string = 1yr; long-lines = 5yrs; anchor = 20yrs; chains = 20yrs; support-line = 5yrs; buoys = 10yrs; buoy weights = 20yrs; buoy rope = 5yrs.</w:t>
      </w:r>
      <w:r w:rsidRPr="00940B03">
        <w:rPr>
          <w:sz w:val="20"/>
          <w:szCs w:val="20"/>
          <w:vertAlign w:val="superscript"/>
        </w:rPr>
        <w:footnoteReference w:id="1"/>
      </w:r>
      <w:r w:rsidRPr="00940B03">
        <w:rPr>
          <w:sz w:val="20"/>
          <w:szCs w:val="20"/>
        </w:rPr>
        <w:t xml:space="preserve"> </w:t>
      </w:r>
    </w:p>
    <w:p w14:paraId="52983E67" w14:textId="77777777" w:rsidR="006979C4" w:rsidRDefault="006979C4"/>
    <w:p w14:paraId="359EC4B1" w14:textId="77777777" w:rsidR="006979C4" w:rsidRPr="00940B03" w:rsidRDefault="00812E2F">
      <w:pPr>
        <w:rPr>
          <w:sz w:val="20"/>
          <w:szCs w:val="20"/>
        </w:rPr>
      </w:pPr>
      <w:r w:rsidRPr="00940B03">
        <w:rPr>
          <w:sz w:val="20"/>
          <w:szCs w:val="20"/>
        </w:rPr>
        <w:t>After inp</w:t>
      </w:r>
      <w:r w:rsidRPr="00940B03">
        <w:rPr>
          <w:sz w:val="20"/>
          <w:szCs w:val="20"/>
        </w:rPr>
        <w:t>utting all data, click the “Run Simulation” button at the top of the “Input” tab and go to the “Results” tab. Here, you will see the GWP (kg CO</w:t>
      </w:r>
      <w:r w:rsidRPr="00940B03">
        <w:rPr>
          <w:sz w:val="20"/>
          <w:szCs w:val="20"/>
          <w:vertAlign w:val="subscript"/>
        </w:rPr>
        <w:t>2</w:t>
      </w:r>
      <w:r w:rsidRPr="00940B03">
        <w:rPr>
          <w:sz w:val="20"/>
          <w:szCs w:val="20"/>
        </w:rPr>
        <w:t>-eq/ha/</w:t>
      </w:r>
      <w:proofErr w:type="spellStart"/>
      <w:r w:rsidRPr="00940B03">
        <w:rPr>
          <w:sz w:val="20"/>
          <w:szCs w:val="20"/>
        </w:rPr>
        <w:t>yr</w:t>
      </w:r>
      <w:proofErr w:type="spellEnd"/>
      <w:r w:rsidRPr="00940B03">
        <w:rPr>
          <w:sz w:val="20"/>
          <w:szCs w:val="20"/>
        </w:rPr>
        <w:t>) for each input organized by stage, the percent contribution of each input’s GWP to the total GWP (pro</w:t>
      </w:r>
      <w:r w:rsidRPr="00940B03">
        <w:rPr>
          <w:sz w:val="20"/>
          <w:szCs w:val="20"/>
        </w:rPr>
        <w:t xml:space="preserve">pagule production + ocean cultivation and harvesting), and the total annual GWP. At the bottom of this page are two interactive figures to visually display results. </w:t>
      </w:r>
    </w:p>
    <w:p w14:paraId="26EC9AE3" w14:textId="77777777" w:rsidR="006979C4" w:rsidRPr="00940B03" w:rsidRDefault="006979C4">
      <w:pPr>
        <w:rPr>
          <w:sz w:val="20"/>
          <w:szCs w:val="20"/>
        </w:rPr>
      </w:pPr>
    </w:p>
    <w:p w14:paraId="5DFEAF1C" w14:textId="77777777" w:rsidR="006979C4" w:rsidRPr="00940B03" w:rsidRDefault="00812E2F">
      <w:pPr>
        <w:rPr>
          <w:sz w:val="20"/>
          <w:szCs w:val="20"/>
        </w:rPr>
      </w:pPr>
      <w:r w:rsidRPr="00940B03">
        <w:rPr>
          <w:sz w:val="20"/>
          <w:szCs w:val="20"/>
        </w:rPr>
        <w:t>At any point a user can return to the “Input” tab and either manually change input values</w:t>
      </w:r>
      <w:r w:rsidRPr="00940B03">
        <w:rPr>
          <w:sz w:val="20"/>
          <w:szCs w:val="20"/>
        </w:rPr>
        <w:t xml:space="preserve"> or click the “Reset Input” button at the top of the “Input” page to reset all of the input values to 0. </w:t>
      </w:r>
    </w:p>
    <w:p w14:paraId="0E90AB4D" w14:textId="77777777" w:rsidR="006979C4" w:rsidRPr="00940B03" w:rsidRDefault="006979C4">
      <w:pPr>
        <w:rPr>
          <w:sz w:val="20"/>
          <w:szCs w:val="20"/>
        </w:rPr>
      </w:pPr>
    </w:p>
    <w:p w14:paraId="5F08728D" w14:textId="77777777" w:rsidR="006979C4" w:rsidRDefault="006979C4"/>
    <w:p w14:paraId="621F734C" w14:textId="77777777" w:rsidR="006979C4" w:rsidRDefault="00812E2F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6923B83" wp14:editId="7301F8BD">
            <wp:extent cx="5286375" cy="5391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70FE9" w14:textId="77777777" w:rsidR="006979C4" w:rsidRPr="00940B03" w:rsidRDefault="00812E2F">
      <w:pPr>
        <w:rPr>
          <w:sz w:val="20"/>
          <w:szCs w:val="20"/>
        </w:rPr>
      </w:pPr>
      <w:r w:rsidRPr="00940B03">
        <w:rPr>
          <w:b/>
          <w:sz w:val="20"/>
          <w:szCs w:val="20"/>
        </w:rPr>
        <w:t>Figure 1.</w:t>
      </w:r>
      <w:r w:rsidRPr="00940B03">
        <w:rPr>
          <w:sz w:val="20"/>
          <w:szCs w:val="20"/>
        </w:rPr>
        <w:t xml:space="preserve"> A conceptual model of propagule production and long-line ocean farming used to determine the annual global warming potential (GWP) from </w:t>
      </w:r>
      <w:r w:rsidRPr="00940B03">
        <w:rPr>
          <w:sz w:val="20"/>
          <w:szCs w:val="20"/>
        </w:rPr>
        <w:t xml:space="preserve">each input used. The blue boxes are life cycle processes, orange boxes are outputs, and white boxes are inputs modeled for each process.    </w:t>
      </w:r>
    </w:p>
    <w:p w14:paraId="1D4A4DAA" w14:textId="77777777" w:rsidR="006979C4" w:rsidRDefault="006979C4">
      <w:pPr>
        <w:rPr>
          <w:b/>
        </w:rPr>
      </w:pPr>
      <w:bookmarkStart w:id="0" w:name="_GoBack"/>
      <w:bookmarkEnd w:id="0"/>
    </w:p>
    <w:sectPr w:rsidR="006979C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18C3A" w14:textId="77777777" w:rsidR="00812E2F" w:rsidRDefault="00812E2F">
      <w:pPr>
        <w:spacing w:line="240" w:lineRule="auto"/>
      </w:pPr>
      <w:r>
        <w:separator/>
      </w:r>
    </w:p>
  </w:endnote>
  <w:endnote w:type="continuationSeparator" w:id="0">
    <w:p w14:paraId="71A1A334" w14:textId="77777777" w:rsidR="00812E2F" w:rsidRDefault="00812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7FC2" w14:textId="77777777" w:rsidR="006979C4" w:rsidRDefault="006979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0519E" w14:textId="77777777" w:rsidR="00812E2F" w:rsidRDefault="00812E2F">
      <w:pPr>
        <w:spacing w:line="240" w:lineRule="auto"/>
      </w:pPr>
      <w:r>
        <w:separator/>
      </w:r>
    </w:p>
  </w:footnote>
  <w:footnote w:type="continuationSeparator" w:id="0">
    <w:p w14:paraId="21BBC99D" w14:textId="77777777" w:rsidR="00812E2F" w:rsidRDefault="00812E2F">
      <w:pPr>
        <w:spacing w:line="240" w:lineRule="auto"/>
      </w:pPr>
      <w:r>
        <w:continuationSeparator/>
      </w:r>
    </w:p>
  </w:footnote>
  <w:footnote w:id="1">
    <w:p w14:paraId="794FF42F" w14:textId="77777777" w:rsidR="006979C4" w:rsidRDefault="00812E2F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  <w:highlight w:val="white"/>
        </w:rPr>
        <w:t xml:space="preserve">Aitken, D., </w:t>
      </w:r>
      <w:proofErr w:type="spellStart"/>
      <w:r>
        <w:rPr>
          <w:sz w:val="20"/>
          <w:szCs w:val="20"/>
          <w:highlight w:val="white"/>
        </w:rPr>
        <w:t>Bulboa</w:t>
      </w:r>
      <w:proofErr w:type="spellEnd"/>
      <w:r>
        <w:rPr>
          <w:sz w:val="20"/>
          <w:szCs w:val="20"/>
          <w:highlight w:val="white"/>
        </w:rPr>
        <w:t>, C., Godoy-</w:t>
      </w:r>
      <w:proofErr w:type="spellStart"/>
      <w:r>
        <w:rPr>
          <w:sz w:val="20"/>
          <w:szCs w:val="20"/>
          <w:highlight w:val="white"/>
        </w:rPr>
        <w:t>Faundez</w:t>
      </w:r>
      <w:proofErr w:type="spellEnd"/>
      <w:r>
        <w:rPr>
          <w:sz w:val="20"/>
          <w:szCs w:val="20"/>
          <w:highlight w:val="white"/>
        </w:rPr>
        <w:t xml:space="preserve">, A., </w:t>
      </w:r>
      <w:proofErr w:type="spellStart"/>
      <w:r>
        <w:rPr>
          <w:sz w:val="20"/>
          <w:szCs w:val="20"/>
          <w:highlight w:val="white"/>
        </w:rPr>
        <w:t>Turrion</w:t>
      </w:r>
      <w:proofErr w:type="spellEnd"/>
      <w:r>
        <w:rPr>
          <w:sz w:val="20"/>
          <w:szCs w:val="20"/>
          <w:highlight w:val="white"/>
        </w:rPr>
        <w:t xml:space="preserve">-Gomez, J. L., &amp; </w:t>
      </w:r>
      <w:proofErr w:type="spellStart"/>
      <w:r>
        <w:rPr>
          <w:sz w:val="20"/>
          <w:szCs w:val="20"/>
          <w:highlight w:val="white"/>
        </w:rPr>
        <w:t>Antizar-Ladislao</w:t>
      </w:r>
      <w:proofErr w:type="spellEnd"/>
      <w:r>
        <w:rPr>
          <w:sz w:val="20"/>
          <w:szCs w:val="20"/>
          <w:highlight w:val="white"/>
        </w:rPr>
        <w:t xml:space="preserve">, B. (2014). Life cycle assessment of macroalgae cultivation and processing for biofuel production. </w:t>
      </w:r>
      <w:r>
        <w:rPr>
          <w:i/>
          <w:sz w:val="20"/>
          <w:szCs w:val="20"/>
          <w:highlight w:val="white"/>
        </w:rPr>
        <w:t>Journal of Cleaner Production</w:t>
      </w:r>
      <w:r>
        <w:rPr>
          <w:sz w:val="20"/>
          <w:szCs w:val="20"/>
          <w:highlight w:val="white"/>
        </w:rPr>
        <w:t xml:space="preserve">, </w:t>
      </w:r>
      <w:r>
        <w:rPr>
          <w:i/>
          <w:sz w:val="20"/>
          <w:szCs w:val="20"/>
          <w:highlight w:val="white"/>
        </w:rPr>
        <w:t>75</w:t>
      </w:r>
      <w:r>
        <w:rPr>
          <w:sz w:val="20"/>
          <w:szCs w:val="20"/>
          <w:highlight w:val="white"/>
        </w:rPr>
        <w:t>, 45–56.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9C4"/>
    <w:rsid w:val="006979C4"/>
    <w:rsid w:val="00812E2F"/>
    <w:rsid w:val="0094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5E3F2"/>
  <w15:docId w15:val="{648C986E-72F8-A84E-9591-FCBF249D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Warham</cp:lastModifiedBy>
  <cp:revision>2</cp:revision>
  <dcterms:created xsi:type="dcterms:W3CDTF">2019-12-23T18:46:00Z</dcterms:created>
  <dcterms:modified xsi:type="dcterms:W3CDTF">2019-12-23T18:46:00Z</dcterms:modified>
</cp:coreProperties>
</file>