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C7C54"/>
          <w:sz w:val="20"/>
          <w:szCs w:val="20"/>
        </w:rPr>
        <w:t xml:space="preserve">BUSINESS OPPORTUNITY STUDY  |  OCTOBER 2026</w:t>
      </w:r>
    </w:p>
    <w:p>
      <w:pPr>
        <w:spacing w:after="200"/>
      </w:pPr>
      <w:r>
        <w:rPr>
          <w:b/>
          <w:bCs/>
          <w:color w:val="0B4F6C"/>
          <w:sz w:val="56"/>
          <w:szCs w:val="56"/>
        </w:rPr>
        <w:t xml:space="preserve">Where ESG Clients Will Spend</w:t>
      </w:r>
    </w:p>
    <w:p>
      <w:pPr>
        <w:spacing w:after="400"/>
      </w:pPr>
      <w:r>
        <w:rPr>
          <w:color w:val="1F2328"/>
          <w:sz w:val="30"/>
          <w:szCs w:val="30"/>
        </w:rPr>
        <w:t xml:space="preserve">ESG and sustainability services opportunity in Indonesia, Malaysia, Singapore and Hong Kong, 2026 to 2029</w:t>
      </w:r>
    </w:p>
    <w:p>
      <w:pPr>
        <w:spacing w:after="120" w:before="0" w:line="276"/>
      </w:pPr>
      <w:r>
        <w:rPr>
          <w:color w:val="57606A"/>
          <w:sz w:val="21"/>
          <w:szCs w:val="21"/>
        </w:rPr>
        <w:t xml:space="preserve">Prepared for: an independent ESG and sustainability consultant (remote-first, technology-enabled, open to subcontracting)</w:t>
      </w:r>
    </w:p>
    <w:p>
      <w:pPr>
        <w:spacing w:after="120" w:before="0" w:line="276"/>
      </w:pPr>
      <w:r>
        <w:rPr>
          <w:color w:val="57606A"/>
          <w:sz w:val="21"/>
          <w:szCs w:val="21"/>
        </w:rPr>
        <w:t xml:space="preserve">Research cut-off: 2 October 2026. Developments from 2024 to 2026 prioritised.</w:t>
      </w:r>
    </w:p>
    <w:p>
      <w:pPr>
        <w:spacing w:after="600" w:before="0" w:line="276"/>
      </w:pPr>
      <w:r>
        <w:rPr>
          <w:color w:val="57606A"/>
          <w:sz w:val="21"/>
          <w:szCs w:val="21"/>
        </w:rPr>
        <w:t xml:space="preserve">Scope: regulation, corporate and SME demand, competition, pricing, momentum, entry strategy, target clients, lead sources and a 90-day business development plan.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The short answer</w:t>
            </w:r>
          </w:p>
          <w:p>
            <w:pPr>
              <w:spacing w:after="40" w:line="240"/>
            </w:pPr>
            <w:r>
              <w:rPr>
                <w:b/>
                <w:bCs/>
                <w:sz w:val="19"/>
                <w:szCs w:val="19"/>
              </w:rPr>
              <w:t xml:space="preserve">Prioritise Malaysia now.</w:t>
            </w:r>
            <w:r>
              <w:rPr>
                <w:sz w:val="19"/>
                <w:szCs w:val="19"/>
              </w:rPr>
              <w:t xml:space="preserve"> It has the broadest set of dated reporting and assurance obligations landing in 2026 to 2029, a mid-market that the Big Four do not fully serve, English-language business, and tax and bank incentives that help clients pay.</w:t>
            </w:r>
          </w:p>
          <w:p>
            <w:pPr>
              <w:spacing w:after="40" w:line="240"/>
            </w:pPr>
            <w:r>
              <w:rPr>
                <w:b/>
                <w:bCs/>
                <w:sz w:val="19"/>
                <w:szCs w:val="19"/>
              </w:rPr>
              <w:t xml:space="preserve">Build Indonesia over the next 12 months.</w:t>
            </w:r>
            <w:r>
              <w:rPr>
                <w:sz w:val="19"/>
                <w:szCs w:val="19"/>
              </w:rPr>
              <w:t xml:space="preserve"> It is the biggest new wave (ISSB-based PSPK standards from 1 January 2027, with assurance and transition plans proposed by OJK), but you need a local partner and Bahasa delivery to capture it.</w:t>
            </w:r>
          </w:p>
          <w:p>
            <w:pPr>
              <w:spacing w:after="40" w:line="240"/>
            </w:pPr>
            <w:r>
              <w:rPr>
                <w:b/>
                <w:bCs/>
                <w:sz w:val="19"/>
                <w:szCs w:val="19"/>
              </w:rPr>
              <w:t xml:space="preserve">Use Singapore as your hub and premium channel.</w:t>
            </w:r>
            <w:r>
              <w:rPr>
                <w:sz w:val="19"/>
                <w:szCs w:val="19"/>
              </w:rPr>
              <w:t xml:space="preserve"> Highest fees and easiest remote access, but its 2025 deferrals push most listed and large private companies to FY2028 to FY2030. Its value now lies in partnerships, Scope 3 programmes and grant-funded SME work.</w:t>
            </w:r>
          </w:p>
          <w:p>
            <w:pPr>
              <w:spacing w:after="40" w:line="240"/>
            </w:pPr>
            <w:r>
              <w:rPr>
                <w:b/>
                <w:bCs/>
                <w:sz w:val="19"/>
                <w:szCs w:val="19"/>
              </w:rPr>
              <w:t xml:space="preserve">Treat Hong Kong as opportunistic.</w:t>
            </w:r>
            <w:r>
              <w:rPr>
                <w:sz w:val="19"/>
                <w:szCs w:val="19"/>
              </w:rPr>
              <w:t xml:space="preserve"> The largest reporting market by company count, but the low end is crowded and price-driven. Enter through CPA firms and assurance-readiness work rather than cold outreach.</w:t>
            </w:r>
          </w:p>
        </w:tc>
      </w:tr>
    </w:tbl>
    <w:p>
      <w:pPr>
        <w:pStyle w:val="Heading1"/>
        <w:pageBreakBefore/>
      </w:pPr>
      <w:r>
        <w:t xml:space="preserve">Contents</w:t>
      </w:r>
    </w:p>
    <w:p>
      <w:pPr>
        <w:spacing w:after="90"/>
      </w:pPr>
      <w:r>
        <w:rPr>
          <w:sz w:val="21"/>
          <w:szCs w:val="21"/>
        </w:rPr>
        <w:t xml:space="preserve">Executive summary</w:t>
      </w:r>
    </w:p>
    <w:p>
      <w:pPr>
        <w:spacing w:after="90"/>
      </w:pPr>
      <w:r>
        <w:rPr>
          <w:sz w:val="21"/>
          <w:szCs w:val="21"/>
        </w:rPr>
        <w:t xml:space="preserve">How to read this report (evidence labels, exchange rates, limitations)</w:t>
      </w:r>
    </w:p>
    <w:p>
      <w:pPr>
        <w:spacing w:after="90"/>
      </w:pPr>
      <w:r>
        <w:rPr>
          <w:sz w:val="21"/>
          <w:szCs w:val="21"/>
        </w:rPr>
        <w:t xml:space="preserve">Part 1: Market overview by country</w:t>
      </w:r>
    </w:p>
    <w:p>
      <w:pPr>
        <w:spacing w:after="90"/>
      </w:pPr>
      <w:r>
        <w:rPr>
          <w:sz w:val="21"/>
          <w:szCs w:val="21"/>
        </w:rPr>
        <w:t xml:space="preserve">Part 2: Regulatory drivers</w:t>
      </w:r>
    </w:p>
    <w:p>
      <w:pPr>
        <w:spacing w:after="90"/>
      </w:pPr>
      <w:r>
        <w:rPr>
          <w:sz w:val="21"/>
          <w:szCs w:val="21"/>
        </w:rPr>
        <w:t xml:space="preserve">Part 3: Corporate ESG demand by sector</w:t>
      </w:r>
    </w:p>
    <w:p>
      <w:pPr>
        <w:spacing w:after="90"/>
      </w:pPr>
      <w:r>
        <w:rPr>
          <w:sz w:val="21"/>
          <w:szCs w:val="21"/>
        </w:rPr>
        <w:t xml:space="preserve">Part 4: SME opportunity</w:t>
      </w:r>
    </w:p>
    <w:p>
      <w:pPr>
        <w:spacing w:after="90"/>
      </w:pPr>
      <w:r>
        <w:rPr>
          <w:sz w:val="21"/>
          <w:szCs w:val="21"/>
        </w:rPr>
        <w:t xml:space="preserve">Part 5: Competitor analysis and market gaps</w:t>
      </w:r>
    </w:p>
    <w:p>
      <w:pPr>
        <w:spacing w:after="90"/>
      </w:pPr>
      <w:r>
        <w:rPr>
          <w:sz w:val="21"/>
          <w:szCs w:val="21"/>
        </w:rPr>
        <w:t xml:space="preserve">Part 6: Business development conditions</w:t>
      </w:r>
    </w:p>
    <w:p>
      <w:pPr>
        <w:spacing w:after="90"/>
      </w:pPr>
      <w:r>
        <w:rPr>
          <w:sz w:val="21"/>
          <w:szCs w:val="21"/>
        </w:rPr>
        <w:t xml:space="preserve">Part 7: Pricing</w:t>
      </w:r>
    </w:p>
    <w:p>
      <w:pPr>
        <w:spacing w:after="90"/>
      </w:pPr>
      <w:r>
        <w:rPr>
          <w:sz w:val="21"/>
          <w:szCs w:val="21"/>
        </w:rPr>
        <w:t xml:space="preserve">Part 8: Market momentum (current size versus growth)</w:t>
      </w:r>
    </w:p>
    <w:p>
      <w:pPr>
        <w:spacing w:after="90"/>
      </w:pPr>
      <w:r>
        <w:rPr>
          <w:sz w:val="21"/>
          <w:szCs w:val="21"/>
        </w:rPr>
        <w:t xml:space="preserve">Part 9: Country comparison</w:t>
      </w:r>
    </w:p>
    <w:p>
      <w:pPr>
        <w:spacing w:after="90"/>
      </w:pPr>
      <w:r>
        <w:rPr>
          <w:sz w:val="21"/>
          <w:szCs w:val="21"/>
        </w:rPr>
        <w:t xml:space="preserve">Part 10: Opportunity matrix</w:t>
      </w:r>
    </w:p>
    <w:p>
      <w:pPr>
        <w:spacing w:after="90"/>
      </w:pPr>
      <w:r>
        <w:rPr>
          <w:sz w:val="21"/>
          <w:szCs w:val="21"/>
        </w:rPr>
        <w:t xml:space="preserve">Part 11: Market entry strategy</w:t>
      </w:r>
    </w:p>
    <w:p>
      <w:pPr>
        <w:spacing w:after="90"/>
      </w:pPr>
      <w:r>
        <w:rPr>
          <w:sz w:val="21"/>
          <w:szCs w:val="21"/>
        </w:rPr>
        <w:t xml:space="preserve">Part 12: Target client profiles and outreach angles</w:t>
      </w:r>
    </w:p>
    <w:p>
      <w:pPr>
        <w:spacing w:after="90"/>
      </w:pPr>
      <w:r>
        <w:rPr>
          <w:sz w:val="21"/>
          <w:szCs w:val="21"/>
        </w:rPr>
        <w:t xml:space="preserve">Part 13: Near-term opportunities, 2026 to 2028</w:t>
      </w:r>
    </w:p>
    <w:p>
      <w:pPr>
        <w:spacing w:after="90"/>
      </w:pPr>
      <w:r>
        <w:rPr>
          <w:sz w:val="21"/>
          <w:szCs w:val="21"/>
        </w:rPr>
        <w:t xml:space="preserve">Part 14: Sources of leads</w:t>
      </w:r>
    </w:p>
    <w:p>
      <w:pPr>
        <w:spacing w:after="90"/>
      </w:pPr>
      <w:r>
        <w:rPr>
          <w:sz w:val="21"/>
          <w:szCs w:val="21"/>
        </w:rPr>
        <w:t xml:space="preserve">Part 15: Final strategic assessment, prioritisation and 90-day plan</w:t>
      </w:r>
    </w:p>
    <w:p>
      <w:pPr>
        <w:spacing w:after="90"/>
      </w:pPr>
      <w:r>
        <w:rPr>
          <w:sz w:val="21"/>
          <w:szCs w:val="21"/>
        </w:rPr>
        <w:t xml:space="preserve">Sources</w:t>
      </w:r>
    </w:p>
    <w:p>
      <w:pPr>
        <w:spacing w:after="200"/>
      </w:pPr>
    </w:p>
    <w:p>
      <w:pPr>
        <w:spacing w:after="120" w:before="0" w:line="276"/>
      </w:pPr>
      <w:r>
        <w:rPr>
          <w:i/>
          <w:iCs/>
          <w:color w:val="57606A"/>
          <w:sz w:val="18"/>
          <w:szCs w:val="18"/>
        </w:rPr>
        <w:t xml:space="preserve">Tip: in Word, open View &gt; Navigation Pane to jump between parts using the built-in headings.</w:t>
      </w:r>
    </w:p>
    <w:p>
      <w:pPr>
        <w:pStyle w:val="Heading1"/>
        <w:pageBreakBefore/>
      </w:pPr>
      <w:r>
        <w:t xml:space="preserve">Executive summary</w:t>
      </w:r>
    </w:p>
    <w:p>
      <w:pPr>
        <w:spacing w:after="120" w:before="0" w:line="276"/>
      </w:pPr>
      <w:r>
        <w:t xml:space="preserve">This study asks one commercial question: across Indonesia, Malaysia, Singapore and Hong Kong, where will companies spend money on ESG services between now and 2029, what will they buy, who signs off, and how can an independent consultant reach them? The answer differs sharply by market, and the main driver is timing. Each market has put sustainability reporting on a dated path, but those paths start and accelerate in different years.</w:t>
      </w:r>
    </w:p>
    <w:p>
      <w:pPr>
        <w:pStyle w:val="Heading2"/>
      </w:pPr>
      <w:r>
        <w:t xml:space="preserve">Five findings that should shape your plan</w:t>
      </w:r>
    </w:p>
    <w:p>
      <w:pPr>
        <w:pStyle w:val="ListParagraph"/>
        <w:numPr>
          <w:ilvl w:val="0"/>
          <w:numId w:val="2"/>
        </w:numPr>
        <w:spacing w:after="60" w:line="264"/>
      </w:pPr>
      <w:r>
        <w:rPr>
          <w:b/>
          <w:bCs/>
        </w:rPr>
        <w:t xml:space="preserve">Malaysia has the strongest momentum right now.</w:t>
      </w:r>
      <w:r>
        <w:t xml:space="preserve"> The National Sustainability Reporting Framework (NSRF) moves all Bursa-listed companies and large non-listed companies (group revenue of RM2 billion or more) onto IFRS S1 and S2 in three waves: FY2025, FY2026 and FY2027. Reasonable assurance of Scope 1 and 2 emissions is targeted from FY2027 for the largest issuers, and Scope 3 is phased in from FY2027 to FY2030 </w:t>
      </w:r>
      <w:r>
        <w:rPr>
          <w:color w:val="57606A"/>
          <w:vertAlign w:val="superscript"/>
        </w:rPr>
        <w:t xml:space="preserve">[20,21,89]</w:t>
      </w:r>
      <w:r>
        <w:t xml:space="preserve">. Around 980 listed companies are affected </w:t>
      </w:r>
      <w:r>
        <w:rPr>
          <w:b/>
          <w:bCs/>
          <w:color w:val="A35200"/>
          <w:sz w:val="16"/>
          <w:szCs w:val="16"/>
        </w:rPr>
        <w:t xml:space="preserve">[Estimate]</w:t>
      </w:r>
      <w:r>
        <w:t xml:space="preserve">. Supply-chain pressure in electronics, palm oil, steel and data centres adds demand on top of regulation.</w:t>
      </w:r>
    </w:p>
    <w:p>
      <w:pPr>
        <w:pStyle w:val="ListParagraph"/>
        <w:numPr>
          <w:ilvl w:val="0"/>
          <w:numId w:val="2"/>
        </w:numPr>
        <w:spacing w:after="60" w:line="264"/>
      </w:pPr>
      <w:r>
        <w:rPr>
          <w:b/>
          <w:bCs/>
        </w:rPr>
        <w:t xml:space="preserve">Singapore is the most developed ecosystem but has slowed for most companies.</w:t>
      </w:r>
      <w:r>
        <w:t xml:space="preserve"> In August 2025 the regulators kept FY2025 ISSB climate reporting for the 30 STI constituents but deferred other listed companies to FY2028 (market cap of S$1 billion or more) or FY2030 (below S$1 billion), made Scope 3 voluntary for non-STI companies, moved limited assurance to FY2029 and pushed large non-listed companies to FY2030 </w:t>
      </w:r>
      <w:r>
        <w:rPr>
          <w:color w:val="57606A"/>
          <w:vertAlign w:val="superscript"/>
        </w:rPr>
        <w:t xml:space="preserve">[1,2]</w:t>
      </w:r>
      <w:r>
        <w:t xml:space="preserve">. Fees are the highest in the region and grants co-fund the work, so Singapore stays valuable, but mainly for partnerships, premium niches and grant-funded SME projects in 2026 and 2027.</w:t>
      </w:r>
    </w:p>
    <w:p>
      <w:pPr>
        <w:pStyle w:val="ListParagraph"/>
        <w:numPr>
          <w:ilvl w:val="0"/>
          <w:numId w:val="2"/>
        </w:numPr>
        <w:spacing w:after="60" w:line="264"/>
      </w:pPr>
      <w:r>
        <w:rPr>
          <w:b/>
          <w:bCs/>
        </w:rPr>
        <w:t xml:space="preserve">Indonesia is the biggest coming wave.</w:t>
      </w:r>
      <w:r>
        <w:t xml:space="preserve"> Indonesia ratified PSPK 1 and PSPK 2 (based on IFRS S1 and S2) in July 2025, effective 1 January 2027 </w:t>
      </w:r>
      <w:r>
        <w:rPr>
          <w:color w:val="57606A"/>
          <w:vertAlign w:val="superscript"/>
        </w:rPr>
        <w:t xml:space="preserve">[40]</w:t>
      </w:r>
      <w:r>
        <w:t xml:space="preserve">. An OJK draft regulation consulted on in February and March 2026 would phase in standards-based reporting from FY2027 to FY2029, add mandatory independent assurance and require transition plans </w:t>
      </w:r>
      <w:r>
        <w:rPr>
          <w:color w:val="57606A"/>
          <w:vertAlign w:val="superscript"/>
        </w:rPr>
        <w:t xml:space="preserve">[41,42]</w:t>
      </w:r>
      <w:r>
        <w:t xml:space="preserve">. Industrial companies must already report GHG data to the Ministry of Industry </w:t>
      </w:r>
      <w:r>
        <w:rPr>
          <w:color w:val="57606A"/>
          <w:vertAlign w:val="superscript"/>
        </w:rPr>
        <w:t xml:space="preserve">[49]</w:t>
      </w:r>
      <w:r>
        <w:t xml:space="preserve">. Very few providers can deliver ISSB-quality work in Bahasa Indonesia, so the gap is real, but it needs a local partner.</w:t>
      </w:r>
    </w:p>
    <w:p>
      <w:pPr>
        <w:pStyle w:val="ListParagraph"/>
        <w:numPr>
          <w:ilvl w:val="0"/>
          <w:numId w:val="2"/>
        </w:numPr>
        <w:spacing w:after="60" w:line="264"/>
      </w:pPr>
      <w:r>
        <w:rPr>
          <w:b/>
          <w:bCs/>
        </w:rPr>
        <w:t xml:space="preserve">Hong Kong is large, mature and crowded at the low end.</w:t>
      </w:r>
      <w:r>
        <w:t xml:space="preserve"> More than 2,700 issuers already publish ESG reports. Scope 1 and 2 disclosure became mandatory for all Main Board issuers from FY2025, LargeCap issuers move to full climate disclosure including Scope 3 from FY2026, and the government roadmap targets full ISSB adoption for large publicly accountable entities by 2028, backed by a proposed assurance regime </w:t>
      </w:r>
      <w:r>
        <w:rPr>
          <w:color w:val="57606A"/>
          <w:vertAlign w:val="superscript"/>
        </w:rPr>
        <w:t xml:space="preserve">[62,63,66]</w:t>
      </w:r>
      <w:r>
        <w:t xml:space="preserve">. New money will flow to assurance readiness, Scope 3 and transition plans, mostly through existing CPA-firm relationships.</w:t>
      </w:r>
    </w:p>
    <w:p>
      <w:pPr>
        <w:pStyle w:val="ListParagraph"/>
        <w:numPr>
          <w:ilvl w:val="0"/>
          <w:numId w:val="2"/>
        </w:numPr>
        <w:spacing w:after="60" w:line="264"/>
      </w:pPr>
      <w:r>
        <w:rPr>
          <w:b/>
          <w:bCs/>
        </w:rPr>
        <w:t xml:space="preserve">What clients will buy, 2026 to 2029:</w:t>
      </w:r>
      <w:r>
        <w:t xml:space="preserve"> ISSB/IFRS S2 gap assessments and first reports; GHG data systems built to pass assurance; Scope 3 and supplier data programmes; climate scenario analysis; transition plans; export carbon data for EU rules (CBAM, EUDR, battery carbon footprint); and low-cost SME packages funded by grants, tax deductions or bank programmes.</w:t>
      </w:r>
    </w:p>
    <w:p>
      <w:pPr>
        <w:pStyle w:val="Heading2"/>
      </w:pPr>
      <w:r>
        <w:t xml:space="preserve">Recommended positioning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71"/>
        <w:gridCol w:w="1694"/>
        <w:gridCol w:w="2330"/>
        <w:gridCol w:w="2330"/>
        <w:gridCol w:w="2121"/>
      </w:tblGrid>
      <w:tr>
        <w:trPr>
          <w:cantSplit/>
          <w:tblHeader/>
        </w:trPr>
        <w:tc>
          <w:tcPr>
            <w:tcW w:type="dxa" w:w="127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Market</w:t>
            </w:r>
          </w:p>
        </w:tc>
        <w:tc>
          <w:tcPr>
            <w:tcW w:type="dxa" w:w="169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Role in your plan</w:t>
            </w:r>
          </w:p>
        </w:tc>
        <w:tc>
          <w:tcPr>
            <w:tcW w:type="dxa" w:w="233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Lead offer</w:t>
            </w:r>
          </w:p>
        </w:tc>
        <w:tc>
          <w:tcPr>
            <w:tcW w:type="dxa" w:w="233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First targets</w:t>
            </w:r>
          </w:p>
        </w:tc>
        <w:tc>
          <w:tcPr>
            <w:tcW w:type="dxa" w:w="212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Main risk</w:t>
            </w:r>
          </w:p>
        </w:tc>
      </w:tr>
      <w:tr>
        <w:trPr>
          <w:cantSplit/>
        </w:trPr>
        <w:tc>
          <w:tcPr>
            <w:tcW w:type="dxa" w:w="127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Malaysia</w:t>
            </w:r>
          </w:p>
        </w:tc>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Primary revenue market from month 1</w:t>
            </w:r>
          </w:p>
        </w:tc>
        <w:tc>
          <w:tcPr>
            <w:tcW w:type="dxa" w:w="233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NSRF/IFRS S2 readiness and first report; GHG assurance-readiness; supplier carbon accounting</w:t>
            </w:r>
          </w:p>
        </w:tc>
        <w:tc>
          <w:tcPr>
            <w:tcW w:type="dxa" w:w="233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Group 2 Main Market issuers (FY2026 first year), Group 3 ACE issuers and large non-listed groups (FY2027), E&amp;E and palm oil exporters</w:t>
            </w:r>
          </w:p>
        </w:tc>
        <w:tc>
          <w:tcPr>
            <w:tcW w:type="dxa" w:w="21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Price pressure from mid-tier audit firms; carbon tax on hold weakens urgency for some emitters</w:t>
            </w:r>
          </w:p>
        </w:tc>
      </w:tr>
      <w:tr>
        <w:trPr>
          <w:cantSplit/>
        </w:trPr>
        <w:tc>
          <w:tcPr>
            <w:tcW w:type="dxa" w:w="127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Indonesia</w:t>
            </w:r>
          </w:p>
        </w:tc>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Build over 12 months with a local partner</w:t>
            </w:r>
          </w:p>
        </w:tc>
        <w:tc>
          <w:tcPr>
            <w:tcW w:type="dxa" w:w="233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PSPK readiness (gap assessment, data systems, training in Bahasa); manufacturing GHG inventories</w:t>
            </w:r>
          </w:p>
        </w:tc>
        <w:tc>
          <w:tcPr>
            <w:tcW w:type="dxa" w:w="233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IDX Main Board issuers, large banks, palm oil, nickel, cement and textile exporters</w:t>
            </w:r>
          </w:p>
        </w:tc>
        <w:tc>
          <w:tcPr>
            <w:tcW w:type="dxa" w:w="21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Language, relationship-driven buying, regulatory timing slippage, rupiah weakness</w:t>
            </w:r>
          </w:p>
        </w:tc>
      </w:tr>
      <w:tr>
        <w:trPr>
          <w:cantSplit/>
        </w:trPr>
        <w:tc>
          <w:tcPr>
            <w:tcW w:type="dxa" w:w="127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Singapore</w:t>
            </w:r>
          </w:p>
        </w:tc>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Hub, partnerships and premium niche</w:t>
            </w:r>
          </w:p>
        </w:tc>
        <w:tc>
          <w:tcPr>
            <w:tcW w:type="dxa" w:w="233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Scope 3 supplier programmes; grant-funded SME carbon accounting; transition plans for bank borrowers</w:t>
            </w:r>
          </w:p>
        </w:tc>
        <w:tc>
          <w:tcPr>
            <w:tcW w:type="dxa" w:w="233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MNC regional HQs, carbon-software vendors, SMEs supplying MNCs, S$1bn+ listed companies preparing for FY2028</w:t>
            </w:r>
          </w:p>
        </w:tc>
        <w:tc>
          <w:tcPr>
            <w:tcW w:type="dxa" w:w="21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Deferrals reduce near-term listed demand; dense competition</w:t>
            </w:r>
          </w:p>
        </w:tc>
      </w:tr>
      <w:tr>
        <w:trPr>
          <w:cantSplit/>
        </w:trPr>
        <w:tc>
          <w:tcPr>
            <w:tcW w:type="dxa" w:w="127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Hong Kong</w:t>
            </w:r>
          </w:p>
        </w:tc>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Opportunistic, partner-led</w:t>
            </w:r>
          </w:p>
        </w:tc>
        <w:tc>
          <w:tcPr>
            <w:tcW w:type="dxa" w:w="233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Assurance-readiness, Scope 3 for LargeCap, HKFRS S1 readiness</w:t>
            </w:r>
          </w:p>
        </w:tc>
        <w:tc>
          <w:tcPr>
            <w:tcW w:type="dxa" w:w="233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CPA firms needing capacity; LargeCap and MidCap issuers; property and logistics</w:t>
            </w:r>
          </w:p>
        </w:tc>
        <w:tc>
          <w:tcPr>
            <w:tcW w:type="dxa" w:w="21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Commoditised report writing, Cantonese/Mandarin relationships, mainland-linked clients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A35200" w:sz="24"/>
              <w:bottom w:val="none" w:color="FFFFFF" w:sz="0"/>
              <w:right w:val="none" w:color="FFFFFF" w:sz="0"/>
            </w:tcBorders>
            <w:shd w:fill="FFF6E5" w:color="auto" w:val="clear"/>
            <w:tcMar>
              <w:top w:type="dxa" w:w="140"/>
              <w:left w:type="dxa" w:w="200"/>
              <w:bottom w:type="dxa" w:w="120"/>
              <w:right w:type="dxa" w:w="200"/>
            </w:tcMar>
          </w:tcPr>
          <w:p>
            <w:pPr>
              <w:spacing w:after="80"/>
            </w:pPr>
            <w:r>
              <w:rPr>
                <w:b/>
                <w:bCs/>
                <w:color w:val="0B4F6C"/>
                <w:sz w:val="21"/>
                <w:szCs w:val="21"/>
              </w:rPr>
              <w:t xml:space="preserve">Biggest strategic caution</w:t>
            </w:r>
          </w:p>
          <w:p>
            <w:pPr>
              <w:spacing w:after="40" w:line="240"/>
            </w:pPr>
            <w:r>
              <w:rPr>
                <w:sz w:val="19"/>
                <w:szCs w:val="19"/>
              </w:rPr>
              <w:t xml:space="preserve">Regulators in all four markets have shown they will delay obligations when costs bite: Singapore deferred most climate reporting in 2025, Malaysia put its carbon tax on hold in April 2026, and Indonesia has repeatedly postponed its carbon tax </w:t>
            </w:r>
            <w:r>
              <w:rPr>
                <w:color w:val="57606A"/>
                <w:sz w:val="19"/>
                <w:szCs w:val="19"/>
                <w:vertAlign w:val="superscript"/>
              </w:rPr>
              <w:t xml:space="preserve">[1,23,45]</w:t>
            </w:r>
            <w:r>
              <w:rPr>
                <w:sz w:val="19"/>
                <w:szCs w:val="19"/>
              </w:rPr>
              <w:t xml:space="preserve">. AI tools are also compressing the price of report drafting </w:t>
            </w:r>
            <w:r>
              <w:rPr>
                <w:color w:val="57606A"/>
                <w:sz w:val="19"/>
                <w:szCs w:val="19"/>
                <w:vertAlign w:val="superscript"/>
              </w:rPr>
              <w:t xml:space="preserve">[77]</w:t>
            </w:r>
            <w:r>
              <w:rPr>
                <w:sz w:val="19"/>
                <w:szCs w:val="19"/>
              </w:rPr>
              <w:t xml:space="preserve">. Build offers around data systems, assurance readiness and decisions (targets, transition plans, supplier programmes), not around writing reports. </w:t>
            </w:r>
            <w:r>
              <w:rPr>
                <w:b/>
                <w:bCs/>
                <w:color w:val="6B4FA0"/>
                <w:sz w:val="15"/>
                <w:szCs w:val="15"/>
              </w:rPr>
              <w:t xml:space="preserve">[Analyst view]</w:t>
            </w:r>
          </w:p>
        </w:tc>
      </w:tr>
    </w:tbl>
    <w:p>
      <w:pPr>
        <w:pStyle w:val="Heading1"/>
        <w:pageBreakBefore/>
      </w:pPr>
      <w:r>
        <w:t xml:space="preserve">How to read this report</w:t>
      </w:r>
    </w:p>
    <w:p>
      <w:pPr>
        <w:pStyle w:val="Heading2"/>
      </w:pPr>
      <w:r>
        <w:t xml:space="preserve">Evidence labels</w:t>
      </w:r>
    </w:p>
    <w:p>
      <w:pPr>
        <w:spacing w:after="120" w:before="0" w:line="276"/>
      </w:pPr>
      <w:r>
        <w:t xml:space="preserve">Every important claim carries a label so you can see how much weight it bears.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1"/>
        <w:gridCol w:w="7735"/>
      </w:tblGrid>
      <w:tr>
        <w:trPr>
          <w:cantSplit/>
          <w:tblHeader/>
        </w:trPr>
        <w:tc>
          <w:tcPr>
            <w:tcW w:type="dxa" w:w="201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Label</w:t>
            </w:r>
          </w:p>
        </w:tc>
        <w:tc>
          <w:tcPr>
            <w:tcW w:type="dxa" w:w="773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Meaning</w:t>
            </w:r>
          </w:p>
        </w:tc>
      </w:tr>
      <w:tr>
        <w:trPr>
          <w:cantSplit/>
        </w:trPr>
        <w:tc>
          <w:tcPr>
            <w:tcW w:type="dxa" w:w="201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color w:val="1C5CAB"/>
                <w:sz w:val="12"/>
                <w:szCs w:val="12"/>
              </w:rPr>
              <w:t xml:space="preserve">[Fact]</w:t>
            </w:r>
          </w:p>
        </w:tc>
        <w:tc>
          <w:tcPr>
            <w:tcW w:type="dxa" w:w="77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Confirmed fact from a regulator, exchange, government body or the primary document, or from reputable reporting of it.</w:t>
            </w:r>
          </w:p>
        </w:tc>
      </w:tr>
      <w:tr>
        <w:trPr>
          <w:cantSplit/>
        </w:trPr>
        <w:tc>
          <w:tcPr>
            <w:tcW w:type="dxa" w:w="201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color w:val="A35200"/>
                <w:sz w:val="12"/>
                <w:szCs w:val="12"/>
              </w:rPr>
              <w:t xml:space="preserve">[Estimate]</w:t>
            </w:r>
          </w:p>
        </w:tc>
        <w:tc>
          <w:tcPr>
            <w:tcW w:type="dxa" w:w="77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Industry estimate: a figure published by a market participant, vendor or research firm, or a price range assembled from limited public data. Treat as directional.</w:t>
            </w:r>
          </w:p>
        </w:tc>
      </w:tr>
      <w:tr>
        <w:trPr>
          <w:cantSplit/>
        </w:trPr>
        <w:tc>
          <w:tcPr>
            <w:tcW w:type="dxa" w:w="201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color w:val="6B4FA0"/>
                <w:sz w:val="12"/>
                <w:szCs w:val="12"/>
              </w:rPr>
              <w:t xml:space="preserve">[Analyst view]</w:t>
            </w:r>
          </w:p>
        </w:tc>
        <w:tc>
          <w:tcPr>
            <w:tcW w:type="dxa" w:w="77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Analyst view: an interpretation of the evidence, including scoring and ranking in this report.</w:t>
            </w:r>
          </w:p>
        </w:tc>
      </w:tr>
      <w:tr>
        <w:trPr>
          <w:cantSplit/>
        </w:trPr>
        <w:tc>
          <w:tcPr>
            <w:tcW w:type="dxa" w:w="201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color w:val="0F7A55"/>
                <w:sz w:val="12"/>
                <w:szCs w:val="12"/>
              </w:rPr>
              <w:t xml:space="preserve">[Inference]</w:t>
            </w:r>
          </w:p>
        </w:tc>
        <w:tc>
          <w:tcPr>
            <w:tcW w:type="dxa" w:w="77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Strategic inference: a conclusion about what the evidence means for your business, which you should test in the market.</w:t>
            </w:r>
          </w:p>
        </w:tc>
      </w:tr>
    </w:tbl>
    <w:p>
      <w:pPr>
        <w:spacing w:after="120"/>
      </w:pPr>
    </w:p>
    <w:p>
      <w:pPr>
        <w:pStyle w:val="Heading2"/>
      </w:pPr>
      <w:r>
        <w:t xml:space="preserve">Regulatory status labels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011"/>
        <w:gridCol w:w="7735"/>
      </w:tblGrid>
      <w:tr>
        <w:trPr>
          <w:cantSplit/>
          <w:tblHeader/>
        </w:trPr>
        <w:tc>
          <w:tcPr>
            <w:tcW w:type="dxa" w:w="201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Label</w:t>
            </w:r>
          </w:p>
        </w:tc>
        <w:tc>
          <w:tcPr>
            <w:tcW w:type="dxa" w:w="773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Meaning</w:t>
            </w:r>
          </w:p>
        </w:tc>
      </w:tr>
      <w:tr>
        <w:trPr>
          <w:cantSplit/>
        </w:trPr>
        <w:tc>
          <w:tcPr>
            <w:tcW w:type="dxa" w:w="201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color w:val="1A7F37"/>
                <w:sz w:val="12"/>
                <w:szCs w:val="12"/>
              </w:rPr>
              <w:t xml:space="preserve">[In force]</w:t>
            </w:r>
          </w:p>
        </w:tc>
        <w:tc>
          <w:tcPr>
            <w:tcW w:type="dxa" w:w="77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Regulation already in force and producing obligations now.</w:t>
            </w:r>
          </w:p>
        </w:tc>
      </w:tr>
      <w:tr>
        <w:trPr>
          <w:cantSplit/>
        </w:trPr>
        <w:tc>
          <w:tcPr>
            <w:tcW w:type="dxa" w:w="201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color w:val="9A6700"/>
                <w:sz w:val="12"/>
                <w:szCs w:val="12"/>
              </w:rPr>
              <w:t xml:space="preserve">[Announced]</w:t>
            </w:r>
          </w:p>
        </w:tc>
        <w:tc>
          <w:tcPr>
            <w:tcW w:type="dxa" w:w="77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Formally announced or finalised, with a set future effective date.</w:t>
            </w:r>
          </w:p>
        </w:tc>
      </w:tr>
      <w:tr>
        <w:trPr>
          <w:cantSplit/>
        </w:trPr>
        <w:tc>
          <w:tcPr>
            <w:tcW w:type="dxa" w:w="201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color w:val="B42318"/>
                <w:sz w:val="12"/>
                <w:szCs w:val="12"/>
              </w:rPr>
              <w:t xml:space="preserve">[Proposed]</w:t>
            </w:r>
          </w:p>
        </w:tc>
        <w:tc>
          <w:tcPr>
            <w:tcW w:type="dxa" w:w="77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Proposed, under consultation, pending legislation, or announced and then put on hold.</w:t>
            </w:r>
          </w:p>
        </w:tc>
      </w:tr>
      <w:tr>
        <w:trPr>
          <w:cantSplit/>
        </w:trPr>
        <w:tc>
          <w:tcPr>
            <w:tcW w:type="dxa" w:w="201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color w:val="57606A"/>
                <w:sz w:val="12"/>
                <w:szCs w:val="12"/>
              </w:rPr>
              <w:t xml:space="preserve">[Voluntary]</w:t>
            </w:r>
          </w:p>
        </w:tc>
        <w:tc>
          <w:tcPr>
            <w:tcW w:type="dxa" w:w="77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Voluntary framework, guidance or market practice.</w:t>
            </w:r>
          </w:p>
        </w:tc>
      </w:tr>
    </w:tbl>
    <w:p>
      <w:pPr>
        <w:spacing w:after="120"/>
      </w:pPr>
    </w:p>
    <w:p>
      <w:pPr>
        <w:pStyle w:val="Heading2"/>
      </w:pPr>
      <w:r>
        <w:t xml:space="preserve">Currency and pricing</w:t>
      </w:r>
    </w:p>
    <w:p>
      <w:pPr>
        <w:spacing w:after="120" w:before="0" w:line="276"/>
      </w:pPr>
      <w:r>
        <w:t xml:space="preserve">Prices are shown in local currency with an approximate US dollar equivalent. Planning exchange rates (late September 2026, rounded): </w:t>
      </w:r>
      <w:r>
        <w:rPr>
          <w:b/>
          <w:bCs/>
        </w:rPr>
        <w:t xml:space="preserve">US$1 = S$1.28 = RM4.08 = IDR 17,900 = HK$7.80</w:t>
      </w:r>
      <w:r>
        <w:t xml:space="preserve"> </w:t>
      </w:r>
      <w:r>
        <w:rPr>
          <w:b/>
          <w:bCs/>
          <w:color w:val="A35200"/>
          <w:sz w:val="16"/>
          <w:szCs w:val="16"/>
        </w:rPr>
        <w:t xml:space="preserve">[Estimate]</w:t>
      </w:r>
      <w:r>
        <w:t xml:space="preserve">. Rupiah and ringgit have moved meaningfully during 2026, so refresh conversions before quoting.</w:t>
      </w:r>
    </w:p>
    <w:p>
      <w:pPr>
        <w:pStyle w:val="Heading2"/>
      </w:pPr>
      <w:r>
        <w:t xml:space="preserve">Citations</w:t>
      </w:r>
    </w:p>
    <w:p>
      <w:pPr>
        <w:spacing w:after="120" w:before="0" w:line="276"/>
      </w:pPr>
      <w:r>
        <w:t xml:space="preserve">Bracketed superscript numbers such as </w:t>
      </w:r>
      <w:r>
        <w:rPr>
          <w:color w:val="57606A"/>
          <w:vertAlign w:val="superscript"/>
        </w:rPr>
        <w:t xml:space="preserve">[20]</w:t>
      </w:r>
      <w:r>
        <w:t xml:space="preserve"> refer to the numbered source list at the end of the document, which includes links. Where a figure comes from a vendor or blog rather than a regulator, it is labelled as an estimate.</w:t>
      </w:r>
    </w:p>
    <w:p>
      <w:pPr>
        <w:pStyle w:val="Heading2"/>
      </w:pPr>
      <w:r>
        <w:t xml:space="preserve">Limitations</w:t>
      </w:r>
    </w:p>
    <w:p>
      <w:pPr>
        <w:pStyle w:val="ListParagraph"/>
        <w:numPr>
          <w:ilvl w:val="0"/>
          <w:numId w:val="3"/>
        </w:numPr>
        <w:spacing w:after="60" w:line="264"/>
      </w:pPr>
      <w:r>
        <w:t xml:space="preserve">Research was conducted through web sources available up to 2 October 2026. Several regulator websites could not be opened directly from the research environment, so some details rely on law-firm, Big Four and specialist summaries of the primary documents. Confirm dates against the regulator before using them in client material.</w:t>
      </w:r>
    </w:p>
    <w:p>
      <w:pPr>
        <w:pStyle w:val="ListParagraph"/>
        <w:numPr>
          <w:ilvl w:val="0"/>
          <w:numId w:val="3"/>
        </w:numPr>
        <w:spacing w:after="60" w:line="264"/>
      </w:pPr>
      <w:r>
        <w:t xml:space="preserve">Two items were still moving at the cut-off date: the final form of Indonesia's OJK regulation and the outcome of Hong Kong's AFRC assurance consultation. Both are labelled as proposed.</w:t>
      </w:r>
    </w:p>
    <w:p>
      <w:pPr>
        <w:pStyle w:val="ListParagraph"/>
        <w:numPr>
          <w:ilvl w:val="0"/>
          <w:numId w:val="3"/>
        </w:numPr>
        <w:spacing w:after="60" w:line="264"/>
      </w:pPr>
      <w:r>
        <w:t xml:space="preserve">Public pricing data for ESG consulting is thin in all four markets. Price ranges are estimates built from the few public anchors available (grant caps, published vendor prices, listed service prices and typical day rates) and should be validated through your first proposals.</w:t>
      </w:r>
    </w:p>
    <w:p>
      <w:pPr>
        <w:pStyle w:val="ListParagraph"/>
        <w:numPr>
          <w:ilvl w:val="0"/>
          <w:numId w:val="3"/>
        </w:numPr>
        <w:spacing w:after="60" w:line="264"/>
      </w:pPr>
      <w:r>
        <w:t xml:space="preserve">Scores in Parts 8, 9 and 15 are the analyst's judgement, made transparent so you can adjust weights.</w:t>
      </w:r>
    </w:p>
    <w:p>
      <w:pPr>
        <w:pStyle w:val="Heading1"/>
        <w:pageBreakBefore/>
      </w:pPr>
      <w:r>
        <w:t xml:space="preserve">Part 1: Market overview by country</w:t>
      </w:r>
    </w:p>
    <w:p>
      <w:pPr>
        <w:spacing w:after="120" w:before="0" w:line="276"/>
      </w:pPr>
      <w:r>
        <w:t xml:space="preserve">Each profile covers the 19 dimensions requested. Labels show the strength of evidence and the status of each rule.</w:t>
      </w:r>
    </w:p>
    <w:p>
      <w:pPr>
        <w:pStyle w:val="Heading2"/>
      </w:pPr>
      <w:r>
        <w:t xml:space="preserve">1.1 Singapore</w:t>
      </w:r>
    </w:p>
    <w:p>
      <w:pPr>
        <w:spacing w:after="120" w:before="0" w:line="276"/>
      </w:pPr>
      <w:r>
        <w:t xml:space="preserve">Singapore is the most mature ESG market in Southeast Asia and the regional headquarters base for many of the multinationals that drive supplier requirements across the region. Its regulators moved first on ISSB-based climate reporting, then slowed the timetable for most companies in August 2025. The result is a market with deep expertise, high fees and strong government co-funding, but with near-term listed-company demand concentrated in the largest issuers. </w:t>
      </w:r>
      <w:r>
        <w:rPr>
          <w:b/>
          <w:bCs/>
          <w:color w:val="6B4FA0"/>
          <w:sz w:val="16"/>
          <w:szCs w:val="16"/>
        </w:rPr>
        <w:t xml:space="preserve">[Analyst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7"/>
        <w:gridCol w:w="7509"/>
      </w:tblGrid>
      <w:tr>
        <w:trPr>
          <w:cantSplit/>
          <w:tblHeader/>
        </w:trPr>
        <w:tc>
          <w:tcPr>
            <w:tcW w:type="dxa" w:w="223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Dimension</w:t>
            </w:r>
          </w:p>
        </w:tc>
        <w:tc>
          <w:tcPr>
            <w:tcW w:type="dxa" w:w="7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Assessment</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Size and maturity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Most mature in the four-market set. 643 SGX-listed companies have produced sustainability reports since FY2016 under SGX rules </w:t>
            </w:r>
            <w:r>
              <w:rPr>
                <w:b/>
                <w:bCs/>
                <w:color w:val="1C5CAB"/>
                <w:sz w:val="12"/>
                <w:szCs w:val="12"/>
              </w:rPr>
              <w:t xml:space="preserve">[Fact]</w:t>
            </w:r>
            <w:r>
              <w:rPr>
                <w:b w:val="false"/>
                <w:bCs w:val="false"/>
                <w:sz w:val="16"/>
                <w:szCs w:val="16"/>
              </w:rPr>
              <w:t xml:space="preserve">. ESG and sustainability consulting across Southeast Asia is estimated to grow at about 17.6% a year to 2031 </w:t>
            </w:r>
            <w:r>
              <w:rPr>
                <w:color w:val="57606A"/>
                <w:sz w:val="16"/>
                <w:szCs w:val="16"/>
                <w:vertAlign w:val="superscript"/>
              </w:rPr>
              <w:t xml:space="preserve">[88]</w:t>
            </w:r>
            <w:r>
              <w:rPr>
                <w:b w:val="false"/>
                <w:bCs w:val="false"/>
                <w:sz w:val="16"/>
                <w:szCs w:val="16"/>
              </w:rPr>
              <w:t xml:space="preserve"> </w:t>
            </w:r>
            <w:r>
              <w:rPr>
                <w:b/>
                <w:bCs/>
                <w:color w:val="A35200"/>
                <w:sz w:val="12"/>
                <w:szCs w:val="12"/>
              </w:rPr>
              <w:t xml:space="preserve">[Estimate]</w:t>
            </w:r>
            <w:r>
              <w:rPr>
                <w:b w:val="false"/>
                <w:bCs w:val="false"/>
                <w:sz w:val="16"/>
                <w:szCs w:val="16"/>
              </w:rPr>
              <w:t xml:space="preserve">. Singapore captures a disproportionate share of regional sustainability budgets because regional HQs sit here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Current business adoption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among listed companies, MNC subsidiaries and banks. Low among SMEs: a 2025 survey of 560+ SMEs found three in four had taken no concrete sustainability steps, about half share carbon data with customers and fewer than 30% collect emissions data from their own suppliers </w:t>
            </w:r>
            <w:r>
              <w:rPr>
                <w:color w:val="57606A"/>
                <w:sz w:val="16"/>
                <w:szCs w:val="16"/>
                <w:vertAlign w:val="superscript"/>
              </w:rPr>
              <w:t xml:space="preserve">[11]</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Government ESG and climate policy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Singapore Green Plan 2030 and net zero by 2050 </w:t>
            </w:r>
            <w:r>
              <w:rPr>
                <w:b/>
                <w:bCs/>
                <w:color w:val="1C5CAB"/>
                <w:sz w:val="12"/>
                <w:szCs w:val="12"/>
              </w:rPr>
              <w:t xml:space="preserve">[Fact]</w:t>
            </w:r>
            <w:r>
              <w:rPr>
                <w:b w:val="false"/>
                <w:bCs w:val="false"/>
                <w:sz w:val="16"/>
                <w:szCs w:val="16"/>
              </w:rPr>
              <w:t xml:space="preserve">. Carbon tax on a rising path (below). Energy Conservation Act obligations for large energy users, Green Mark for buildings and a green data centre roadmap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Mandatory sustainability reporting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All listed companies report Scope 1 and 2 from FY2025 </w:t>
            </w:r>
            <w:r>
              <w:rPr>
                <w:b/>
                <w:bCs/>
                <w:color w:val="1A7F37"/>
                <w:sz w:val="12"/>
                <w:szCs w:val="12"/>
              </w:rPr>
              <w:t xml:space="preserve">[In force]</w:t>
            </w:r>
            <w:r>
              <w:rPr>
                <w:b w:val="false"/>
                <w:bCs w:val="false"/>
                <w:sz w:val="16"/>
                <w:szCs w:val="16"/>
              </w:rPr>
              <w:t xml:space="preserve">. STI constituents report full ISSB-based climate disclosures from FY2025 and Scope 3 from FY2026 </w:t>
            </w:r>
            <w:r>
              <w:rPr>
                <w:b/>
                <w:bCs/>
                <w:color w:val="1A7F37"/>
                <w:sz w:val="12"/>
                <w:szCs w:val="12"/>
              </w:rPr>
              <w:t xml:space="preserve">[In force]</w:t>
            </w:r>
            <w:r>
              <w:rPr>
                <w:b w:val="false"/>
                <w:bCs w:val="false"/>
                <w:sz w:val="16"/>
                <w:szCs w:val="16"/>
              </w:rPr>
              <w:t xml:space="preserve">. Non-STI companies with market cap of S$1 billion or more follow from FY2028 and those below S$1 billion from FY2030; Scope 3 is voluntary for non-STI companies until further notice </w:t>
            </w:r>
            <w:r>
              <w:rPr>
                <w:b/>
                <w:bCs/>
                <w:color w:val="9A6700"/>
                <w:sz w:val="12"/>
                <w:szCs w:val="12"/>
              </w:rPr>
              <w:t xml:space="preserve">[Announced]</w:t>
            </w:r>
            <w:r>
              <w:rPr>
                <w:b w:val="false"/>
                <w:bCs w:val="false"/>
                <w:sz w:val="16"/>
                <w:szCs w:val="16"/>
              </w:rPr>
              <w:t xml:space="preserve">. Large non-listed companies (revenue S$1 billion or more and assets S$0.5 billion or more) deferred to FY2030 </w:t>
            </w:r>
            <w:r>
              <w:rPr>
                <w:b/>
                <w:bCs/>
                <w:color w:val="9A6700"/>
                <w:sz w:val="12"/>
                <w:szCs w:val="12"/>
              </w:rPr>
              <w:t xml:space="preserve">[Announced]</w:t>
            </w:r>
            <w:r>
              <w:rPr>
                <w:b w:val="false"/>
                <w:bCs w:val="false"/>
                <w:sz w:val="16"/>
                <w:szCs w:val="16"/>
              </w:rPr>
              <w:t xml:space="preserve"> </w:t>
            </w:r>
            <w:r>
              <w:rPr>
                <w:color w:val="57606A"/>
                <w:sz w:val="16"/>
                <w:szCs w:val="16"/>
                <w:vertAlign w:val="superscript"/>
              </w:rPr>
              <w:t xml:space="preserve">[1,2]</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Stock exchange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SGX RegCo listing rules on sustainability reporting, 27 core ESG metrics, and the ESGenome disclosure portal, now powered by Gprnt (upgraded July 2026 for climate reporting and transition planning) </w:t>
            </w:r>
            <w:r>
              <w:rPr>
                <w:color w:val="57606A"/>
                <w:sz w:val="16"/>
                <w:szCs w:val="16"/>
                <w:vertAlign w:val="superscript"/>
              </w:rPr>
              <w:t xml:space="preserve">[12]</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ISSB / IFRS S1 and S2</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Climate-first. ACRA consulted from 27 July to 25 October 2026 on SFRS S1 and SFRS S2, based on the ISSB standards; S2 would be mandatory and S1 voluntary </w:t>
            </w:r>
            <w:r>
              <w:rPr>
                <w:color w:val="57606A"/>
                <w:sz w:val="16"/>
                <w:szCs w:val="16"/>
                <w:vertAlign w:val="superscript"/>
              </w:rPr>
              <w:t xml:space="preserve">[4]</w:t>
            </w:r>
            <w:r>
              <w:rPr>
                <w:b w:val="false"/>
                <w:bCs w:val="false"/>
                <w:sz w:val="16"/>
                <w:szCs w:val="16"/>
              </w:rPr>
              <w:t xml:space="preserve"> </w:t>
            </w:r>
            <w:r>
              <w:rPr>
                <w:b/>
                <w:bCs/>
                <w:color w:val="B42318"/>
                <w:sz w:val="12"/>
                <w:szCs w:val="12"/>
              </w:rPr>
              <w:t xml:space="preserve">[Proposed]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reporting</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Facilities emitting 2,000 tCO2e or more must report emissions; those at 25,000 tCO2e or more pay carbon tax </w:t>
            </w:r>
            <w:r>
              <w:rPr>
                <w:b/>
                <w:bCs/>
                <w:color w:val="1C5CAB"/>
                <w:sz w:val="12"/>
                <w:szCs w:val="12"/>
              </w:rPr>
              <w:t xml:space="preserve">[Fact]</w:t>
            </w:r>
            <w:r>
              <w:rPr>
                <w:b w:val="false"/>
                <w:bCs w:val="false"/>
                <w:sz w:val="16"/>
                <w:szCs w:val="16"/>
              </w:rPr>
              <w:t xml:space="preserve">. Listed companies now disclose Scope 1 and 2. External limited assurance of Scope 1 and 2 for listed companies from FY2029 </w:t>
            </w:r>
            <w:r>
              <w:rPr>
                <w:b/>
                <w:bCs/>
                <w:color w:val="9A6700"/>
                <w:sz w:val="12"/>
                <w:szCs w:val="12"/>
              </w:rPr>
              <w:t xml:space="preserve">[Announced]</w:t>
            </w:r>
            <w:r>
              <w:rPr>
                <w:b w:val="false"/>
                <w:bCs w:val="false"/>
                <w:sz w:val="16"/>
                <w:szCs w:val="16"/>
              </w:rPr>
              <w:t xml:space="preserve"> </w:t>
            </w:r>
            <w:r>
              <w:rPr>
                <w:color w:val="57606A"/>
                <w:sz w:val="16"/>
                <w:szCs w:val="16"/>
                <w:vertAlign w:val="superscript"/>
              </w:rPr>
              <w:t xml:space="preserve">[1]</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Carbon pricing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Carbon tax raised from S$25 to S$45 per tonne for 2026 and 2027, with S$50 to 80 targeted by 2030 </w:t>
            </w:r>
            <w:r>
              <w:rPr>
                <w:b/>
                <w:bCs/>
                <w:color w:val="1A7F37"/>
                <w:sz w:val="12"/>
                <w:szCs w:val="12"/>
              </w:rPr>
              <w:t xml:space="preserve">[In force]</w:t>
            </w:r>
            <w:r>
              <w:rPr>
                <w:b w:val="false"/>
                <w:bCs w:val="false"/>
                <w:sz w:val="16"/>
                <w:szCs w:val="16"/>
              </w:rPr>
              <w:t xml:space="preserve">/</w:t>
            </w:r>
            <w:r>
              <w:rPr>
                <w:b/>
                <w:bCs/>
                <w:color w:val="9A6700"/>
                <w:sz w:val="12"/>
                <w:szCs w:val="12"/>
              </w:rPr>
              <w:t xml:space="preserve">[Announced]</w:t>
            </w:r>
            <w:r>
              <w:rPr>
                <w:b w:val="false"/>
                <w:bCs w:val="false"/>
                <w:sz w:val="16"/>
                <w:szCs w:val="16"/>
              </w:rPr>
              <w:t xml:space="preserve">. Taxable facilities may offset up to 5% with eligible international carbon credits under Article 6 rules </w:t>
            </w:r>
            <w:r>
              <w:rPr>
                <w:color w:val="57606A"/>
                <w:sz w:val="16"/>
                <w:szCs w:val="16"/>
                <w:vertAlign w:val="superscript"/>
              </w:rPr>
              <w:t xml:space="preserve">[5]</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Net-zero commitments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National net zero by 2050 </w:t>
            </w:r>
            <w:r>
              <w:rPr>
                <w:b/>
                <w:bCs/>
                <w:color w:val="1C5CAB"/>
                <w:sz w:val="12"/>
                <w:szCs w:val="12"/>
              </w:rPr>
              <w:t xml:space="preserve">[Fact]</w:t>
            </w:r>
            <w:r>
              <w:rPr>
                <w:b w:val="false"/>
                <w:bCs w:val="false"/>
                <w:sz w:val="16"/>
                <w:szCs w:val="16"/>
              </w:rPr>
              <w:t xml:space="preserve">. Most STI constituents and many large private groups have published targets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Corporate sustainability spending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Highest per company in the region </w:t>
            </w:r>
            <w:r>
              <w:rPr>
                <w:b/>
                <w:bCs/>
                <w:color w:val="6B4FA0"/>
                <w:sz w:val="12"/>
                <w:szCs w:val="12"/>
              </w:rPr>
              <w:t xml:space="preserve">[Analyst view]</w:t>
            </w:r>
            <w:r>
              <w:rPr>
                <w:b w:val="false"/>
                <w:bCs w:val="false"/>
                <w:sz w:val="16"/>
                <w:szCs w:val="16"/>
              </w:rPr>
              <w:t xml:space="preserve">. The Sustainability Reporting Grant covers 30% of first-report costs up to S$150,000, which implies large-company projects well above S$500,000 at the top end </w:t>
            </w:r>
            <w:r>
              <w:rPr>
                <w:color w:val="57606A"/>
                <w:sz w:val="16"/>
                <w:szCs w:val="16"/>
                <w:vertAlign w:val="superscript"/>
              </w:rPr>
              <w:t xml:space="preserve">[6]</w:t>
            </w:r>
            <w:r>
              <w:rPr>
                <w:b w:val="false"/>
                <w:bCs w:val="false"/>
                <w:sz w:val="16"/>
                <w:szCs w:val="16"/>
              </w:rPr>
              <w:t xml:space="preserve"> </w:t>
            </w:r>
            <w:r>
              <w:rPr>
                <w:b/>
                <w:bCs/>
                <w:color w:val="0F7A55"/>
                <w:sz w:val="12"/>
                <w:szCs w:val="12"/>
              </w:rPr>
              <w:t xml:space="preserve">[Inference]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Sustainable finance and green financing</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Singapore accounts for more than half of ASEAN's green, social, sustainability and sustainability-linked bond and loan market </w:t>
            </w:r>
            <w:r>
              <w:rPr>
                <w:color w:val="57606A"/>
                <w:sz w:val="16"/>
                <w:szCs w:val="16"/>
                <w:vertAlign w:val="superscript"/>
              </w:rPr>
              <w:t xml:space="preserve">[14]</w:t>
            </w:r>
            <w:r>
              <w:rPr>
                <w:b w:val="false"/>
                <w:bCs w:val="false"/>
                <w:sz w:val="16"/>
                <w:szCs w:val="16"/>
              </w:rPr>
              <w:t xml:space="preserve"> </w:t>
            </w:r>
            <w:r>
              <w:rPr>
                <w:b/>
                <w:bCs/>
                <w:color w:val="1C5CAB"/>
                <w:sz w:val="12"/>
                <w:szCs w:val="12"/>
              </w:rPr>
              <w:t xml:space="preserve">[Fact]</w:t>
            </w:r>
            <w:r>
              <w:rPr>
                <w:b w:val="false"/>
                <w:bCs w:val="false"/>
                <w:sz w:val="16"/>
                <w:szCs w:val="16"/>
              </w:rPr>
              <w:t xml:space="preserve">. Budget 2026 summaries report EFS-Green support for green loans extended to 31 March 2031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ESG-linked lending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MAS Guidelines on Transition Planning for banks, insurers and asset managers were finalised on 5 March 2026 </w:t>
            </w:r>
            <w:r>
              <w:rPr>
                <w:color w:val="57606A"/>
                <w:sz w:val="16"/>
                <w:szCs w:val="16"/>
                <w:vertAlign w:val="superscript"/>
              </w:rPr>
              <w:t xml:space="preserve">[10]</w:t>
            </w:r>
            <w:r>
              <w:rPr>
                <w:b w:val="false"/>
                <w:bCs w:val="false"/>
                <w:sz w:val="16"/>
                <w:szCs w:val="16"/>
              </w:rPr>
              <w:t xml:space="preserve"> </w:t>
            </w:r>
            <w:r>
              <w:rPr>
                <w:b/>
                <w:bCs/>
                <w:color w:val="1A7F37"/>
                <w:sz w:val="12"/>
                <w:szCs w:val="12"/>
              </w:rPr>
              <w:t xml:space="preserve">[In force]</w:t>
            </w:r>
            <w:r>
              <w:rPr>
                <w:b w:val="false"/>
                <w:bCs w:val="false"/>
                <w:sz w:val="16"/>
                <w:szCs w:val="16"/>
              </w:rPr>
              <w:t xml:space="preserve">. Banks will ask corporate borrowers for emissions data and transition plans </w:t>
            </w:r>
            <w:r>
              <w:rPr>
                <w:b/>
                <w:bCs/>
                <w:color w:val="0F7A55"/>
                <w:sz w:val="12"/>
                <w:szCs w:val="12"/>
              </w:rPr>
              <w:t xml:space="preserve">[Inference]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market development</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Regional carbon services hub (Climate Impact X and many developers and brokers) with Article 6 agreements signed with several host countries, including Ghana, Papua New Guinea and Bhutan </w:t>
            </w:r>
            <w:r>
              <w:rPr>
                <w:color w:val="57606A"/>
                <w:sz w:val="16"/>
                <w:szCs w:val="16"/>
                <w:vertAlign w:val="superscript"/>
              </w:rPr>
              <w:t xml:space="preserve">[5]</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Renewable-energy transition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Limited domestic renewables; reliance on imported low-carbon electricity and solar on rooftops and reservoirs </w:t>
            </w:r>
            <w:r>
              <w:rPr>
                <w:b/>
                <w:bCs/>
                <w:color w:val="1C5CAB"/>
                <w:sz w:val="12"/>
                <w:szCs w:val="12"/>
              </w:rPr>
              <w:t xml:space="preserve">[Fact]</w:t>
            </w:r>
            <w:r>
              <w:rPr>
                <w:b w:val="false"/>
                <w:bCs w:val="false"/>
                <w:sz w:val="16"/>
                <w:szCs w:val="16"/>
              </w:rPr>
              <w:t xml:space="preserve">. Renewable procurement and Scope 2 market-based accounting matter for data centres and manufacturers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Supply-chain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Strong. MNCs headquartered or operating in Singapore push targets down to suppliers; the Gprnt and PwC barometer reports that 91% of MNCs with supply chains touching Singapore set supplier emission targets </w:t>
            </w:r>
            <w:r>
              <w:rPr>
                <w:color w:val="57606A"/>
                <w:sz w:val="16"/>
                <w:szCs w:val="16"/>
                <w:vertAlign w:val="superscript"/>
              </w:rPr>
              <w:t xml:space="preserve">[11]</w:t>
            </w:r>
            <w:r>
              <w:rPr>
                <w:b w:val="false"/>
                <w:bCs w:val="false"/>
                <w:sz w:val="16"/>
                <w:szCs w:val="16"/>
              </w:rPr>
              <w:t xml:space="preserve"> </w:t>
            </w:r>
            <w:r>
              <w:rPr>
                <w:b/>
                <w:bCs/>
                <w:color w:val="A35200"/>
                <w:sz w:val="12"/>
                <w:szCs w:val="12"/>
              </w:rPr>
              <w:t xml:space="preserve">[Estimate]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International buyer pressure</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 to high, mostly transmitted through MNC procurement and EU-facing customers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SME adoption</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Low, but heavily subsidised. Enterprise Sustainability Programme (S$180 million, aiming at 6,000 enterprises) </w:t>
            </w:r>
            <w:r>
              <w:rPr>
                <w:color w:val="57606A"/>
                <w:sz w:val="16"/>
                <w:szCs w:val="16"/>
                <w:vertAlign w:val="superscript"/>
              </w:rPr>
              <w:t xml:space="preserve">[7]</w:t>
            </w:r>
            <w:r>
              <w:rPr>
                <w:b w:val="false"/>
                <w:bCs w:val="false"/>
                <w:sz w:val="16"/>
                <w:szCs w:val="16"/>
              </w:rPr>
              <w:t xml:space="preserve">; Sustainability Reporting Grant at 50% for SMEs for applications from 1 April 2026 to 31 October 2027 </w:t>
            </w:r>
            <w:r>
              <w:rPr>
                <w:color w:val="57606A"/>
                <w:sz w:val="16"/>
                <w:szCs w:val="16"/>
                <w:vertAlign w:val="superscript"/>
              </w:rPr>
              <w:t xml:space="preserve">[6]</w:t>
            </w:r>
            <w:r>
              <w:rPr>
                <w:b w:val="false"/>
                <w:bCs w:val="false"/>
                <w:sz w:val="16"/>
                <w:szCs w:val="16"/>
              </w:rPr>
              <w:t xml:space="preserve">; the new EDGE grant (up to 70% for SMEs, S$100,000 annual cap) from 30 September 2026 </w:t>
            </w:r>
            <w:r>
              <w:rPr>
                <w:color w:val="57606A"/>
                <w:sz w:val="16"/>
                <w:szCs w:val="16"/>
                <w:vertAlign w:val="superscript"/>
              </w:rPr>
              <w:t xml:space="preserve">[8]</w:t>
            </w:r>
            <w:r>
              <w:rPr>
                <w:b w:val="false"/>
                <w:bCs w:val="false"/>
                <w:sz w:val="16"/>
                <w:szCs w:val="16"/>
              </w:rPr>
              <w:t xml:space="preserve"> </w:t>
            </w:r>
            <w:r>
              <w:rPr>
                <w:b/>
                <w:bCs/>
                <w:color w:val="1A7F37"/>
                <w:sz w:val="12"/>
                <w:szCs w:val="12"/>
              </w:rPr>
              <w:t xml:space="preserve">[In force]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Demand for ESG professionals</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Singapore recorded the highest growth in demand for sustainability managers in Asia Pacific since 2016 (41%) and 27% year-on-year growth in roles needing green skills </w:t>
            </w:r>
            <w:r>
              <w:rPr>
                <w:color w:val="57606A"/>
                <w:sz w:val="16"/>
                <w:szCs w:val="16"/>
                <w:vertAlign w:val="superscript"/>
              </w:rPr>
              <w:t xml:space="preserve">[18]</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bl>
    <w:p>
      <w:pPr>
        <w:pStyle w:val="Heading2"/>
      </w:pPr>
      <w:r>
        <w:t xml:space="preserve">1.2 Malaysia</w:t>
      </w:r>
    </w:p>
    <w:p>
      <w:pPr>
        <w:spacing w:after="120" w:before="0" w:line="276"/>
      </w:pPr>
      <w:r>
        <w:t xml:space="preserve">Malaysia is the fastest-moving market in this study. It has a single national framework (the NSRF) with firm dates, a clear assurance path and a deliberate push to bring SMEs into supply-chain disclosure. The carbon tax that was meant to start in 2026 is on hold, but the reporting and assurance obligations that drive consulting demand are not. </w:t>
      </w:r>
      <w:r>
        <w:rPr>
          <w:b/>
          <w:bCs/>
          <w:color w:val="6B4FA0"/>
          <w:sz w:val="16"/>
          <w:szCs w:val="16"/>
        </w:rPr>
        <w:t xml:space="preserve">[Analyst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7"/>
        <w:gridCol w:w="7509"/>
      </w:tblGrid>
      <w:tr>
        <w:trPr>
          <w:cantSplit/>
          <w:tblHeader/>
        </w:trPr>
        <w:tc>
          <w:tcPr>
            <w:tcW w:type="dxa" w:w="223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Dimension</w:t>
            </w:r>
          </w:p>
        </w:tc>
        <w:tc>
          <w:tcPr>
            <w:tcW w:type="dxa" w:w="7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Assessment</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Size and maturity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Mid-maturity, moving fast. Bursa has required sustainability statements since 2016, added TCFD-aligned climate reporting and common indicators in 2022, and amended its Listing Requirements in December 2024 to require reporting under IFRS S1 and S2 </w:t>
            </w:r>
            <w:r>
              <w:rPr>
                <w:color w:val="57606A"/>
                <w:sz w:val="16"/>
                <w:szCs w:val="16"/>
                <w:vertAlign w:val="superscript"/>
              </w:rPr>
              <w:t xml:space="preserve">[22]</w:t>
            </w:r>
            <w:r>
              <w:rPr>
                <w:b w:val="false"/>
                <w:bCs w:val="false"/>
                <w:sz w:val="16"/>
                <w:szCs w:val="16"/>
              </w:rPr>
              <w:t xml:space="preserve"> </w:t>
            </w:r>
            <w:r>
              <w:rPr>
                <w:b/>
                <w:bCs/>
                <w:color w:val="1C5CAB"/>
                <w:sz w:val="12"/>
                <w:szCs w:val="12"/>
              </w:rPr>
              <w:t xml:space="preserve">[Fact]</w:t>
            </w:r>
            <w:r>
              <w:rPr>
                <w:b w:val="false"/>
                <w:bCs w:val="false"/>
                <w:sz w:val="16"/>
                <w:szCs w:val="16"/>
              </w:rPr>
              <w:t xml:space="preserve">. About 980 companies are listed on Bursa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Current business adoption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Listed companies comply; quality varies widely below the top 100 </w:t>
            </w:r>
            <w:r>
              <w:rPr>
                <w:b/>
                <w:bCs/>
                <w:color w:val="6B4FA0"/>
                <w:sz w:val="12"/>
                <w:szCs w:val="12"/>
              </w:rPr>
              <w:t xml:space="preserve">[Analyst view]</w:t>
            </w:r>
            <w:r>
              <w:rPr>
                <w:b w:val="false"/>
                <w:bCs w:val="false"/>
                <w:sz w:val="16"/>
                <w:szCs w:val="16"/>
              </w:rPr>
              <w:t xml:space="preserve">. MSME adoption is low: an SME Corp survey found only 19% use environmentally friendly production processes </w:t>
            </w:r>
            <w:r>
              <w:rPr>
                <w:color w:val="57606A"/>
                <w:sz w:val="16"/>
                <w:szCs w:val="16"/>
                <w:vertAlign w:val="superscript"/>
              </w:rPr>
              <w:t xml:space="preserve">[32]</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Government ESG and climate policy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National Energy Transition Roadmap (70% renewable capacity by 2050), New Industrial Master Plan 2030, net zero as early as 2050 </w:t>
            </w:r>
            <w:r>
              <w:rPr>
                <w:b/>
                <w:bCs/>
                <w:color w:val="1C5CAB"/>
                <w:sz w:val="12"/>
                <w:szCs w:val="12"/>
              </w:rPr>
              <w:t xml:space="preserve">[Fact]</w:t>
            </w:r>
            <w:r>
              <w:rPr>
                <w:b w:val="false"/>
                <w:bCs w:val="false"/>
                <w:sz w:val="16"/>
                <w:szCs w:val="16"/>
              </w:rPr>
              <w:t xml:space="preserve">. NDC 3.0 (October 2025) sets Malaysia's first absolute target: cut 15 to 30 MtCO2e from peak by 2035 and peak no later than 2034 </w:t>
            </w:r>
            <w:r>
              <w:rPr>
                <w:color w:val="57606A"/>
                <w:sz w:val="16"/>
                <w:szCs w:val="16"/>
                <w:vertAlign w:val="superscript"/>
              </w:rPr>
              <w:t xml:space="preserve">[27]</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Mandatory sustainability reporting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NSRF: Group 1 (Main Market, market cap RM2 billion or more) from FY2025 </w:t>
            </w:r>
            <w:r>
              <w:rPr>
                <w:b/>
                <w:bCs/>
                <w:color w:val="1A7F37"/>
                <w:sz w:val="12"/>
                <w:szCs w:val="12"/>
              </w:rPr>
              <w:t xml:space="preserve">[In force]</w:t>
            </w:r>
            <w:r>
              <w:rPr>
                <w:b w:val="false"/>
                <w:bCs w:val="false"/>
                <w:sz w:val="16"/>
                <w:szCs w:val="16"/>
              </w:rPr>
              <w:t xml:space="preserve">; Group 2 (other Main Market issuers) from FY2026 </w:t>
            </w:r>
            <w:r>
              <w:rPr>
                <w:b/>
                <w:bCs/>
                <w:color w:val="1A7F37"/>
                <w:sz w:val="12"/>
                <w:szCs w:val="12"/>
              </w:rPr>
              <w:t xml:space="preserve">[In force]</w:t>
            </w:r>
            <w:r>
              <w:rPr>
                <w:b w:val="false"/>
                <w:bCs w:val="false"/>
                <w:sz w:val="16"/>
                <w:szCs w:val="16"/>
              </w:rPr>
              <w:t xml:space="preserve">; Group 3 (ACE Market issuers and large non-listed companies with group revenue of RM2 billion or more) from FY2027 </w:t>
            </w:r>
            <w:r>
              <w:rPr>
                <w:b/>
                <w:bCs/>
                <w:color w:val="9A6700"/>
                <w:sz w:val="12"/>
                <w:szCs w:val="12"/>
              </w:rPr>
              <w:t xml:space="preserve">[Announced]</w:t>
            </w:r>
            <w:r>
              <w:rPr>
                <w:b w:val="false"/>
                <w:bCs w:val="false"/>
                <w:sz w:val="16"/>
                <w:szCs w:val="16"/>
              </w:rPr>
              <w:t xml:space="preserve">. Climate-first relief for two years (three for Group 3) </w:t>
            </w:r>
            <w:r>
              <w:rPr>
                <w:color w:val="57606A"/>
                <w:sz w:val="16"/>
                <w:szCs w:val="16"/>
                <w:vertAlign w:val="superscript"/>
              </w:rPr>
              <w:t xml:space="preserve">[20,21]</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Stock exchange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Bursa Listing Requirements embed IFRS S1 and S2; Bursa's Centralised Sustainability Intelligence (CSI) platform with LSEG supports data and reporting </w:t>
            </w:r>
            <w:r>
              <w:rPr>
                <w:b/>
                <w:bCs/>
                <w:color w:val="1C5CAB"/>
                <w:sz w:val="12"/>
                <w:szCs w:val="12"/>
              </w:rPr>
              <w:t xml:space="preserve">[Fact]</w:t>
            </w:r>
            <w:r>
              <w:rPr>
                <w:b w:val="false"/>
                <w:bCs w:val="false"/>
                <w:sz w:val="16"/>
                <w:szCs w:val="16"/>
              </w:rPr>
              <w:t xml:space="preserve">. HKEX recognised Bursa as a stock exchange for secondary listings in July 2026 </w:t>
            </w:r>
            <w:r>
              <w:rPr>
                <w:color w:val="57606A"/>
                <w:sz w:val="16"/>
                <w:szCs w:val="16"/>
                <w:vertAlign w:val="superscript"/>
              </w:rPr>
              <w:t xml:space="preserve">[38]</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ISSB / IFRS S1 and S2</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Adopted in full through the NSRF </w:t>
            </w:r>
            <w:r>
              <w:rPr>
                <w:b/>
                <w:bCs/>
                <w:color w:val="1C5CAB"/>
                <w:sz w:val="12"/>
                <w:szCs w:val="12"/>
              </w:rPr>
              <w:t xml:space="preserve">[Fact]</w:t>
            </w:r>
            <w:r>
              <w:rPr>
                <w:b w:val="false"/>
                <w:bCs w:val="false"/>
                <w:sz w:val="16"/>
                <w:szCs w:val="16"/>
              </w:rPr>
              <w:t xml:space="preserve">. Scope 3 phased: Group 1 from FY2027, Group 2 from FY2028, Group 3 from FY2030 </w:t>
            </w:r>
            <w:r>
              <w:rPr>
                <w:color w:val="57606A"/>
                <w:sz w:val="16"/>
                <w:szCs w:val="16"/>
                <w:vertAlign w:val="superscript"/>
              </w:rPr>
              <w:t xml:space="preserve">[89,90]</w:t>
            </w:r>
            <w:r>
              <w:rPr>
                <w:b w:val="false"/>
                <w:bCs w:val="false"/>
                <w:sz w:val="16"/>
                <w:szCs w:val="16"/>
              </w:rPr>
              <w:t xml:space="preserve"> </w:t>
            </w:r>
            <w:r>
              <w:rPr>
                <w:b/>
                <w:bCs/>
                <w:color w:val="9A6700"/>
                <w:sz w:val="12"/>
                <w:szCs w:val="12"/>
              </w:rPr>
              <w:t xml:space="preserve">[Announced]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reporting and assurance</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Reasonable assurance on Scope 1 and 2 targeted from FY2027 (Group 1), FY2028 (Group 2) and FY2029 (Group 3) </w:t>
            </w:r>
            <w:r>
              <w:rPr>
                <w:color w:val="57606A"/>
                <w:sz w:val="16"/>
                <w:szCs w:val="16"/>
                <w:vertAlign w:val="superscript"/>
              </w:rPr>
              <w:t xml:space="preserve">[20]</w:t>
            </w:r>
            <w:r>
              <w:rPr>
                <w:b w:val="false"/>
                <w:bCs w:val="false"/>
                <w:sz w:val="16"/>
                <w:szCs w:val="16"/>
              </w:rPr>
              <w:t xml:space="preserve"> </w:t>
            </w:r>
            <w:r>
              <w:rPr>
                <w:b/>
                <w:bCs/>
                <w:color w:val="9A6700"/>
                <w:sz w:val="12"/>
                <w:szCs w:val="12"/>
              </w:rPr>
              <w:t xml:space="preserve">[Announced]</w:t>
            </w:r>
            <w:r>
              <w:rPr>
                <w:b w:val="false"/>
                <w:bCs w:val="false"/>
                <w:sz w:val="16"/>
                <w:szCs w:val="16"/>
              </w:rPr>
              <w:t xml:space="preserve">. MGTC's LCOS platform (RM5,000 a year) and the SEDG GHG calculator support SMEs </w:t>
            </w:r>
            <w:r>
              <w:rPr>
                <w:color w:val="57606A"/>
                <w:sz w:val="16"/>
                <w:szCs w:val="16"/>
                <w:vertAlign w:val="superscript"/>
              </w:rPr>
              <w:t xml:space="preserve">[35,29]</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Carbon pricing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Carbon tax on iron and steel and energy was announced for 2026 </w:t>
            </w:r>
            <w:r>
              <w:rPr>
                <w:color w:val="57606A"/>
                <w:sz w:val="16"/>
                <w:szCs w:val="16"/>
                <w:vertAlign w:val="superscript"/>
              </w:rPr>
              <w:t xml:space="preserve">[24]</w:t>
            </w:r>
            <w:r>
              <w:rPr>
                <w:b w:val="false"/>
                <w:bCs w:val="false"/>
                <w:sz w:val="16"/>
                <w:szCs w:val="16"/>
              </w:rPr>
              <w:t xml:space="preserve">, then put on hold on 21 April 2026 because of cost pressures from the Middle East conflict </w:t>
            </w:r>
            <w:r>
              <w:rPr>
                <w:color w:val="57606A"/>
                <w:sz w:val="16"/>
                <w:szCs w:val="16"/>
                <w:vertAlign w:val="superscript"/>
              </w:rPr>
              <w:t xml:space="preserve">[23]</w:t>
            </w:r>
            <w:r>
              <w:rPr>
                <w:b w:val="false"/>
                <w:bCs w:val="false"/>
                <w:sz w:val="16"/>
                <w:szCs w:val="16"/>
              </w:rPr>
              <w:t xml:space="preserve"> </w:t>
            </w:r>
            <w:r>
              <w:rPr>
                <w:b/>
                <w:bCs/>
                <w:color w:val="B42318"/>
                <w:sz w:val="12"/>
                <w:szCs w:val="12"/>
              </w:rPr>
              <w:t xml:space="preserve">[Proposed]</w:t>
            </w:r>
            <w:r>
              <w:rPr>
                <w:b w:val="false"/>
                <w:bCs w:val="false"/>
                <w:sz w:val="16"/>
                <w:szCs w:val="16"/>
              </w:rPr>
              <w:t xml:space="preserve">. The National Carbon Market Policy was launched in April 2026 </w:t>
            </w:r>
            <w:r>
              <w:rPr>
                <w:color w:val="57606A"/>
                <w:sz w:val="16"/>
                <w:szCs w:val="16"/>
                <w:vertAlign w:val="superscript"/>
              </w:rPr>
              <w:t xml:space="preserve">[25]</w:t>
            </w:r>
            <w:r>
              <w:rPr>
                <w:b w:val="false"/>
                <w:bCs w:val="false"/>
                <w:sz w:val="16"/>
                <w:szCs w:val="16"/>
              </w:rPr>
              <w:t xml:space="preserve"> </w:t>
            </w:r>
            <w:r>
              <w:rPr>
                <w:b/>
                <w:bCs/>
                <w:color w:val="1A7F37"/>
                <w:sz w:val="12"/>
                <w:szCs w:val="12"/>
              </w:rPr>
              <w:t xml:space="preserve">[In force]</w:t>
            </w:r>
            <w:r>
              <w:rPr>
                <w:b w:val="false"/>
                <w:bCs w:val="false"/>
                <w:sz w:val="16"/>
                <w:szCs w:val="16"/>
              </w:rPr>
              <w:t xml:space="preserve">. A Climate Change Bill with an MRV system and a domestic emissions trading scheme was slated for tabling in 2026 </w:t>
            </w:r>
            <w:r>
              <w:rPr>
                <w:color w:val="57606A"/>
                <w:sz w:val="16"/>
                <w:szCs w:val="16"/>
                <w:vertAlign w:val="superscript"/>
              </w:rPr>
              <w:t xml:space="preserve">[26]</w:t>
            </w:r>
            <w:r>
              <w:rPr>
                <w:b w:val="false"/>
                <w:bCs w:val="false"/>
                <w:sz w:val="16"/>
                <w:szCs w:val="16"/>
              </w:rPr>
              <w:t xml:space="preserve"> </w:t>
            </w:r>
            <w:r>
              <w:rPr>
                <w:b/>
                <w:bCs/>
                <w:color w:val="B42318"/>
                <w:sz w:val="12"/>
                <w:szCs w:val="12"/>
              </w:rPr>
              <w:t xml:space="preserve">[Proposed]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Net-zero commitments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National: as early as 2050 </w:t>
            </w:r>
            <w:r>
              <w:rPr>
                <w:b/>
                <w:bCs/>
                <w:color w:val="1C5CAB"/>
                <w:sz w:val="12"/>
                <w:szCs w:val="12"/>
              </w:rPr>
              <w:t xml:space="preserve">[Fact]</w:t>
            </w:r>
            <w:r>
              <w:rPr>
                <w:b w:val="false"/>
                <w:bCs w:val="false"/>
                <w:sz w:val="16"/>
                <w:szCs w:val="16"/>
              </w:rPr>
              <w:t xml:space="preserve">. Petronas, TNB and most large GLCs have 2050 targets </w:t>
            </w:r>
            <w:r>
              <w:rPr>
                <w:b/>
                <w:bCs/>
                <w:color w:val="1C5CAB"/>
                <w:sz w:val="12"/>
                <w:szCs w:val="12"/>
              </w:rPr>
              <w:t xml:space="preserve">[Fact]</w:t>
            </w:r>
            <w:r>
              <w:rPr>
                <w:b w:val="false"/>
                <w:bCs w:val="false"/>
                <w:sz w:val="16"/>
                <w:szCs w:val="16"/>
              </w:rPr>
              <w:t xml:space="preserve">. Many Group 2 companies have no target yet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Corporate sustainability spending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Rising from a low base </w:t>
            </w:r>
            <w:r>
              <w:rPr>
                <w:b/>
                <w:bCs/>
                <w:color w:val="6B4FA0"/>
                <w:sz w:val="12"/>
                <w:szCs w:val="12"/>
              </w:rPr>
              <w:t xml:space="preserve">[Analyst view]</w:t>
            </w:r>
            <w:r>
              <w:rPr>
                <w:b w:val="false"/>
                <w:bCs w:val="false"/>
                <w:sz w:val="16"/>
                <w:szCs w:val="16"/>
              </w:rPr>
              <w:t xml:space="preserve">. The ESG tax deduction lets companies and MSMEs deduct up to RM50,000 a year (YA2024 to YA2027) for ESG reporting, GHG tracking software, verification and consultants </w:t>
            </w:r>
            <w:r>
              <w:rPr>
                <w:color w:val="57606A"/>
                <w:sz w:val="16"/>
                <w:szCs w:val="16"/>
                <w:vertAlign w:val="superscript"/>
              </w:rPr>
              <w:t xml:space="preserve">[30]</w:t>
            </w:r>
            <w:r>
              <w:rPr>
                <w:b w:val="false"/>
                <w:bCs w:val="false"/>
                <w:sz w:val="16"/>
                <w:szCs w:val="16"/>
              </w:rPr>
              <w:t xml:space="preserve"> </w:t>
            </w:r>
            <w:r>
              <w:rPr>
                <w:b/>
                <w:bCs/>
                <w:color w:val="1A7F37"/>
                <w:sz w:val="12"/>
                <w:szCs w:val="12"/>
              </w:rPr>
              <w:t xml:space="preserve">[In force]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Sustainable finance and green financing</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Early leader in green and SRI sukuk; BNM's Climate Change and Principle-based Taxonomy guides bank classification </w:t>
            </w:r>
            <w:r>
              <w:rPr>
                <w:b/>
                <w:bCs/>
                <w:color w:val="1C5CAB"/>
                <w:sz w:val="12"/>
                <w:szCs w:val="12"/>
              </w:rPr>
              <w:t xml:space="preserve">[Fact]</w:t>
            </w:r>
            <w:r>
              <w:rPr>
                <w:b w:val="false"/>
                <w:bCs w:val="false"/>
                <w:sz w:val="16"/>
                <w:szCs w:val="16"/>
              </w:rPr>
              <w:t xml:space="preserve">. CGC and 18 banks offer a RM1 billion portfolio guarantee for SME ESG financing </w:t>
            </w:r>
            <w:r>
              <w:rPr>
                <w:color w:val="57606A"/>
                <w:sz w:val="16"/>
                <w:szCs w:val="16"/>
                <w:vertAlign w:val="superscript"/>
              </w:rPr>
              <w:t xml:space="preserve">[34]</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ESG-linked lending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Banks are building client emissions data through the JC3 SME Focus Group, the ESG Jumpstart portal and the Greening Value Chain programme, which offers SMEs affordable disclosure solutions </w:t>
            </w:r>
            <w:r>
              <w:rPr>
                <w:color w:val="57606A"/>
                <w:sz w:val="16"/>
                <w:szCs w:val="16"/>
                <w:vertAlign w:val="superscript"/>
              </w:rPr>
              <w:t xml:space="preserve">[33,34]</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market development</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Bursa Carbon Exchange (voluntary) since 2022; NCMP sets the framework for voluntary and compliance markets </w:t>
            </w:r>
            <w:r>
              <w:rPr>
                <w:color w:val="57606A"/>
                <w:sz w:val="16"/>
                <w:szCs w:val="16"/>
                <w:vertAlign w:val="superscript"/>
              </w:rPr>
              <w:t xml:space="preserve">[25]</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Renewable-energy transition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Corporate Renewable Energy Supply Scheme (CRESS): 1.3 GW of agreements by June 2025, all linked to Johor data centres </w:t>
            </w:r>
            <w:r>
              <w:rPr>
                <w:color w:val="57606A"/>
                <w:sz w:val="16"/>
                <w:szCs w:val="16"/>
                <w:vertAlign w:val="superscript"/>
              </w:rPr>
              <w:t xml:space="preserve">[36]</w:t>
            </w:r>
            <w:r>
              <w:rPr>
                <w:b w:val="false"/>
                <w:bCs w:val="false"/>
                <w:sz w:val="16"/>
                <w:szCs w:val="16"/>
              </w:rPr>
              <w:t xml:space="preserve"> </w:t>
            </w:r>
            <w:r>
              <w:rPr>
                <w:b/>
                <w:bCs/>
                <w:color w:val="1C5CAB"/>
                <w:sz w:val="12"/>
                <w:szCs w:val="12"/>
              </w:rPr>
              <w:t xml:space="preserve">[Fact]</w:t>
            </w:r>
            <w:r>
              <w:rPr>
                <w:b w:val="false"/>
                <w:bCs w:val="false"/>
                <w:sz w:val="16"/>
                <w:szCs w:val="16"/>
              </w:rPr>
              <w:t xml:space="preserve">. Average base tariff up about 14% from July 2025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Supply-chain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Strong and specific: electronics and semiconductors (purchased electricity was 77% of the sector footprint in 2023 </w:t>
            </w:r>
            <w:r>
              <w:rPr>
                <w:color w:val="57606A"/>
                <w:sz w:val="16"/>
                <w:szCs w:val="16"/>
                <w:vertAlign w:val="superscript"/>
              </w:rPr>
              <w:t xml:space="preserve">[37]</w:t>
            </w:r>
            <w:r>
              <w:rPr>
                <w:b w:val="false"/>
                <w:bCs w:val="false"/>
                <w:sz w:val="16"/>
                <w:szCs w:val="16"/>
              </w:rPr>
              <w:t xml:space="preserve">), palm oil and wood (EUDR), steel and aluminium (CBAM), gloves (buyer audits)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International buyer pressure</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for export manufacturers; MNC customers, EU importers and banks already request Scope 1, 2 and material Scope 3 data from suppliers below the NSRF thresholds </w:t>
            </w:r>
            <w:r>
              <w:rPr>
                <w:color w:val="57606A"/>
                <w:sz w:val="16"/>
                <w:szCs w:val="16"/>
                <w:vertAlign w:val="superscript"/>
              </w:rPr>
              <w:t xml:space="preserve">[89]</w:t>
            </w:r>
            <w:r>
              <w:rPr>
                <w:b w:val="false"/>
                <w:bCs w:val="false"/>
                <w:sz w:val="16"/>
                <w:szCs w:val="16"/>
              </w:rPr>
              <w:t xml:space="preserve"> </w:t>
            </w:r>
            <w:r>
              <w:rPr>
                <w:b/>
                <w:bCs/>
                <w:color w:val="A35200"/>
                <w:sz w:val="12"/>
                <w:szCs w:val="12"/>
              </w:rPr>
              <w:t xml:space="preserve">[Estimate]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SME adoption</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1.09 million MSMEs (96.1% of establishments, 39.5% of GDP, 48.7% of employment, 14.3% of exports) </w:t>
            </w:r>
            <w:r>
              <w:rPr>
                <w:color w:val="57606A"/>
                <w:sz w:val="16"/>
                <w:szCs w:val="16"/>
                <w:vertAlign w:val="superscript"/>
              </w:rPr>
              <w:t xml:space="preserve">[32]</w:t>
            </w:r>
            <w:r>
              <w:rPr>
                <w:b w:val="false"/>
                <w:bCs w:val="false"/>
                <w:sz w:val="16"/>
                <w:szCs w:val="16"/>
              </w:rPr>
              <w:t xml:space="preserve"> </w:t>
            </w:r>
            <w:r>
              <w:rPr>
                <w:b/>
                <w:bCs/>
                <w:color w:val="1C5CAB"/>
                <w:sz w:val="12"/>
                <w:szCs w:val="12"/>
              </w:rPr>
              <w:t xml:space="preserve">[Fact]</w:t>
            </w:r>
            <w:r>
              <w:rPr>
                <w:b w:val="false"/>
                <w:bCs w:val="false"/>
                <w:sz w:val="16"/>
                <w:szCs w:val="16"/>
              </w:rPr>
              <w:t xml:space="preserve">. Simplified ESG Disclosure Guide (SEDG) v2 aligns with the ASEAN SME guide </w:t>
            </w:r>
            <w:r>
              <w:rPr>
                <w:color w:val="57606A"/>
                <w:sz w:val="16"/>
                <w:szCs w:val="16"/>
                <w:vertAlign w:val="superscript"/>
              </w:rPr>
              <w:t xml:space="preserve">[28]</w:t>
            </w:r>
            <w:r>
              <w:rPr>
                <w:b w:val="false"/>
                <w:bCs w:val="false"/>
                <w:sz w:val="16"/>
                <w:szCs w:val="16"/>
              </w:rPr>
              <w:t xml:space="preserve"> </w:t>
            </w:r>
            <w:r>
              <w:rPr>
                <w:b/>
                <w:bCs/>
                <w:color w:val="57606A"/>
                <w:sz w:val="12"/>
                <w:szCs w:val="12"/>
              </w:rPr>
              <w:t xml:space="preserve">[Voluntary]</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Demand for ESG professionals</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Strong; mid-tier audit firms and company secretarial firms are building ESG teams and buying in specialists </w:t>
            </w:r>
            <w:r>
              <w:rPr>
                <w:b/>
                <w:bCs/>
                <w:color w:val="6B4FA0"/>
                <w:sz w:val="12"/>
                <w:szCs w:val="12"/>
              </w:rPr>
              <w:t xml:space="preserve">[Analyst view]</w:t>
            </w:r>
            <w:r>
              <w:rPr>
                <w:b w:val="false"/>
                <w:bCs w:val="false"/>
                <w:sz w:val="16"/>
                <w:szCs w:val="16"/>
              </w:rPr>
              <w:t xml:space="preserve">.</w:t>
            </w:r>
          </w:p>
        </w:tc>
      </w:tr>
    </w:tbl>
    <w:p>
      <w:pPr>
        <w:pStyle w:val="Heading2"/>
      </w:pPr>
      <w:r>
        <w:t xml:space="preserve">1.3 Indonesia</w:t>
      </w:r>
    </w:p>
    <w:p>
      <w:pPr>
        <w:spacing w:after="120" w:before="0" w:line="276"/>
      </w:pPr>
      <w:r>
        <w:t xml:space="preserve">Indonesia is the largest economy in the set and the least mature ESG services market. Sustainability reports have been mandatory for listed companies and financial institutions since the POJK 51/2017 phase-in, but most are narrative. The shift to ISSB-based PSPK standards from 2027, an OJK proposal for mandatory assurance, mandatory GHG reporting for industry and heavy export exposure (palm oil, nickel, textiles) set up a large step-change in demand from 2026 to 2029. </w:t>
      </w:r>
      <w:r>
        <w:rPr>
          <w:b/>
          <w:bCs/>
          <w:color w:val="6B4FA0"/>
          <w:sz w:val="16"/>
          <w:szCs w:val="16"/>
        </w:rPr>
        <w:t xml:space="preserve">[Analyst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7"/>
        <w:gridCol w:w="7509"/>
      </w:tblGrid>
      <w:tr>
        <w:trPr>
          <w:cantSplit/>
          <w:tblHeader/>
        </w:trPr>
        <w:tc>
          <w:tcPr>
            <w:tcW w:type="dxa" w:w="223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Dimension</w:t>
            </w:r>
          </w:p>
        </w:tc>
        <w:tc>
          <w:tcPr>
            <w:tcW w:type="dxa" w:w="7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Assessment</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Size and maturity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Large but early. POJK 51/2017 requires annual sustainability reports from financial institutions, issuers and public companies, phased in from 2019 to 2025 </w:t>
            </w:r>
            <w:r>
              <w:rPr>
                <w:b/>
                <w:bCs/>
                <w:color w:val="1A7F37"/>
                <w:sz w:val="12"/>
                <w:szCs w:val="12"/>
              </w:rPr>
              <w:t xml:space="preserve">[In force]</w:t>
            </w:r>
            <w:r>
              <w:rPr>
                <w:b w:val="false"/>
                <w:bCs w:val="false"/>
                <w:sz w:val="16"/>
                <w:szCs w:val="16"/>
              </w:rPr>
              <w:t xml:space="preserve">. IDX reported 873 listed companies submitting sustainability reports </w:t>
            </w:r>
            <w:r>
              <w:rPr>
                <w:color w:val="57606A"/>
                <w:sz w:val="16"/>
                <w:szCs w:val="16"/>
                <w:vertAlign w:val="superscript"/>
              </w:rPr>
              <w:t xml:space="preserve">[54]</w:t>
            </w:r>
            <w:r>
              <w:rPr>
                <w:b w:val="false"/>
                <w:bCs w:val="false"/>
                <w:sz w:val="16"/>
                <w:szCs w:val="16"/>
              </w:rPr>
              <w:t xml:space="preserve"> </w:t>
            </w:r>
            <w:r>
              <w:rPr>
                <w:b/>
                <w:bCs/>
                <w:color w:val="1C5CAB"/>
                <w:sz w:val="12"/>
                <w:szCs w:val="12"/>
              </w:rPr>
              <w:t xml:space="preserve">[Fact]</w:t>
            </w:r>
            <w:r>
              <w:rPr>
                <w:b w:val="false"/>
                <w:bCs w:val="false"/>
                <w:sz w:val="16"/>
                <w:szCs w:val="16"/>
              </w:rPr>
              <w:t xml:space="preserve">; about 960 companies were listed in mid-2026 </w:t>
            </w:r>
            <w:r>
              <w:rPr>
                <w:color w:val="57606A"/>
                <w:sz w:val="16"/>
                <w:szCs w:val="16"/>
                <w:vertAlign w:val="superscript"/>
              </w:rPr>
              <w:t xml:space="preserve">[55]</w:t>
            </w:r>
            <w:r>
              <w:rPr>
                <w:b w:val="false"/>
                <w:bCs w:val="false"/>
                <w:sz w:val="16"/>
                <w:szCs w:val="16"/>
              </w:rPr>
              <w:t xml:space="preserve"> </w:t>
            </w:r>
            <w:r>
              <w:rPr>
                <w:b/>
                <w:bCs/>
                <w:color w:val="1C5CAB"/>
                <w:sz w:val="12"/>
                <w:szCs w:val="12"/>
              </w:rPr>
              <w:t xml:space="preserve">[Fact]</w:t>
            </w:r>
            <w:r>
              <w:rPr>
                <w:b w:val="false"/>
                <w:bCs w:val="false"/>
                <w:sz w:val="16"/>
                <w:szCs w:val="16"/>
              </w:rPr>
              <w:t xml:space="preserve">. Reports are largely narrative and GRI-referenced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Current business adoption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Listed companies, banks and exporters report; quality is uneven and quantitative GHG data is often weak </w:t>
            </w:r>
            <w:r>
              <w:rPr>
                <w:b/>
                <w:bCs/>
                <w:color w:val="6B4FA0"/>
                <w:sz w:val="12"/>
                <w:szCs w:val="12"/>
              </w:rPr>
              <w:t xml:space="preserve">[Analyst view]</w:t>
            </w:r>
            <w:r>
              <w:rPr>
                <w:b w:val="false"/>
                <w:bCs w:val="false"/>
                <w:sz w:val="16"/>
                <w:szCs w:val="16"/>
              </w:rPr>
              <w:t xml:space="preserve">. Mid-sized private companies and MSMEs have low adoption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Government ESG and climate policy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Official net zero by 2060. President Prabowo stated at the G20 in November 2024 an aim of net zero by 2050 and phasing out coal and fossil power within 15 years; the second NDC does not yet reflect this </w:t>
            </w:r>
            <w:r>
              <w:rPr>
                <w:color w:val="57606A"/>
                <w:sz w:val="16"/>
                <w:szCs w:val="16"/>
                <w:vertAlign w:val="superscript"/>
              </w:rPr>
              <w:t xml:space="preserve">[53]</w:t>
            </w:r>
            <w:r>
              <w:rPr>
                <w:b w:val="false"/>
                <w:bCs w:val="false"/>
                <w:sz w:val="16"/>
                <w:szCs w:val="16"/>
              </w:rPr>
              <w:t xml:space="preserve"> </w:t>
            </w:r>
            <w:r>
              <w:rPr>
                <w:b/>
                <w:bCs/>
                <w:color w:val="1C5CAB"/>
                <w:sz w:val="12"/>
                <w:szCs w:val="12"/>
              </w:rPr>
              <w:t xml:space="preserve">[Fact]</w:t>
            </w:r>
            <w:r>
              <w:rPr>
                <w:b w:val="false"/>
                <w:bCs w:val="false"/>
                <w:sz w:val="16"/>
                <w:szCs w:val="16"/>
              </w:rPr>
              <w:t xml:space="preserve">. RUPTL 2025-2034 plans 69.5 GW of new capacity including 42.6 GW of renewables and 10.3 GW of storage </w:t>
            </w:r>
            <w:r>
              <w:rPr>
                <w:color w:val="57606A"/>
                <w:sz w:val="16"/>
                <w:szCs w:val="16"/>
                <w:vertAlign w:val="superscript"/>
              </w:rPr>
              <w:t xml:space="preserve">[52]</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Mandatory sustainability reporting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PSPK 1 and PSPK 2 (based on IFRS S1 and S2) ratified 1 July 2025, effective 1 January 2027 </w:t>
            </w:r>
            <w:r>
              <w:rPr>
                <w:color w:val="57606A"/>
                <w:sz w:val="16"/>
                <w:szCs w:val="16"/>
                <w:vertAlign w:val="superscript"/>
              </w:rPr>
              <w:t xml:space="preserve">[40]</w:t>
            </w:r>
            <w:r>
              <w:rPr>
                <w:b w:val="false"/>
                <w:bCs w:val="false"/>
                <w:sz w:val="16"/>
                <w:szCs w:val="16"/>
              </w:rPr>
              <w:t xml:space="preserve"> </w:t>
            </w:r>
            <w:r>
              <w:rPr>
                <w:b/>
                <w:bCs/>
                <w:color w:val="9A6700"/>
                <w:sz w:val="12"/>
                <w:szCs w:val="12"/>
              </w:rPr>
              <w:t xml:space="preserve">[Announced]</w:t>
            </w:r>
            <w:r>
              <w:rPr>
                <w:b w:val="false"/>
                <w:bCs w:val="false"/>
                <w:sz w:val="16"/>
                <w:szCs w:val="16"/>
              </w:rPr>
              <w:t xml:space="preserve">. OJK draft regulation (public consultation 12 February to 13 March 2026) would phase in PSPK-based reporting from FY2027 to FY2029, starting with Main Board issuers, large banks and the stock exchange, and add mandatory assurance and a transition plan </w:t>
            </w:r>
            <w:r>
              <w:rPr>
                <w:color w:val="57606A"/>
                <w:sz w:val="16"/>
                <w:szCs w:val="16"/>
                <w:vertAlign w:val="superscript"/>
              </w:rPr>
              <w:t xml:space="preserve">[41,42]</w:t>
            </w:r>
            <w:r>
              <w:rPr>
                <w:b w:val="false"/>
                <w:bCs w:val="false"/>
                <w:sz w:val="16"/>
                <w:szCs w:val="16"/>
              </w:rPr>
              <w:t xml:space="preserve"> </w:t>
            </w:r>
            <w:r>
              <w:rPr>
                <w:b/>
                <w:bCs/>
                <w:color w:val="B42318"/>
                <w:sz w:val="12"/>
                <w:szCs w:val="12"/>
              </w:rPr>
              <w:t xml:space="preserve">[Proposed]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Stock exchange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IDX enforces OJK reporting; ESG indices (IDX ESG Leaders, SRI-KEHATI) and IDXCarbon exist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ISSB / IFRS S1 and S2</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Adopted through PSPK 1 and 2 with local adaptations </w:t>
            </w:r>
            <w:r>
              <w:rPr>
                <w:b/>
                <w:bCs/>
                <w:color w:val="1C5CAB"/>
                <w:sz w:val="12"/>
                <w:szCs w:val="12"/>
              </w:rPr>
              <w:t xml:space="preserve">[Fact]</w:t>
            </w:r>
            <w:r>
              <w:rPr>
                <w:b w:val="false"/>
                <w:bCs w:val="false"/>
                <w:sz w:val="16"/>
                <w:szCs w:val="16"/>
              </w:rPr>
              <w:t xml:space="preserve"> </w:t>
            </w:r>
            <w:r>
              <w:rPr>
                <w:color w:val="57606A"/>
                <w:sz w:val="16"/>
                <w:szCs w:val="16"/>
                <w:vertAlign w:val="superscript"/>
              </w:rPr>
              <w:t xml:space="preserve">[43]</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reporting</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Ministry of Industry Circular No. 2 of 2025 requires industrial companies and industrial estate operators to report GHG and air pollutant data through SIINas on a self-assessment basis </w:t>
            </w:r>
            <w:r>
              <w:rPr>
                <w:color w:val="57606A"/>
                <w:sz w:val="16"/>
                <w:szCs w:val="16"/>
                <w:vertAlign w:val="superscript"/>
              </w:rPr>
              <w:t xml:space="preserve">[49]</w:t>
            </w:r>
            <w:r>
              <w:rPr>
                <w:b w:val="false"/>
                <w:bCs w:val="false"/>
                <w:sz w:val="16"/>
                <w:szCs w:val="16"/>
              </w:rPr>
              <w:t xml:space="preserve"> </w:t>
            </w:r>
            <w:r>
              <w:rPr>
                <w:b/>
                <w:bCs/>
                <w:color w:val="1A7F37"/>
                <w:sz w:val="12"/>
                <w:szCs w:val="12"/>
              </w:rPr>
              <w:t xml:space="preserve">[In force]</w:t>
            </w:r>
            <w:r>
              <w:rPr>
                <w:b w:val="false"/>
                <w:bCs w:val="false"/>
                <w:sz w:val="16"/>
                <w:szCs w:val="16"/>
              </w:rPr>
              <w:t xml:space="preserve">. PROPER environmental ratings cover thousands of companies (3,694 participants in 2023)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Carbon pricing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Power-sector ETS since 2023, covering 146 coal plants in 2024, with gas plants added in 2025 to 2027 and all fossil plants, including captive plants, from 2027 </w:t>
            </w:r>
            <w:r>
              <w:rPr>
                <w:color w:val="57606A"/>
                <w:sz w:val="16"/>
                <w:szCs w:val="16"/>
                <w:vertAlign w:val="superscript"/>
              </w:rPr>
              <w:t xml:space="preserve">[45]</w:t>
            </w:r>
            <w:r>
              <w:rPr>
                <w:b w:val="false"/>
                <w:bCs w:val="false"/>
                <w:sz w:val="16"/>
                <w:szCs w:val="16"/>
              </w:rPr>
              <w:t xml:space="preserve"> </w:t>
            </w:r>
            <w:r>
              <w:rPr>
                <w:b/>
                <w:bCs/>
                <w:color w:val="1A7F37"/>
                <w:sz w:val="12"/>
                <w:szCs w:val="12"/>
              </w:rPr>
              <w:t xml:space="preserve">[In force]</w:t>
            </w:r>
            <w:r>
              <w:rPr>
                <w:b w:val="false"/>
                <w:bCs w:val="false"/>
                <w:sz w:val="16"/>
                <w:szCs w:val="16"/>
              </w:rPr>
              <w:t xml:space="preserve">/</w:t>
            </w:r>
            <w:r>
              <w:rPr>
                <w:b/>
                <w:bCs/>
                <w:color w:val="9A6700"/>
                <w:sz w:val="12"/>
                <w:szCs w:val="12"/>
              </w:rPr>
              <w:t xml:space="preserve">[Announced]</w:t>
            </w:r>
            <w:r>
              <w:rPr>
                <w:b w:val="false"/>
                <w:bCs w:val="false"/>
                <w:sz w:val="16"/>
                <w:szCs w:val="16"/>
              </w:rPr>
              <w:t xml:space="preserve">. Carbon tax legislated in 2021 but still not implemented </w:t>
            </w:r>
            <w:r>
              <w:rPr>
                <w:color w:val="57606A"/>
                <w:sz w:val="16"/>
                <w:szCs w:val="16"/>
                <w:vertAlign w:val="superscript"/>
              </w:rPr>
              <w:t xml:space="preserve">[45]</w:t>
            </w:r>
            <w:r>
              <w:rPr>
                <w:b w:val="false"/>
                <w:bCs w:val="false"/>
                <w:sz w:val="16"/>
                <w:szCs w:val="16"/>
              </w:rPr>
              <w:t xml:space="preserve"> </w:t>
            </w:r>
            <w:r>
              <w:rPr>
                <w:b/>
                <w:bCs/>
                <w:color w:val="B42318"/>
                <w:sz w:val="12"/>
                <w:szCs w:val="12"/>
              </w:rPr>
              <w:t xml:space="preserve">[Proposed]</w:t>
            </w:r>
            <w:r>
              <w:rPr>
                <w:b w:val="false"/>
                <w:bCs w:val="false"/>
                <w:sz w:val="16"/>
                <w:szCs w:val="16"/>
              </w:rPr>
              <w:t xml:space="preserve">. Presidential Regulation 110/2025 replaced 98/2021, reopened international carbon trading and created a national carbon unit registry </w:t>
            </w:r>
            <w:r>
              <w:rPr>
                <w:color w:val="57606A"/>
                <w:sz w:val="16"/>
                <w:szCs w:val="16"/>
                <w:vertAlign w:val="superscript"/>
              </w:rPr>
              <w:t xml:space="preserve">[44]</w:t>
            </w:r>
            <w:r>
              <w:rPr>
                <w:b w:val="false"/>
                <w:bCs w:val="false"/>
                <w:sz w:val="16"/>
                <w:szCs w:val="16"/>
              </w:rPr>
              <w:t xml:space="preserve"> </w:t>
            </w:r>
            <w:r>
              <w:rPr>
                <w:b/>
                <w:bCs/>
                <w:color w:val="1A7F37"/>
                <w:sz w:val="12"/>
                <w:szCs w:val="12"/>
              </w:rPr>
              <w:t xml:space="preserve">[In force]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Net-zero commitments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National 2060 (2050 aspiration). State-owned enterprises and large conglomerates have announced targets; many mid-caps have none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Corporate sustainability spending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Low per company but rising; top-tier banks and resource companies spend most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Sustainable finance</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Indonesia Taxonomy for Sustainable Finance (TKBI): v1 February 2024, v2 February 2025 (construction, real estate, transport, forestry, palm oil), v3 March 2026 </w:t>
            </w:r>
            <w:r>
              <w:rPr>
                <w:color w:val="57606A"/>
                <w:sz w:val="16"/>
                <w:szCs w:val="16"/>
                <w:vertAlign w:val="superscript"/>
              </w:rPr>
              <w:t xml:space="preserve">[51]</w:t>
            </w:r>
            <w:r>
              <w:rPr>
                <w:b w:val="false"/>
                <w:bCs w:val="false"/>
                <w:sz w:val="16"/>
                <w:szCs w:val="16"/>
              </w:rPr>
              <w:t xml:space="preserve"> </w:t>
            </w:r>
            <w:r>
              <w:rPr>
                <w:b/>
                <w:bCs/>
                <w:color w:val="1C5CAB"/>
                <w:sz w:val="12"/>
                <w:szCs w:val="12"/>
              </w:rPr>
              <w:t xml:space="preserve">[Fact]</w:t>
            </w:r>
            <w:r>
              <w:rPr>
                <w:b w:val="false"/>
                <w:bCs w:val="false"/>
                <w:sz w:val="16"/>
                <w:szCs w:val="16"/>
              </w:rPr>
              <w:t xml:space="preserve">. Sovereign green sukuk programme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ESG-linked lending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Banks run sustainable finance action plans under POJK 51; financed-emissions and transition-plan expectations will rise with the OJK draft </w:t>
            </w:r>
            <w:r>
              <w:rPr>
                <w:b/>
                <w:bCs/>
                <w:color w:val="0F7A55"/>
                <w:sz w:val="12"/>
                <w:szCs w:val="12"/>
              </w:rPr>
              <w:t xml:space="preserve">[Inference]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market development</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IDXCarbon launched 2023 and opened to international buyers in January 2025, but volumes are thin: total transactions of about IDR 78 billion (US$4.9 million) since launch </w:t>
            </w:r>
            <w:r>
              <w:rPr>
                <w:color w:val="57606A"/>
                <w:sz w:val="16"/>
                <w:szCs w:val="16"/>
                <w:vertAlign w:val="superscript"/>
              </w:rPr>
              <w:t xml:space="preserve">[47]</w:t>
            </w:r>
            <w:r>
              <w:rPr>
                <w:b w:val="false"/>
                <w:bCs w:val="false"/>
                <w:sz w:val="16"/>
                <w:szCs w:val="16"/>
              </w:rPr>
              <w:t xml:space="preserve"> and 119,673 tonnes year-to-date in February 2026 </w:t>
            </w:r>
            <w:r>
              <w:rPr>
                <w:color w:val="57606A"/>
                <w:sz w:val="16"/>
                <w:szCs w:val="16"/>
                <w:vertAlign w:val="superscript"/>
              </w:rPr>
              <w:t xml:space="preserve">[46]</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Renewable-energy transition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JETP financing approvals of roughly US$3.1 billion by December 2025 </w:t>
            </w:r>
            <w:r>
              <w:rPr>
                <w:b/>
                <w:bCs/>
                <w:color w:val="A35200"/>
                <w:sz w:val="12"/>
                <w:szCs w:val="12"/>
              </w:rPr>
              <w:t xml:space="preserve">[Estimate]</w:t>
            </w:r>
            <w:r>
              <w:rPr>
                <w:b w:val="false"/>
                <w:bCs w:val="false"/>
                <w:sz w:val="16"/>
                <w:szCs w:val="16"/>
              </w:rPr>
              <w:t xml:space="preserve">; RUPTL renewables pipeline as above; coal still expanding in the near term </w:t>
            </w:r>
            <w:r>
              <w:rPr>
                <w:color w:val="57606A"/>
                <w:sz w:val="16"/>
                <w:szCs w:val="16"/>
                <w:vertAlign w:val="superscript"/>
              </w:rPr>
              <w:t xml:space="preserve">[52]</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Supply-chain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Very strong in palm oil (EUDR from 30 December 2026 for large and medium operators </w:t>
            </w:r>
            <w:r>
              <w:rPr>
                <w:color w:val="57606A"/>
                <w:sz w:val="16"/>
                <w:szCs w:val="16"/>
                <w:vertAlign w:val="superscript"/>
              </w:rPr>
              <w:t xml:space="preserve">[82]</w:t>
            </w:r>
            <w:r>
              <w:rPr>
                <w:b w:val="false"/>
                <w:bCs w:val="false"/>
                <w:sz w:val="16"/>
                <w:szCs w:val="16"/>
              </w:rPr>
              <w:t xml:space="preserve">), nickel and EV batteries (EU battery carbon-footprint thresholds, with non-compliant EV batteries barred from February 2028 </w:t>
            </w:r>
            <w:r>
              <w:rPr>
                <w:color w:val="57606A"/>
                <w:sz w:val="16"/>
                <w:szCs w:val="16"/>
                <w:vertAlign w:val="superscript"/>
              </w:rPr>
              <w:t xml:space="preserve">[60]</w:t>
            </w:r>
            <w:r>
              <w:rPr>
                <w:b w:val="false"/>
                <w:bCs w:val="false"/>
                <w:sz w:val="16"/>
                <w:szCs w:val="16"/>
              </w:rPr>
              <w:t xml:space="preserve">), textiles and footwear (brand programmes), pulp and paper, coffee, cocoa and rubber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International buyer pressure</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for commodity and manufacturing exporters; low for domestic-facing firms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SME adoption</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About 65 million MSMEs, around 60% of GDP and 97% of employment </w:t>
            </w:r>
            <w:r>
              <w:rPr>
                <w:color w:val="57606A"/>
                <w:sz w:val="16"/>
                <w:szCs w:val="16"/>
                <w:vertAlign w:val="superscript"/>
              </w:rPr>
              <w:t xml:space="preserve">[58]</w:t>
            </w:r>
            <w:r>
              <w:rPr>
                <w:b w:val="false"/>
                <w:bCs w:val="false"/>
                <w:sz w:val="16"/>
                <w:szCs w:val="16"/>
              </w:rPr>
              <w:t xml:space="preserve"> </w:t>
            </w:r>
            <w:r>
              <w:rPr>
                <w:b/>
                <w:bCs/>
                <w:color w:val="1C5CAB"/>
                <w:sz w:val="12"/>
                <w:szCs w:val="12"/>
              </w:rPr>
              <w:t xml:space="preserve">[Fact]</w:t>
            </w:r>
            <w:r>
              <w:rPr>
                <w:b w:val="false"/>
                <w:bCs w:val="false"/>
                <w:sz w:val="16"/>
                <w:szCs w:val="16"/>
              </w:rPr>
              <w:t xml:space="preserve">. Awareness is low and willingness to pay is limited outside export supply chains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Demand for ESG professionals</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Rising quickly ahead of PSPK; shortage of practitioners who can do ISSB-quality climate work in Bahasa Indonesia </w:t>
            </w:r>
            <w:r>
              <w:rPr>
                <w:b/>
                <w:bCs/>
                <w:color w:val="6B4FA0"/>
                <w:sz w:val="12"/>
                <w:szCs w:val="12"/>
              </w:rPr>
              <w:t xml:space="preserve">[Analyst view]</w:t>
            </w:r>
            <w:r>
              <w:rPr>
                <w:b w:val="false"/>
                <w:bCs w:val="false"/>
                <w:sz w:val="16"/>
                <w:szCs w:val="16"/>
              </w:rPr>
              <w:t xml:space="preserve">.</w:t>
            </w:r>
          </w:p>
        </w:tc>
      </w:tr>
    </w:tbl>
    <w:p>
      <w:pPr>
        <w:pStyle w:val="Heading2"/>
      </w:pPr>
      <w:r>
        <w:t xml:space="preserve">1.4 Hong Kong</w:t>
      </w:r>
    </w:p>
    <w:p>
      <w:pPr>
        <w:spacing w:after="120" w:before="0" w:line="276"/>
      </w:pPr>
      <w:r>
        <w:t xml:space="preserve">Hong Kong has the largest number of companies already reporting under mandatory ESG rules, Asia's leading green and sustainable bond market and a clear path to full ISSB adoption by 2028. It is also the most crowded low-end ESG reporting market in the study, with many local firms writing reports for small-cap issuers at low prices. New money is moving to Scope 3, assurance readiness and transition planning. </w:t>
      </w:r>
      <w:r>
        <w:rPr>
          <w:b/>
          <w:bCs/>
          <w:color w:val="6B4FA0"/>
          <w:sz w:val="16"/>
          <w:szCs w:val="16"/>
        </w:rPr>
        <w:t xml:space="preserve">[Analyst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37"/>
        <w:gridCol w:w="7509"/>
      </w:tblGrid>
      <w:tr>
        <w:trPr>
          <w:cantSplit/>
          <w:tblHeader/>
        </w:trPr>
        <w:tc>
          <w:tcPr>
            <w:tcW w:type="dxa" w:w="223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Dimension</w:t>
            </w:r>
          </w:p>
        </w:tc>
        <w:tc>
          <w:tcPr>
            <w:tcW w:type="dxa" w:w="7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Assessment</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Size and maturity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Mature. More than 2,700 listed companies in 2026 (2,726 in May 2026) </w:t>
            </w:r>
            <w:r>
              <w:rPr>
                <w:color w:val="57606A"/>
                <w:sz w:val="16"/>
                <w:szCs w:val="16"/>
                <w:vertAlign w:val="superscript"/>
              </w:rPr>
              <w:t xml:space="preserve">[80]</w:t>
            </w:r>
            <w:r>
              <w:rPr>
                <w:b w:val="false"/>
                <w:bCs w:val="false"/>
                <w:sz w:val="16"/>
                <w:szCs w:val="16"/>
              </w:rPr>
              <w:t xml:space="preserve"> </w:t>
            </w:r>
            <w:r>
              <w:rPr>
                <w:b/>
                <w:bCs/>
                <w:color w:val="1C5CAB"/>
                <w:sz w:val="12"/>
                <w:szCs w:val="12"/>
              </w:rPr>
              <w:t xml:space="preserve">[Fact]</w:t>
            </w:r>
            <w:r>
              <w:rPr>
                <w:b w:val="false"/>
                <w:bCs w:val="false"/>
                <w:sz w:val="16"/>
                <w:szCs w:val="16"/>
              </w:rPr>
              <w:t xml:space="preserve">, all subject to the HKEX ESG Reporting Code since 2016 </w:t>
            </w:r>
            <w:r>
              <w:rPr>
                <w:b/>
                <w:bCs/>
                <w:color w:val="1C5CAB"/>
                <w:sz w:val="12"/>
                <w:szCs w:val="12"/>
              </w:rPr>
              <w:t xml:space="preserve">[Fact]</w:t>
            </w:r>
            <w:r>
              <w:rPr>
                <w:b w:val="false"/>
                <w:bCs w:val="false"/>
                <w:sz w:val="16"/>
                <w:szCs w:val="16"/>
              </w:rPr>
              <w:t xml:space="preserve">. First-year reviews show 99% of issuers complied with at least 90% of the rules reviewed </w:t>
            </w:r>
            <w:r>
              <w:rPr>
                <w:color w:val="57606A"/>
                <w:sz w:val="16"/>
                <w:szCs w:val="16"/>
                <w:vertAlign w:val="superscript"/>
              </w:rPr>
              <w:t xml:space="preserve">[65]</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Current business adoption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in form, uneven in depth. Many small caps outsource the whole report </w:t>
            </w:r>
            <w:r>
              <w:rPr>
                <w:b/>
                <w:bCs/>
                <w:color w:val="6B4FA0"/>
                <w:sz w:val="12"/>
                <w:szCs w:val="12"/>
              </w:rPr>
              <w:t xml:space="preserve">[Analyst view]</w:t>
            </w:r>
            <w:r>
              <w:rPr>
                <w:b w:val="false"/>
                <w:bCs w:val="false"/>
                <w:sz w:val="16"/>
                <w:szCs w:val="16"/>
              </w:rPr>
              <w:t xml:space="preserve">. Among SMEs, 77% of 302 firms surveyed by HKSMEA in December 2024 rated ESG important, though research from HKU finds limited risk awareness </w:t>
            </w:r>
            <w:r>
              <w:rPr>
                <w:color w:val="57606A"/>
                <w:sz w:val="16"/>
                <w:szCs w:val="16"/>
                <w:vertAlign w:val="superscript"/>
              </w:rPr>
              <w:t xml:space="preserve">[73]</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Government ESG and climate policy</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Climate Action Plan 2050: carbon neutrality before 2050 and a 50% cut by 2035 against 2005 </w:t>
            </w:r>
            <w:r>
              <w:rPr>
                <w:color w:val="57606A"/>
                <w:sz w:val="16"/>
                <w:szCs w:val="16"/>
                <w:vertAlign w:val="superscript"/>
              </w:rPr>
              <w:t xml:space="preserve">[75]</w:t>
            </w:r>
            <w:r>
              <w:rPr>
                <w:b w:val="false"/>
                <w:bCs w:val="false"/>
                <w:sz w:val="16"/>
                <w:szCs w:val="16"/>
              </w:rPr>
              <w:t xml:space="preserve"> </w:t>
            </w:r>
            <w:r>
              <w:rPr>
                <w:b/>
                <w:bCs/>
                <w:color w:val="1C5CAB"/>
                <w:sz w:val="12"/>
                <w:szCs w:val="12"/>
              </w:rPr>
              <w:t xml:space="preserve">[Fact]</w:t>
            </w:r>
            <w:r>
              <w:rPr>
                <w:b w:val="false"/>
                <w:bCs w:val="false"/>
                <w:sz w:val="16"/>
                <w:szCs w:val="16"/>
              </w:rPr>
              <w:t xml:space="preserve">. The 2025 Policy Address backs expansion of the Core Climate carbon platform and links with Greater Bay Area carbon markets </w:t>
            </w:r>
            <w:r>
              <w:rPr>
                <w:color w:val="57606A"/>
                <w:sz w:val="16"/>
                <w:szCs w:val="16"/>
                <w:vertAlign w:val="superscript"/>
              </w:rPr>
              <w:t xml:space="preserve">[76]</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Mandatory sustainability reporting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HKEX Appendix C2 Part D (based on IFRS S2): Scope 1 and 2 mandatory for all issuers from FY2025 </w:t>
            </w:r>
            <w:r>
              <w:rPr>
                <w:b/>
                <w:bCs/>
                <w:color w:val="1A7F37"/>
                <w:sz w:val="12"/>
                <w:szCs w:val="12"/>
              </w:rPr>
              <w:t xml:space="preserve">[In force]</w:t>
            </w:r>
            <w:r>
              <w:rPr>
                <w:b w:val="false"/>
                <w:bCs w:val="false"/>
                <w:sz w:val="16"/>
                <w:szCs w:val="16"/>
              </w:rPr>
              <w:t xml:space="preserve">; Hang Seng Composite LargeCap constituents report full climate disclosures, including Scope 3, from FY2026 </w:t>
            </w:r>
            <w:r>
              <w:rPr>
                <w:b/>
                <w:bCs/>
                <w:color w:val="1A7F37"/>
                <w:sz w:val="12"/>
                <w:szCs w:val="12"/>
              </w:rPr>
              <w:t xml:space="preserve">[In force]</w:t>
            </w:r>
            <w:r>
              <w:rPr>
                <w:b w:val="false"/>
                <w:bCs w:val="false"/>
                <w:sz w:val="16"/>
                <w:szCs w:val="16"/>
              </w:rPr>
              <w:t xml:space="preserve">; other Main Board issuers on comply-or-explain </w:t>
            </w:r>
            <w:r>
              <w:rPr>
                <w:color w:val="57606A"/>
                <w:sz w:val="16"/>
                <w:szCs w:val="16"/>
                <w:vertAlign w:val="superscript"/>
              </w:rPr>
              <w:t xml:space="preserve">[66]</w:t>
            </w:r>
            <w:r>
              <w:rPr>
                <w:b w:val="false"/>
                <w:bCs w:val="false"/>
                <w:sz w:val="16"/>
                <w:szCs w:val="16"/>
              </w:rPr>
              <w:t xml:space="preserve"> </w:t>
            </w:r>
            <w:r>
              <w:rPr>
                <w:b/>
                <w:bCs/>
                <w:color w:val="1A7F37"/>
                <w:sz w:val="12"/>
                <w:szCs w:val="12"/>
              </w:rPr>
              <w:t xml:space="preserve">[In force]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Stock exchange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HKEX will consult in 2027 on replacing Appendix C2 with a requirement to report under the HKFRS Sustainability Disclosure Standards, phased by issuer size </w:t>
            </w:r>
            <w:r>
              <w:rPr>
                <w:color w:val="57606A"/>
                <w:sz w:val="16"/>
                <w:szCs w:val="16"/>
                <w:vertAlign w:val="superscript"/>
              </w:rPr>
              <w:t xml:space="preserve">[62]</w:t>
            </w:r>
            <w:r>
              <w:rPr>
                <w:b w:val="false"/>
                <w:bCs w:val="false"/>
                <w:sz w:val="16"/>
                <w:szCs w:val="16"/>
              </w:rPr>
              <w:t xml:space="preserve"> </w:t>
            </w:r>
            <w:r>
              <w:rPr>
                <w:b/>
                <w:bCs/>
                <w:color w:val="9A6700"/>
                <w:sz w:val="12"/>
                <w:szCs w:val="12"/>
              </w:rPr>
              <w:t xml:space="preserve">[Announced]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ISSB / IFRS S1 and S2</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HKFRS S1 and S2 issued December 2024, fully aligned with IFRS S1 and S2, effective 1 August 2025 </w:t>
            </w:r>
            <w:r>
              <w:rPr>
                <w:b/>
                <w:bCs/>
                <w:color w:val="1C5CAB"/>
                <w:sz w:val="12"/>
                <w:szCs w:val="12"/>
              </w:rPr>
              <w:t xml:space="preserve">[Fact]</w:t>
            </w:r>
            <w:r>
              <w:rPr>
                <w:b w:val="false"/>
                <w:bCs w:val="false"/>
                <w:sz w:val="16"/>
                <w:szCs w:val="16"/>
              </w:rPr>
              <w:t xml:space="preserve">. Roadmap: large publicly accountable entities to adopt fully no later than 2028 </w:t>
            </w:r>
            <w:r>
              <w:rPr>
                <w:color w:val="57606A"/>
                <w:sz w:val="16"/>
                <w:szCs w:val="16"/>
                <w:vertAlign w:val="superscript"/>
              </w:rPr>
              <w:t xml:space="preserve">[62]</w:t>
            </w:r>
            <w:r>
              <w:rPr>
                <w:b w:val="false"/>
                <w:bCs w:val="false"/>
                <w:sz w:val="16"/>
                <w:szCs w:val="16"/>
              </w:rPr>
              <w:t xml:space="preserve"> </w:t>
            </w:r>
            <w:r>
              <w:rPr>
                <w:b/>
                <w:bCs/>
                <w:color w:val="9A6700"/>
                <w:sz w:val="12"/>
                <w:szCs w:val="12"/>
              </w:rPr>
              <w:t xml:space="preserve">[Announced]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reporting and assurance</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AFRC proposed (29 December 2025) mandatory limited assurance for all entities reporting under the HK standards: Scope 1 and 2 from the third year of mandatory reporting, all other disclosures from the fifth year, carried out by registered providers that can include accredited non-CPA firms </w:t>
            </w:r>
            <w:r>
              <w:rPr>
                <w:color w:val="57606A"/>
                <w:sz w:val="16"/>
                <w:szCs w:val="16"/>
                <w:vertAlign w:val="superscript"/>
              </w:rPr>
              <w:t xml:space="preserve">[63,64]</w:t>
            </w:r>
            <w:r>
              <w:rPr>
                <w:b w:val="false"/>
                <w:bCs w:val="false"/>
                <w:sz w:val="16"/>
                <w:szCs w:val="16"/>
              </w:rPr>
              <w:t xml:space="preserve"> </w:t>
            </w:r>
            <w:r>
              <w:rPr>
                <w:b/>
                <w:bCs/>
                <w:color w:val="B42318"/>
                <w:sz w:val="12"/>
                <w:szCs w:val="12"/>
              </w:rPr>
              <w:t xml:space="preserve">[Proposed]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Carbon pricing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No domestic carbon tax or ETS </w:t>
            </w:r>
            <w:r>
              <w:rPr>
                <w:b/>
                <w:bCs/>
                <w:color w:val="1C5CAB"/>
                <w:sz w:val="12"/>
                <w:szCs w:val="12"/>
              </w:rPr>
              <w:t xml:space="preserve">[Fact]</w:t>
            </w:r>
            <w:r>
              <w:rPr>
                <w:b w:val="false"/>
                <w:bCs w:val="false"/>
                <w:sz w:val="16"/>
                <w:szCs w:val="16"/>
              </w:rPr>
              <w:t xml:space="preserve">. Core Climate (HKEX) serves voluntary trading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Net-zero commitments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Most LargeCap issuers have targets; property developers and utilities lead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Corporate sustainability spending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at the top, compressed at the bottom </w:t>
            </w:r>
            <w:r>
              <w:rPr>
                <w:b/>
                <w:bCs/>
                <w:color w:val="6B4FA0"/>
                <w:sz w:val="12"/>
                <w:szCs w:val="12"/>
              </w:rPr>
              <w:t xml:space="preserve">[Analyst view]</w:t>
            </w:r>
            <w:r>
              <w:rPr>
                <w:b w:val="false"/>
                <w:bCs w:val="false"/>
                <w:sz w:val="16"/>
                <w:szCs w:val="16"/>
              </w:rPr>
              <w:t xml:space="preserve">. One industry estimate puts first-year compliance cost for a listed company at HK$1.5 to 5 million including systems, consultants and assurance </w:t>
            </w:r>
            <w:r>
              <w:rPr>
                <w:color w:val="57606A"/>
                <w:sz w:val="16"/>
                <w:szCs w:val="16"/>
                <w:vertAlign w:val="superscript"/>
              </w:rPr>
              <w:t xml:space="preserve">[77]</w:t>
            </w:r>
            <w:r>
              <w:rPr>
                <w:b w:val="false"/>
                <w:bCs w:val="false"/>
                <w:sz w:val="16"/>
                <w:szCs w:val="16"/>
              </w:rPr>
              <w:t xml:space="preserve"> </w:t>
            </w:r>
            <w:r>
              <w:rPr>
                <w:b/>
                <w:bCs/>
                <w:color w:val="A35200"/>
                <w:sz w:val="12"/>
                <w:szCs w:val="12"/>
              </w:rPr>
              <w:t xml:space="preserve">[Estimate]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Sustainable finance</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US$76.5 billion of green and sustainable debt issued in Hong Kong in 2025; Hong Kong arranged 40% of Asia's international green and sustainable bonds </w:t>
            </w:r>
            <w:r>
              <w:rPr>
                <w:color w:val="57606A"/>
                <w:sz w:val="16"/>
                <w:szCs w:val="16"/>
                <w:vertAlign w:val="superscript"/>
              </w:rPr>
              <w:t xml:space="preserve">[69]</w:t>
            </w:r>
            <w:r>
              <w:rPr>
                <w:b w:val="false"/>
                <w:bCs w:val="false"/>
                <w:sz w:val="16"/>
                <w:szCs w:val="16"/>
              </w:rPr>
              <w:t xml:space="preserve"> </w:t>
            </w:r>
            <w:r>
              <w:rPr>
                <w:b/>
                <w:bCs/>
                <w:color w:val="1C5CAB"/>
                <w:sz w:val="12"/>
                <w:szCs w:val="12"/>
              </w:rPr>
              <w:t xml:space="preserve">[Fact]</w:t>
            </w:r>
            <w:r>
              <w:rPr>
                <w:b w:val="false"/>
                <w:bCs w:val="false"/>
                <w:sz w:val="16"/>
                <w:szCs w:val="16"/>
              </w:rPr>
              <w:t xml:space="preserve">. Green and Sustainable Finance Grant Scheme extended to 2027 and refined from 24 April 2026 </w:t>
            </w:r>
            <w:r>
              <w:rPr>
                <w:color w:val="57606A"/>
                <w:sz w:val="16"/>
                <w:szCs w:val="16"/>
                <w:vertAlign w:val="superscript"/>
              </w:rPr>
              <w:t xml:space="preserve">[70]</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ESG-linked lending</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The CASG questionnaire for non-listed companies gives banks a standard template to collect climate data from SMEs and private borrowers </w:t>
            </w:r>
            <w:r>
              <w:rPr>
                <w:color w:val="57606A"/>
                <w:sz w:val="16"/>
                <w:szCs w:val="16"/>
                <w:vertAlign w:val="superscript"/>
              </w:rPr>
              <w:t xml:space="preserve">[71]</w:t>
            </w:r>
            <w:r>
              <w:rPr>
                <w:b w:val="false"/>
                <w:bCs w:val="false"/>
                <w:sz w:val="16"/>
                <w:szCs w:val="16"/>
              </w:rPr>
              <w:t xml:space="preserve"> </w:t>
            </w:r>
            <w:r>
              <w:rPr>
                <w:b/>
                <w:bCs/>
                <w:color w:val="57606A"/>
                <w:sz w:val="12"/>
                <w:szCs w:val="12"/>
              </w:rPr>
              <w:t xml:space="preserve">[Voluntary]</w:t>
            </w:r>
            <w:r>
              <w:rPr>
                <w:b w:val="false"/>
                <w:bCs w:val="false"/>
                <w:sz w:val="16"/>
                <w:szCs w:val="16"/>
              </w:rPr>
              <w:t xml:space="preserve">. The CASG's 2026 to 2028 priorities put transition planning and assurance first </w:t>
            </w:r>
            <w:r>
              <w:rPr>
                <w:color w:val="57606A"/>
                <w:sz w:val="16"/>
                <w:szCs w:val="16"/>
                <w:vertAlign w:val="superscript"/>
              </w:rPr>
              <w:t xml:space="preserve">[67]</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Carbon market development</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Core Climate; Greater Bay Area linkages proposed </w:t>
            </w:r>
            <w:r>
              <w:rPr>
                <w:b/>
                <w:bCs/>
                <w:color w:val="B42318"/>
                <w:sz w:val="12"/>
                <w:szCs w:val="12"/>
              </w:rPr>
              <w:t xml:space="preserve">[Proposed]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Renewable-energy transition</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Limited local renewables; decarbonisation runs mainly through power-sector fuel switching and buildings </w:t>
            </w:r>
            <w:r>
              <w:rPr>
                <w:b/>
                <w:bCs/>
                <w:color w:val="1C5CAB"/>
                <w:sz w:val="12"/>
                <w:szCs w:val="12"/>
              </w:rPr>
              <w:t xml:space="preserve">[Fact]</w:t>
            </w:r>
            <w:r>
              <w:rPr>
                <w:b w:val="false"/>
                <w:bCs w:val="false"/>
                <w:sz w:val="16"/>
                <w:szCs w:val="16"/>
              </w:rPr>
              <w:t xml:space="preserve">. The amended Buildings Energy Efficiency Ordinance widens coverage to 11 building types including data centres and halves the audit cycle to five years; fully in force 20 September 2026 </w:t>
            </w:r>
            <w:r>
              <w:rPr>
                <w:color w:val="57606A"/>
                <w:sz w:val="16"/>
                <w:szCs w:val="16"/>
                <w:vertAlign w:val="superscript"/>
              </w:rPr>
              <w:t xml:space="preserve">[74]</w:t>
            </w:r>
            <w:r>
              <w:rPr>
                <w:b w:val="false"/>
                <w:bCs w:val="false"/>
                <w:sz w:val="16"/>
                <w:szCs w:val="16"/>
              </w:rPr>
              <w:t xml:space="preserve"> </w:t>
            </w:r>
            <w:r>
              <w:rPr>
                <w:b/>
                <w:bCs/>
                <w:color w:val="1A7F37"/>
                <w:sz w:val="12"/>
                <w:szCs w:val="12"/>
              </w:rPr>
              <w:t xml:space="preserve">[In force]</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Supply-chain requirements</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Moderate. Retail, consumer and electronics groups with Greater Bay Area and EU supply chains face Scope 3 and EU data demands </w:t>
            </w:r>
            <w:r>
              <w:rPr>
                <w:b/>
                <w:bCs/>
                <w:color w:val="6B4FA0"/>
                <w:sz w:val="12"/>
                <w:szCs w:val="12"/>
              </w:rPr>
              <w:t xml:space="preserve">[Analyst view]</w:t>
            </w:r>
            <w:r>
              <w:rPr>
                <w:b w:val="false"/>
                <w:bCs w:val="false"/>
                <w:sz w:val="16"/>
                <w:szCs w:val="16"/>
              </w:rPr>
              <w:t xml:space="preserve">. Mainland China's first mandatory sustainability reports came from 457 listed companies in 2026, and a mainland climate standard is expected to be mandatory for listed companies from 2027 </w:t>
            </w:r>
            <w:r>
              <w:rPr>
                <w:color w:val="57606A"/>
                <w:sz w:val="16"/>
                <w:szCs w:val="16"/>
                <w:vertAlign w:val="superscript"/>
              </w:rPr>
              <w:t xml:space="preserve">[78]</w:t>
            </w:r>
            <w:r>
              <w:rPr>
                <w:b w:val="false"/>
                <w:bCs w:val="false"/>
                <w:sz w:val="16"/>
                <w:szCs w:val="16"/>
              </w:rPr>
              <w:t xml:space="preserve"> </w:t>
            </w:r>
            <w:r>
              <w:rPr>
                <w:b/>
                <w:bCs/>
                <w:color w:val="9A6700"/>
                <w:sz w:val="12"/>
                <w:szCs w:val="12"/>
              </w:rPr>
              <w:t xml:space="preserve">[Announced]</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International buyer pressure</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Moderate, mostly through EU customers and global brands </w:t>
            </w:r>
            <w:r>
              <w:rPr>
                <w:b/>
                <w:bCs/>
                <w:color w:val="6B4FA0"/>
                <w:sz w:val="12"/>
                <w:szCs w:val="12"/>
              </w:rPr>
              <w:t xml:space="preserve">[Analyst view]</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SME adoption</w:t>
            </w:r>
          </w:p>
        </w:tc>
        <w:tc>
          <w:tcPr>
            <w:tcW w:type="dxa" w:w="7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About 360,000 SMEs, over 98% of enterprises and about 43% of private-sector employment </w:t>
            </w:r>
            <w:r>
              <w:rPr>
                <w:color w:val="57606A"/>
                <w:sz w:val="16"/>
                <w:szCs w:val="16"/>
                <w:vertAlign w:val="superscript"/>
              </w:rPr>
              <w:t xml:space="preserve">[72]</w:t>
            </w:r>
            <w:r>
              <w:rPr>
                <w:b w:val="false"/>
                <w:bCs w:val="false"/>
                <w:sz w:val="16"/>
                <w:szCs w:val="16"/>
              </w:rPr>
              <w:t xml:space="preserve"> </w:t>
            </w:r>
            <w:r>
              <w:rPr>
                <w:b/>
                <w:bCs/>
                <w:color w:val="1C5CAB"/>
                <w:sz w:val="12"/>
                <w:szCs w:val="12"/>
              </w:rPr>
              <w:t xml:space="preserve">[Fact]</w:t>
            </w:r>
            <w:r>
              <w:rPr>
                <w:b w:val="false"/>
                <w:bCs w:val="false"/>
                <w:sz w:val="16"/>
                <w:szCs w:val="16"/>
              </w:rPr>
              <w:t xml:space="preserve">.</w:t>
            </w:r>
          </w:p>
        </w:tc>
      </w:tr>
      <w:tr>
        <w:trPr>
          <w:cantSplit/>
        </w:trPr>
        <w:tc>
          <w:tcPr>
            <w:tcW w:type="dxa" w:w="223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Demand for ESG professionals</w:t>
            </w:r>
          </w:p>
        </w:tc>
        <w:tc>
          <w:tcPr>
            <w:tcW w:type="dxa" w:w="7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Strong for assurance-capable and ISSB-literate staff; oversupplied for generic report writers </w:t>
            </w:r>
            <w:r>
              <w:rPr>
                <w:b/>
                <w:bCs/>
                <w:color w:val="6B4FA0"/>
                <w:sz w:val="12"/>
                <w:szCs w:val="12"/>
              </w:rPr>
              <w:t xml:space="preserve">[Analyst view]</w:t>
            </w:r>
            <w:r>
              <w:rPr>
                <w:b w:val="false"/>
                <w:bCs w:val="false"/>
                <w:sz w:val="16"/>
                <w:szCs w:val="16"/>
              </w:rPr>
              <w:t xml:space="preserve">.</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What Part 1 means for you</w:t>
            </w:r>
          </w:p>
          <w:p>
            <w:pPr>
              <w:spacing w:after="40" w:line="240"/>
            </w:pPr>
            <w:r>
              <w:rPr>
                <w:sz w:val="19"/>
                <w:szCs w:val="19"/>
              </w:rPr>
              <w:t xml:space="preserve">Singapore and Hong Kong have the most money in ESG today. Malaysia and Indonesia have the most new obligations arriving between 2026 and 2029. A remote consultant gains most where obligations are new, dated and arriving faster than local capacity can grow: Malaysia first, Indonesia next. </w:t>
            </w:r>
            <w:r>
              <w:rPr>
                <w:b/>
                <w:bCs/>
                <w:color w:val="0F7A55"/>
                <w:sz w:val="15"/>
                <w:szCs w:val="15"/>
              </w:rPr>
              <w:t xml:space="preserve">[Inference]</w:t>
            </w:r>
          </w:p>
        </w:tc>
      </w:tr>
    </w:tbl>
    <w:p>
      <w:pPr>
        <w:sectPr>
          <w:headerReference w:type="default" r:id="rId7"/>
          <w:headerReference w:type="first" r:id="rId8"/>
          <w:footerReference w:type="default" r:id="rId9"/>
          <w:footerReference w:type="first" r:id="rId10"/>
          <w:pgSz w:w="11906" w:h="16838" w:orient="portrait"/>
          <w:pgMar w:top="1080" w:right="1080" w:bottom="1080" w:left="1080" w:header="500" w:footer="500" w:gutter="0"/>
          <w:pgNumType/>
          <w:titlePg/>
          <w:docGrid w:linePitch="360"/>
        </w:sectPr>
      </w:pPr>
    </w:p>
    <w:p>
      <w:pPr>
        <w:pStyle w:val="Heading1"/>
      </w:pPr>
      <w:r>
        <w:t xml:space="preserve">Part 2: Regulatory drivers</w:t>
      </w:r>
    </w:p>
    <w:p>
      <w:pPr>
        <w:spacing w:after="120" w:before="0" w:line="276"/>
      </w:pPr>
      <w:r>
        <w:t xml:space="preserve">The tables below list the rules that create paid work, with status labels. The final column states the consulting opportunity, with particular attention to obligations that make companies hire outside help (first-time reporting, assurance, new data types and deadlines the company cannot meet with existing staff).</w:t>
      </w:r>
    </w:p>
    <w:p>
      <w:pPr>
        <w:pStyle w:val="Heading2"/>
      </w:pPr>
      <w:r>
        <w:t xml:space="preserve">2.1 Singapore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77"/>
        <w:gridCol w:w="1273"/>
        <w:gridCol w:w="2010"/>
        <w:gridCol w:w="1943"/>
        <w:gridCol w:w="2680"/>
        <w:gridCol w:w="1407"/>
        <w:gridCol w:w="3288"/>
      </w:tblGrid>
      <w:tr>
        <w:trPr>
          <w:cantSplit/>
          <w:tblHeader/>
        </w:trPr>
        <w:tc>
          <w:tcPr>
            <w:tcW w:type="dxa" w:w="207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Regulation or programme</w:t>
            </w:r>
          </w:p>
        </w:tc>
        <w:tc>
          <w:tcPr>
            <w:tcW w:type="dxa" w:w="127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Authority</w:t>
            </w:r>
          </w:p>
        </w:tc>
        <w:tc>
          <w:tcPr>
            <w:tcW w:type="dxa" w:w="20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Who is affected</w:t>
            </w:r>
          </w:p>
        </w:tc>
        <w:tc>
          <w:tcPr>
            <w:tcW w:type="dxa" w:w="194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Effective date</w:t>
            </w:r>
          </w:p>
        </w:tc>
        <w:tc>
          <w:tcPr>
            <w:tcW w:type="dxa" w:w="268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Reporting requirements</w:t>
            </w:r>
          </w:p>
        </w:tc>
        <w:tc>
          <w:tcPr>
            <w:tcW w:type="dxa" w:w="14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SMEs</w:t>
            </w:r>
          </w:p>
        </w:tc>
        <w:tc>
          <w:tcPr>
            <w:tcW w:type="dxa" w:w="328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impact and service opportunity</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SGX climate-related disclosures (ISSB-based) </w:t>
            </w:r>
            <w:r>
              <w:rPr>
                <w:b/>
                <w:bCs/>
                <w:color w:val="1A7F37"/>
                <w:sz w:val="12"/>
                <w:szCs w:val="12"/>
              </w:rPr>
              <w:t xml:space="preserve">[In force]</w:t>
            </w:r>
            <w:r>
              <w:rPr>
                <w:b/>
                <w:bCs/>
                <w:sz w:val="15"/>
                <w:szCs w:val="15"/>
              </w:rPr>
              <w:t xml:space="preserve">/</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SGX RegCo, ACRA</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All 643 listed issuers, in three tiers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FY2025 (all). Full CRD: STI FY2025, non-STI ≥S$1bn FY2028, &lt;S$1bn FY2030. Scope 3: STI FY2026, voluntary for others. Limited assurance of Scope 1-2: FY2029 </w:t>
            </w:r>
            <w:r>
              <w:rPr>
                <w:color w:val="57606A"/>
                <w:sz w:val="15"/>
                <w:szCs w:val="15"/>
                <w:vertAlign w:val="superscript"/>
              </w:rPr>
              <w:t xml:space="preserve">[1,2]</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IFRS S2-based climate disclosures in the annual sustainability report; GHG Protocol inventories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 STI Scope 3 pulls supplier data</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data controls now; ISSB gap assessments for ≥S$1bn caps in 2026-27 so they can dry-run FY2027; assurance readiness in 2027-28. Big Four dominate STI; mid-caps are open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Large non-listed company climate reporting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ACRA</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≥S$1bn and total assets ≥S$0.5bn</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FY2030 (deferred from FY2027) </w:t>
            </w:r>
            <w:r>
              <w:rPr>
                <w:color w:val="57606A"/>
                <w:sz w:val="15"/>
                <w:szCs w:val="15"/>
                <w:vertAlign w:val="superscript"/>
              </w:rPr>
              <w:t xml:space="preserve">[1]</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ISSB-based climate disclosures incl. Scope 1-2</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Long-dated. Early movers will buy readiness in 2028-29; useful as a pipeline for later years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Singapore Sustainability Disclosure Standards (SFRS S1, S2) </w:t>
            </w:r>
            <w:r>
              <w:rPr>
                <w:b/>
                <w:bCs/>
                <w:color w:val="B42318"/>
                <w:sz w:val="12"/>
                <w:szCs w:val="12"/>
              </w:rPr>
              <w:t xml:space="preserve">[Proposed]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ACRA Interim Sustainability Standards Committee</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Entities that ACRA and SGX require to report</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Consultation 27 Jul to 25 Oct 2026 </w:t>
            </w:r>
            <w:r>
              <w:rPr>
                <w:color w:val="57606A"/>
                <w:sz w:val="15"/>
                <w:szCs w:val="15"/>
                <w:vertAlign w:val="superscript"/>
              </w:rPr>
              <w:t xml:space="preserve">[4]</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S2 mandatory; S1 voluntary (proposed)</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Training and mapping work in 2027 once final; S1 voluntary means limited extra demand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tax (Carbon Pricing Act)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NEA, NCCS</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Facilities ≥25,000 tCO2e (taxable); ≥2,000 tCO2e (reportable)</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S$45/t in 2026-27; S$50-80/t by 2030 </w:t>
            </w:r>
            <w:r>
              <w:rPr>
                <w:color w:val="57606A"/>
                <w:sz w:val="15"/>
                <w:szCs w:val="15"/>
                <w:vertAlign w:val="superscript"/>
              </w:rPr>
              <w:t xml:space="preserve">[5]</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Annual emissions report and verified MRV; ICC offsets up to 5%</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Indirect via energy costs and customer data requests</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Abatement cost curves, MRV support, international credit strategy. Specialist niche; best reached via subcontracting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Sustainability Reporting Grant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Enterprise Singapore</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SGX-listed companies; non-listed with revenue ≥S$100m</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Open; SME rate 50% for applications 1 Apr 2026 to 31 Oct 2027 </w:t>
            </w:r>
            <w:r>
              <w:rPr>
                <w:color w:val="57606A"/>
                <w:sz w:val="15"/>
                <w:szCs w:val="15"/>
                <w:vertAlign w:val="superscript"/>
              </w:rPr>
              <w:t xml:space="preserve">[6]</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Funds first sustainability report with ISSB-based climate disclosures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Direct (SME rate 70% to Mar 2026, then 50%)</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Grant-led selling: clients can claim external consultancy, assurance, software and training costs. Use the grant as the hook in proposals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Enterprise Sustainability Programme and EDGE grant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Enterprise Singapore</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SMEs and larger local enterprises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ESP ongoing (S$180m, 6,000 firms) </w:t>
            </w:r>
            <w:r>
              <w:rPr>
                <w:color w:val="57606A"/>
                <w:sz w:val="15"/>
                <w:szCs w:val="15"/>
                <w:vertAlign w:val="superscript"/>
              </w:rPr>
              <w:t xml:space="preserve">[7]</w:t>
            </w:r>
            <w:r>
              <w:rPr>
                <w:b w:val="false"/>
                <w:bCs w:val="false"/>
                <w:sz w:val="15"/>
                <w:szCs w:val="15"/>
              </w:rPr>
              <w:t xml:space="preserve">; EDGE from 30 Sep 2026 (up to 70% for SMEs, S$100k a year cap) </w:t>
            </w:r>
            <w:r>
              <w:rPr>
                <w:color w:val="57606A"/>
                <w:sz w:val="15"/>
                <w:szCs w:val="15"/>
                <w:vertAlign w:val="superscript"/>
              </w:rPr>
              <w:t xml:space="preserve">[8]</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None (support schemes)</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Direct</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Co-funded SME carbon footprints, sustainability strategies and capability projects; trade associations run sector cohorts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MAS Guidelines on Transition Planning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MAS</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Banks, insurers, asset managers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Published 5 Mar 2026 </w:t>
            </w:r>
            <w:r>
              <w:rPr>
                <w:color w:val="57606A"/>
                <w:sz w:val="15"/>
                <w:szCs w:val="15"/>
                <w:vertAlign w:val="superscript"/>
              </w:rPr>
              <w:t xml:space="preserve">[10]</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Supervisory expectations for transition planning, client engagement and data governance</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 borrowers asked for data and plans</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Corporate transition plans and emissions baselines for bank borrowers; FI portfolio data work is Big Four territory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SAF levy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CAAS</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Airlines, passengers, cargo, business aviation</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Tickets sold from 1 Oct 2026 for flights from 1 Jan 2027; cargo from 2028; 1% SAF target from 2027 </w:t>
            </w:r>
            <w:r>
              <w:rPr>
                <w:color w:val="57606A"/>
                <w:sz w:val="15"/>
                <w:szCs w:val="15"/>
                <w:vertAlign w:val="superscript"/>
              </w:rPr>
              <w:t xml:space="preserve">[9]</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Levy collection; reporting by airlines</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Indirect (freight forwarders)</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Niche: aviation and logistics emissions accounting for Scope 3 category 4 and 6 </w:t>
            </w:r>
            <w:r>
              <w:rPr>
                <w:b/>
                <w:bCs/>
                <w:color w:val="0F7A55"/>
                <w:sz w:val="12"/>
                <w:szCs w:val="12"/>
              </w:rPr>
              <w:t xml:space="preserve">[Inference]</w:t>
            </w:r>
          </w:p>
        </w:tc>
      </w:tr>
    </w:tbl>
    <w:p>
      <w:pPr>
        <w:pStyle w:val="Heading2"/>
      </w:pPr>
      <w:r>
        <w:t xml:space="preserve">2.2 Malaysia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77"/>
        <w:gridCol w:w="1273"/>
        <w:gridCol w:w="2010"/>
        <w:gridCol w:w="1943"/>
        <w:gridCol w:w="2680"/>
        <w:gridCol w:w="1407"/>
        <w:gridCol w:w="3288"/>
      </w:tblGrid>
      <w:tr>
        <w:trPr>
          <w:cantSplit/>
          <w:tblHeader/>
        </w:trPr>
        <w:tc>
          <w:tcPr>
            <w:tcW w:type="dxa" w:w="207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Regulation or programme</w:t>
            </w:r>
          </w:p>
        </w:tc>
        <w:tc>
          <w:tcPr>
            <w:tcW w:type="dxa" w:w="127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Authority</w:t>
            </w:r>
          </w:p>
        </w:tc>
        <w:tc>
          <w:tcPr>
            <w:tcW w:type="dxa" w:w="20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Who is affected</w:t>
            </w:r>
          </w:p>
        </w:tc>
        <w:tc>
          <w:tcPr>
            <w:tcW w:type="dxa" w:w="194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Effective date</w:t>
            </w:r>
          </w:p>
        </w:tc>
        <w:tc>
          <w:tcPr>
            <w:tcW w:type="dxa" w:w="268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Reporting requirements</w:t>
            </w:r>
          </w:p>
        </w:tc>
        <w:tc>
          <w:tcPr>
            <w:tcW w:type="dxa" w:w="14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SMEs</w:t>
            </w:r>
          </w:p>
        </w:tc>
        <w:tc>
          <w:tcPr>
            <w:tcW w:type="dxa" w:w="328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impact and service opportunity</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NSRF: IFRS S1 and S2 via Bursa Listing Requirements </w:t>
            </w:r>
            <w:r>
              <w:rPr>
                <w:b/>
                <w:bCs/>
                <w:color w:val="1A7F37"/>
                <w:sz w:val="12"/>
                <w:szCs w:val="12"/>
              </w:rPr>
              <w:t xml:space="preserve">[In force]</w:t>
            </w:r>
            <w:r>
              <w:rPr>
                <w:b/>
                <w:bCs/>
                <w:sz w:val="15"/>
                <w:szCs w:val="15"/>
              </w:rPr>
              <w:t xml:space="preserve">/</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 (ACSR), Bursa Malaysia</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1: Main Market, mkt cap ≥RM2bn (about 130 firms </w:t>
            </w:r>
            <w:r>
              <w:rPr>
                <w:b/>
                <w:bCs/>
                <w:color w:val="A35200"/>
                <w:sz w:val="12"/>
                <w:szCs w:val="12"/>
              </w:rPr>
              <w:t xml:space="preserve">[Estimate]</w:t>
            </w:r>
            <w:r>
              <w:rPr>
                <w:b w:val="false"/>
                <w:bCs w:val="false"/>
                <w:sz w:val="15"/>
                <w:szCs w:val="15"/>
              </w:rPr>
              <w:t xml:space="preserve">). Group 2: other Main Market. Group 3: ACE Market and large non-listed (revenue ≥RM2bn)</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G1 FY2025; G2 FY2026; G3 FY2027 </w:t>
            </w:r>
            <w:r>
              <w:rPr>
                <w:color w:val="57606A"/>
                <w:sz w:val="15"/>
                <w:szCs w:val="15"/>
                <w:vertAlign w:val="superscript"/>
              </w:rPr>
              <w:t xml:space="preserve">[20,21]</w:t>
            </w:r>
            <w:r>
              <w:rPr>
                <w:b w:val="false"/>
                <w:bCs w:val="false"/>
                <w:sz w:val="15"/>
                <w:szCs w:val="15"/>
              </w:rPr>
              <w:t xml:space="preserve">. Climate-first relief: 2 years (G1, G2), 3 years (G3)</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IFRS S2 first, then S1; three years of comparative data for indicators; Scope 3: G1 FY2027, G2 FY2028, G3 FY2030 </w:t>
            </w:r>
            <w:r>
              <w:rPr>
                <w:color w:val="57606A"/>
                <w:sz w:val="15"/>
                <w:szCs w:val="15"/>
                <w:vertAlign w:val="superscript"/>
              </w:rPr>
              <w:t xml:space="preserve">[89,90]</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 Scope 3 and customer data requests from FY2027</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The core opportunity. Gap assessments, first IFRS S2 reports, scenario analysis, materiality, data systems. G2 (several hundred mid and small caps) is the best fit for 2026-27; G3 for 2027-28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Assurance of Scope 1 and 2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SC, Audit Oversight Board</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NSRF reporters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Reasonable assurance targeted: G1 FY2027, G2 FY2028, G3 FY2029 </w:t>
            </w:r>
            <w:r>
              <w:rPr>
                <w:color w:val="57606A"/>
                <w:sz w:val="15"/>
                <w:szCs w:val="15"/>
                <w:vertAlign w:val="superscript"/>
              </w:rPr>
              <w:t xml:space="preserve">[20]</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Reasonable (not limited) assurance on Scope 1-2</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Readiness work: inventory boundaries, emission factors, evidence trails, internal controls, dry runs. Independence rules stop assurers from doing it themselves, so they refer it out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Large non-listed company reporting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 SSM</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Non-listed groups with revenue ≥RM2bn for two consecutive years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S2 from FY2027, S1 from FY2028, Scope 3 FY2030 </w:t>
            </w:r>
            <w:r>
              <w:rPr>
                <w:color w:val="57606A"/>
                <w:sz w:val="15"/>
                <w:szCs w:val="15"/>
                <w:vertAlign w:val="superscript"/>
              </w:rPr>
              <w:t xml:space="preserve">[89]</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Same as Group 3</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Under-served: family conglomerates, GLC subsidiaries and MNC subsidiaries with no in-house ESG team. Good fit for an outsourced ESG function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tax on iron, steel and energy </w:t>
            </w:r>
            <w:r>
              <w:rPr>
                <w:b/>
                <w:bCs/>
                <w:color w:val="B42318"/>
                <w:sz w:val="12"/>
                <w:szCs w:val="12"/>
              </w:rPr>
              <w:t xml:space="preserve">[Proposed]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MOF, NRES</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Iron and steel; energy</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Announced for 2026 </w:t>
            </w:r>
            <w:r>
              <w:rPr>
                <w:color w:val="57606A"/>
                <w:sz w:val="15"/>
                <w:szCs w:val="15"/>
                <w:vertAlign w:val="superscript"/>
              </w:rPr>
              <w:t xml:space="preserve">[24]</w:t>
            </w:r>
            <w:r>
              <w:rPr>
                <w:b w:val="false"/>
                <w:bCs w:val="false"/>
                <w:sz w:val="15"/>
                <w:szCs w:val="15"/>
              </w:rPr>
              <w:t xml:space="preserve">; put on hold 21 Apr 2026 </w:t>
            </w:r>
            <w:r>
              <w:rPr>
                <w:color w:val="57606A"/>
                <w:sz w:val="15"/>
                <w:szCs w:val="15"/>
                <w:vertAlign w:val="superscript"/>
              </w:rPr>
              <w:t xml:space="preserve">[23]</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Mechanism not released</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Delay removes urgency, but CBAM and NSRF still need installation-level emissions data. Sell baseline and CBAM data now, abatement later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National Carbon Market Policy and Climate Change Bill </w:t>
            </w:r>
            <w:r>
              <w:rPr>
                <w:b/>
                <w:bCs/>
                <w:color w:val="1A7F37"/>
                <w:sz w:val="12"/>
                <w:szCs w:val="12"/>
              </w:rPr>
              <w:t xml:space="preserve">[In force]</w:t>
            </w:r>
            <w:r>
              <w:rPr>
                <w:b/>
                <w:bCs/>
                <w:sz w:val="15"/>
                <w:szCs w:val="15"/>
              </w:rPr>
              <w:t xml:space="preserve">/</w:t>
            </w:r>
            <w:r>
              <w:rPr>
                <w:b/>
                <w:bCs/>
                <w:color w:val="B42318"/>
                <w:sz w:val="12"/>
                <w:szCs w:val="12"/>
              </w:rPr>
              <w:t xml:space="preserve">[Proposed]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NRES</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 emitters (thresholds to be set), project developers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NCMP launched Apr 2026 </w:t>
            </w:r>
            <w:r>
              <w:rPr>
                <w:color w:val="57606A"/>
                <w:sz w:val="15"/>
                <w:szCs w:val="15"/>
                <w:vertAlign w:val="superscript"/>
              </w:rPr>
              <w:t xml:space="preserve">[25]</w:t>
            </w:r>
            <w:r>
              <w:rPr>
                <w:b w:val="false"/>
                <w:bCs w:val="false"/>
                <w:sz w:val="15"/>
                <w:szCs w:val="15"/>
              </w:rPr>
              <w:t xml:space="preserve">; Bill slated for 2026 tabling </w:t>
            </w:r>
            <w:r>
              <w:rPr>
                <w:color w:val="57606A"/>
                <w:sz w:val="15"/>
                <w:szCs w:val="15"/>
                <w:vertAlign w:val="superscript"/>
              </w:rPr>
              <w:t xml:space="preserve">[26]</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MRV system; emissions thresholds for an ETS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MRV readiness for large emitters from 2027; carbon credit project advisory is a specialist field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tax deduction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MOF, LHDN</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Companies, Bursa issuers, MSMEs, banks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YA2024 to YA2027; up to RM50,000 per year </w:t>
            </w:r>
            <w:r>
              <w:rPr>
                <w:color w:val="57606A"/>
                <w:sz w:val="15"/>
                <w:szCs w:val="15"/>
                <w:vertAlign w:val="superscript"/>
              </w:rPr>
              <w:t xml:space="preserve">[30]</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None</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Direct</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Lets you frame SME and mid-cap packages as tax-deductible; covers consultants, GHG software, verification and training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SEDG v2, GHG calculator, JC3 SME Focus Group, CGC ESG guarantee </w:t>
            </w:r>
            <w:r>
              <w:rPr>
                <w:b/>
                <w:bCs/>
                <w:color w:val="57606A"/>
                <w:sz w:val="12"/>
                <w:szCs w:val="12"/>
              </w:rPr>
              <w:t xml:space="preserve">[Voluntary]</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Capital Markets Malaysia, BNM, banks, CGC</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SMEs in supply chains; bank borrowers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SEDG 2023; v2 aligned to ASEAN guide 2025; calculator Jul 2025 </w:t>
            </w:r>
            <w:r>
              <w:rPr>
                <w:color w:val="57606A"/>
                <w:sz w:val="15"/>
                <w:szCs w:val="15"/>
                <w:vertAlign w:val="superscript"/>
              </w:rPr>
              <w:t xml:space="preserve">[28,29]</w:t>
            </w:r>
            <w:r>
              <w:rPr>
                <w:b w:val="false"/>
                <w:bCs w:val="false"/>
                <w:sz w:val="15"/>
                <w:szCs w:val="15"/>
              </w:rPr>
              <w:t xml:space="preserve">; RM1bn CGC guarantee </w:t>
            </w:r>
            <w:r>
              <w:rPr>
                <w:color w:val="57606A"/>
                <w:sz w:val="15"/>
                <w:szCs w:val="15"/>
                <w:vertAlign w:val="superscript"/>
              </w:rPr>
              <w:t xml:space="preserve">[34]</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Basic, intermediate and advanced disclosures; Scope 1-2</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Direct</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Standard SME formats create a repeatable product: SEDG Basic plus Scope 1-2 plus policy pack. Banks need delivery partners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i-ESG framework </w:t>
            </w:r>
            <w:r>
              <w:rPr>
                <w:b/>
                <w:bCs/>
                <w:color w:val="57606A"/>
                <w:sz w:val="12"/>
                <w:szCs w:val="12"/>
              </w:rPr>
              <w:t xml:space="preserve">[Voluntary]</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MITI</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Manufacturers, especially MSMEs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Phase 1 2024-2026; Phase 2 (accelerate) 2027-2030 </w:t>
            </w:r>
            <w:r>
              <w:rPr>
                <w:color w:val="57606A"/>
                <w:sz w:val="15"/>
                <w:szCs w:val="15"/>
                <w:vertAlign w:val="superscript"/>
              </w:rPr>
              <w:t xml:space="preserve">[31]</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Readiness assessments (iESGReady, iESGStart)</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Direct</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Manufacturing ESG readiness programmes through FMM and state agencies </w:t>
            </w:r>
            <w:r>
              <w:rPr>
                <w:b/>
                <w:bCs/>
                <w:color w:val="6B4FA0"/>
                <w:sz w:val="12"/>
                <w:szCs w:val="12"/>
              </w:rPr>
              <w:t xml:space="preserve">[Analyst view]</w:t>
            </w:r>
          </w:p>
        </w:tc>
      </w:tr>
    </w:tbl>
    <w:p>
      <w:pPr>
        <w:pStyle w:val="Heading2"/>
      </w:pPr>
      <w:r>
        <w:t xml:space="preserve">2.3 Indonesia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77"/>
        <w:gridCol w:w="1273"/>
        <w:gridCol w:w="2010"/>
        <w:gridCol w:w="1943"/>
        <w:gridCol w:w="2680"/>
        <w:gridCol w:w="1407"/>
        <w:gridCol w:w="3288"/>
      </w:tblGrid>
      <w:tr>
        <w:trPr>
          <w:cantSplit/>
          <w:tblHeader/>
        </w:trPr>
        <w:tc>
          <w:tcPr>
            <w:tcW w:type="dxa" w:w="207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Regulation or programme</w:t>
            </w:r>
          </w:p>
        </w:tc>
        <w:tc>
          <w:tcPr>
            <w:tcW w:type="dxa" w:w="127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Authority</w:t>
            </w:r>
          </w:p>
        </w:tc>
        <w:tc>
          <w:tcPr>
            <w:tcW w:type="dxa" w:w="20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Who is affected</w:t>
            </w:r>
          </w:p>
        </w:tc>
        <w:tc>
          <w:tcPr>
            <w:tcW w:type="dxa" w:w="194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Effective date</w:t>
            </w:r>
          </w:p>
        </w:tc>
        <w:tc>
          <w:tcPr>
            <w:tcW w:type="dxa" w:w="268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Reporting requirements</w:t>
            </w:r>
          </w:p>
        </w:tc>
        <w:tc>
          <w:tcPr>
            <w:tcW w:type="dxa" w:w="14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SMEs</w:t>
            </w:r>
          </w:p>
        </w:tc>
        <w:tc>
          <w:tcPr>
            <w:tcW w:type="dxa" w:w="328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impact and service opportunity</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POJK 51/2017 sustainability report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OJK</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Financial institutions, issuers, public companies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Phased 2019-2025; all in scope now</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Annual sustainability report (narrative, OJK format)</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Commoditised report writing today; the upgrade to PSPK is where value moves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PSPK 1 and PSPK 2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DSK IAI (Indonesian Institute of Accountants)</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Entities required by regulators to apply them</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Effective 1 Jan 2027 </w:t>
            </w:r>
            <w:r>
              <w:rPr>
                <w:color w:val="57606A"/>
                <w:sz w:val="15"/>
                <w:szCs w:val="15"/>
                <w:vertAlign w:val="superscript"/>
              </w:rPr>
              <w:t xml:space="preserve">[40,43]</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IFRS S1 and S2-based general and climate disclosures</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ISSB readiness, climate risk and scenario analysis, GHG inventories to PSPK quality, training in Bahasa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OJK draft regulation revising POJK 51 </w:t>
            </w:r>
            <w:r>
              <w:rPr>
                <w:b/>
                <w:bCs/>
                <w:color w:val="B42318"/>
                <w:sz w:val="12"/>
                <w:szCs w:val="12"/>
              </w:rPr>
              <w:t xml:space="preserve">[Proposed]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OJK</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Wave 1: Main Board issuers, large banks, IDX. Later: other issuers, debt issuers, smaller banks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Phased FY2027 to FY2029 (first wave reports published in 2028) </w:t>
            </w:r>
            <w:r>
              <w:rPr>
                <w:color w:val="57606A"/>
                <w:sz w:val="15"/>
                <w:szCs w:val="15"/>
                <w:vertAlign w:val="superscript"/>
              </w:rPr>
              <w:t xml:space="preserve">[41,42]</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PSPK-based sustainability report; mandatory independent assurance; climate transition plan</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The largest new wave in the study. Companies need 2026-27 gap work and FY2027 data systems; assurance-readiness from 2027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Ministry of Industry GHG reporting (Circular 2/2025, SIINas)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Kemenperin</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Industrial companies and industrial estate operators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 force from 2025 </w:t>
            </w:r>
            <w:r>
              <w:rPr>
                <w:color w:val="57606A"/>
                <w:sz w:val="15"/>
                <w:szCs w:val="15"/>
                <w:vertAlign w:val="superscript"/>
              </w:rPr>
              <w:t xml:space="preserve">[49]</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GHG and air pollutant data, self-assessment, via SIINas</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Direct for industrial SMEs</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Volume demand for basic GHG inventories in cement, steel, chemicals, pulp and paper, textiles, F&amp;B and others in the industrial decarbonisation roadmap </w:t>
            </w:r>
            <w:r>
              <w:rPr>
                <w:color w:val="57606A"/>
                <w:sz w:val="15"/>
                <w:szCs w:val="15"/>
                <w:vertAlign w:val="superscript"/>
              </w:rPr>
              <w:t xml:space="preserve">[50]</w:t>
            </w:r>
            <w:r>
              <w:rPr>
                <w:b w:val="false"/>
                <w:bCs w:val="false"/>
                <w:sz w:val="15"/>
                <w:szCs w:val="15"/>
              </w:rPr>
              <w:t xml:space="preserve">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Presidential Regulation 110/2025 on carbon economic value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Coordinating and line ministries</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Regulated installations, project developers, buyers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Signed 10 Oct 2025 </w:t>
            </w:r>
            <w:r>
              <w:rPr>
                <w:color w:val="57606A"/>
                <w:sz w:val="15"/>
                <w:szCs w:val="15"/>
                <w:vertAlign w:val="superscript"/>
              </w:rPr>
              <w:t xml:space="preserve">[44]</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National carbon registry (SRUK), domestic and international trading</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MRV and carbon credit advisory; specialist and developer-dominated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Power-sector ETS </w:t>
            </w:r>
            <w:r>
              <w:rPr>
                <w:b/>
                <w:bCs/>
                <w:color w:val="1A7F37"/>
                <w:sz w:val="12"/>
                <w:szCs w:val="12"/>
              </w:rPr>
              <w:t xml:space="preserve">[In force]</w:t>
            </w:r>
            <w:r>
              <w:rPr>
                <w:b/>
                <w:bCs/>
                <w:sz w:val="15"/>
                <w:szCs w:val="15"/>
              </w:rPr>
              <w:t xml:space="preserve">/</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ESDM</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Coal plants; gas plants (2025-27); all fossil plants incl. captive (from 2027)</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2023 onwards; expansion 2027 </w:t>
            </w:r>
            <w:r>
              <w:rPr>
                <w:color w:val="57606A"/>
                <w:sz w:val="15"/>
                <w:szCs w:val="15"/>
                <w:vertAlign w:val="superscript"/>
              </w:rPr>
              <w:t xml:space="preserve">[45]</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Emissions intensity caps and trading</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Captive power at smelters and industrial parks will need MRV support from 2027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PROPER rating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Ministry of Environment</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Companies with significant environmental impact (thousands)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Annual</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Environmental performance documentation; innovation for Green/Gold ratings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Some</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Decarbonisation and innovation documentation; overlaps with GHG work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TKBI taxonomy v1-v3 </w:t>
            </w:r>
            <w:r>
              <w:rPr>
                <w:b/>
                <w:bCs/>
                <w:color w:val="57606A"/>
                <w:sz w:val="12"/>
                <w:szCs w:val="12"/>
              </w:rPr>
              <w:t xml:space="preserve">[Voluntary]</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OJK</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Financial institutions, issuers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v2 Feb 2025; v3 Mar 2026 </w:t>
            </w:r>
            <w:r>
              <w:rPr>
                <w:color w:val="57606A"/>
                <w:sz w:val="15"/>
                <w:szCs w:val="15"/>
                <w:vertAlign w:val="superscript"/>
              </w:rPr>
              <w:t xml:space="preserve">[51]</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Reference for green indicators in sustainability reports</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Indirect</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Taxonomy alignment assessments for borrowers and bond issuers </w:t>
            </w:r>
            <w:r>
              <w:rPr>
                <w:b/>
                <w:bCs/>
                <w:color w:val="0F7A55"/>
                <w:sz w:val="12"/>
                <w:szCs w:val="12"/>
              </w:rPr>
              <w:t xml:space="preserve">[Inference]</w:t>
            </w:r>
          </w:p>
        </w:tc>
      </w:tr>
    </w:tbl>
    <w:p>
      <w:pPr>
        <w:pStyle w:val="Heading2"/>
      </w:pPr>
      <w:r>
        <w:t xml:space="preserve">2.4 Hong Kong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77"/>
        <w:gridCol w:w="1273"/>
        <w:gridCol w:w="2010"/>
        <w:gridCol w:w="1943"/>
        <w:gridCol w:w="2680"/>
        <w:gridCol w:w="1407"/>
        <w:gridCol w:w="3288"/>
      </w:tblGrid>
      <w:tr>
        <w:trPr>
          <w:cantSplit/>
          <w:tblHeader/>
        </w:trPr>
        <w:tc>
          <w:tcPr>
            <w:tcW w:type="dxa" w:w="207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Regulation or programme</w:t>
            </w:r>
          </w:p>
        </w:tc>
        <w:tc>
          <w:tcPr>
            <w:tcW w:type="dxa" w:w="127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Authority</w:t>
            </w:r>
          </w:p>
        </w:tc>
        <w:tc>
          <w:tcPr>
            <w:tcW w:type="dxa" w:w="20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Who is affected</w:t>
            </w:r>
          </w:p>
        </w:tc>
        <w:tc>
          <w:tcPr>
            <w:tcW w:type="dxa" w:w="194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Effective date</w:t>
            </w:r>
          </w:p>
        </w:tc>
        <w:tc>
          <w:tcPr>
            <w:tcW w:type="dxa" w:w="268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Reporting requirements</w:t>
            </w:r>
          </w:p>
        </w:tc>
        <w:tc>
          <w:tcPr>
            <w:tcW w:type="dxa" w:w="14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SMEs</w:t>
            </w:r>
          </w:p>
        </w:tc>
        <w:tc>
          <w:tcPr>
            <w:tcW w:type="dxa" w:w="328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impact and service opportunity</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HKEX ESG Reporting Code, Part D climate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SEHK (HKEX)</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All 2,700+ issuers; LargeCap constituents mandatory in full</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mandatory FY2025; LargeCap full climate incl. Scope 3 FY2026; others comply-or-explain </w:t>
            </w:r>
            <w:r>
              <w:rPr>
                <w:color w:val="57606A"/>
                <w:sz w:val="15"/>
                <w:szCs w:val="15"/>
                <w:vertAlign w:val="superscript"/>
              </w:rPr>
              <w:t xml:space="preserve">[66]</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IFRS S2-based climate disclosures; Scope 3 with reasonable-information relief</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3 inventories for LargeCap; second-year quality upgrades for Main Board issuers; scenario analysis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Roadmap and HKFRS S1/S2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FSTB, HKICPA, HKEX</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Publicly accountable entities; significant non-listed financial institutions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Full adoption for large PAEs no later than 2028; HKEX consultation in 2027 </w:t>
            </w:r>
            <w:r>
              <w:rPr>
                <w:color w:val="57606A"/>
                <w:sz w:val="15"/>
                <w:szCs w:val="15"/>
                <w:vertAlign w:val="superscript"/>
              </w:rPr>
              <w:t xml:space="preserve">[62]</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HKFRS S1 (all sustainability topics) and S2</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S1 readiness (non-climate risks and opportunities) for LargeCap and MidCap in 2027-28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Sustainability assurance framework </w:t>
            </w:r>
            <w:r>
              <w:rPr>
                <w:b/>
                <w:bCs/>
                <w:color w:val="B42318"/>
                <w:sz w:val="12"/>
                <w:szCs w:val="12"/>
              </w:rPr>
              <w:t xml:space="preserve">[Proposed]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AFRC</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Entities reporting under HK standards; assurance providers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Consultation closed 30 Mar 2026; limited assurance on Scope 1-2 from 3rd year of mandatory reporting, all disclosures from 5th year </w:t>
            </w:r>
            <w:r>
              <w:rPr>
                <w:color w:val="57606A"/>
                <w:sz w:val="15"/>
                <w:szCs w:val="15"/>
                <w:vertAlign w:val="superscript"/>
              </w:rPr>
              <w:t xml:space="preserve">[63,64]</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Assurance under HKSSA 5000 by registered providers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Readiness work for issuers; a chance to partner with accredited non-CPA providers. Becoming a registered provider yourself would need a local entity and quality system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HKMA climate supervision and CASG questionnaire </w:t>
            </w:r>
            <w:r>
              <w:rPr>
                <w:b/>
                <w:bCs/>
                <w:color w:val="57606A"/>
                <w:sz w:val="12"/>
                <w:szCs w:val="12"/>
              </w:rPr>
              <w:t xml:space="preserve">[Voluntary]</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HKMA, CASG</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Banks; borrowers including SMEs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Questionnaire available via the Sustainability Disclosure e-portal </w:t>
            </w:r>
            <w:r>
              <w:rPr>
                <w:color w:val="57606A"/>
                <w:sz w:val="15"/>
                <w:szCs w:val="15"/>
                <w:vertAlign w:val="superscript"/>
              </w:rPr>
              <w:t xml:space="preserve">[71]</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Three versions for micro, small and medium firms</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Direct</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Questionnaire-completion and Scope 1-2 packages for bank borrowers; banks may refer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Buildings Energy Efficiency (Amendment) Ordinance 2025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EMSD</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Owners of 11 building categories incl. commercial buildings and data centres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Staged 20 Sep 2025 and 20 Sep 2026 </w:t>
            </w:r>
            <w:r>
              <w:rPr>
                <w:color w:val="57606A"/>
                <w:sz w:val="15"/>
                <w:szCs w:val="15"/>
                <w:vertAlign w:val="superscript"/>
              </w:rPr>
              <w:t xml:space="preserve">[74]</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Energy audits every 5 years (was 10); disclosure of technical data</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Some (owners)</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Energy data feeds Scope 2 and decarbonisation roadmaps for property owners; partner with registered energy assessors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Green and Sustainable Finance Grant Scheme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HKMA</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Issuers of green, sustainable and transition bonds and loans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Extended to 2027; refined 24 Apr 2026 </w:t>
            </w:r>
            <w:r>
              <w:rPr>
                <w:color w:val="57606A"/>
                <w:sz w:val="15"/>
                <w:szCs w:val="15"/>
                <w:vertAlign w:val="superscript"/>
              </w:rPr>
              <w:t xml:space="preserve">[70]</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External review and reporting costs subsidised</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Framework drafting and post-issuance impact reports; external reviewers dominate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Mainland China sustainability disclosure (exchange guidelines and MOF standards) </w:t>
            </w:r>
            <w:r>
              <w:rPr>
                <w:b/>
                <w:bCs/>
                <w:color w:val="1A7F37"/>
                <w:sz w:val="12"/>
                <w:szCs w:val="12"/>
              </w:rPr>
              <w:t xml:space="preserve">[In force]</w:t>
            </w:r>
            <w:r>
              <w:rPr>
                <w:b/>
                <w:bCs/>
                <w:sz w:val="15"/>
                <w:szCs w:val="15"/>
              </w:rPr>
              <w:t xml:space="preserve">/</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CSRC, SSE, SZSE, MOF</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A+H dual-listed issuers; mainland subsidiaries</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First mandatory reports 2026 (457 companies); climate standard expected mandatory for listed from 2027 </w:t>
            </w:r>
            <w:r>
              <w:rPr>
                <w:color w:val="57606A"/>
                <w:sz w:val="15"/>
                <w:szCs w:val="15"/>
                <w:vertAlign w:val="superscript"/>
              </w:rPr>
              <w:t xml:space="preserve">[78]</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Double materiality; local carbon accounting rules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Dual-framework mapping for A+H issuers; needs Mandarin </w:t>
            </w:r>
            <w:r>
              <w:rPr>
                <w:b/>
                <w:bCs/>
                <w:color w:val="6B4FA0"/>
                <w:sz w:val="12"/>
                <w:szCs w:val="12"/>
              </w:rPr>
              <w:t xml:space="preserve">[Analyst view]</w:t>
            </w:r>
          </w:p>
        </w:tc>
      </w:tr>
    </w:tbl>
    <w:p>
      <w:pPr>
        <w:pStyle w:val="Heading2"/>
      </w:pPr>
      <w:r>
        <w:t xml:space="preserve">2.5 External rules that reach these markets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077"/>
        <w:gridCol w:w="1273"/>
        <w:gridCol w:w="2010"/>
        <w:gridCol w:w="1943"/>
        <w:gridCol w:w="2680"/>
        <w:gridCol w:w="1407"/>
        <w:gridCol w:w="3288"/>
      </w:tblGrid>
      <w:tr>
        <w:trPr>
          <w:cantSplit/>
          <w:tblHeader/>
        </w:trPr>
        <w:tc>
          <w:tcPr>
            <w:tcW w:type="dxa" w:w="207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Regulation or programme</w:t>
            </w:r>
          </w:p>
        </w:tc>
        <w:tc>
          <w:tcPr>
            <w:tcW w:type="dxa" w:w="127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Authority</w:t>
            </w:r>
          </w:p>
        </w:tc>
        <w:tc>
          <w:tcPr>
            <w:tcW w:type="dxa" w:w="20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Who is affected</w:t>
            </w:r>
          </w:p>
        </w:tc>
        <w:tc>
          <w:tcPr>
            <w:tcW w:type="dxa" w:w="194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Effective date</w:t>
            </w:r>
          </w:p>
        </w:tc>
        <w:tc>
          <w:tcPr>
            <w:tcW w:type="dxa" w:w="268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Reporting requirements</w:t>
            </w:r>
          </w:p>
        </w:tc>
        <w:tc>
          <w:tcPr>
            <w:tcW w:type="dxa" w:w="14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SMEs</w:t>
            </w:r>
          </w:p>
        </w:tc>
        <w:tc>
          <w:tcPr>
            <w:tcW w:type="dxa" w:w="328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impact and service opportunity</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EU CBAM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European Commission</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EU importers of steel, aluminium, cement, fertilisers, hydrogen, electricity; their exporters supply the data</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Definitive phase from 1 Jan 2026; certificates on sale 1 Feb 2027; first annual declaration 30 Sep 2027; 50-tonne de minimis </w:t>
            </w:r>
            <w:r>
              <w:rPr>
                <w:color w:val="57606A"/>
                <w:sz w:val="15"/>
                <w:szCs w:val="15"/>
                <w:vertAlign w:val="superscript"/>
              </w:rPr>
              <w:t xml:space="preserve">[81]</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Embedded emissions per installation and product</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Direct for small exporters in these goods</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Installation-level emissions calculations for Malaysian and Indonesian steel, aluminium and fertiliser exporters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EU Deforestation Regulation </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European Commission</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Operators placing palm oil, rubber, wood, cocoa, coffee, soy or cattle on the EU market</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Large and medium: 30 Dec 2026; micro and small: 30 Jun 2027 </w:t>
            </w:r>
            <w:r>
              <w:rPr>
                <w:color w:val="57606A"/>
                <w:sz w:val="15"/>
                <w:szCs w:val="15"/>
                <w:vertAlign w:val="superscript"/>
              </w:rPr>
              <w:t xml:space="preserve">[82]</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Due diligence statements with geolocation and legality evidence</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Direct for smallholder supply chains</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Traceability, risk assessment and documentation for Malaysian and Indonesian palm oil, rubber and timber exporters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EU Omnibus I (CSRD and CSDDD) </w:t>
            </w:r>
            <w:r>
              <w:rPr>
                <w:b/>
                <w:bCs/>
                <w:color w:val="1A7F37"/>
                <w:sz w:val="12"/>
                <w:szCs w:val="12"/>
              </w:rPr>
              <w:t xml:space="preserve">[In force]</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EU</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EU companies &gt;1,000 employees and &gt;€450m turnover; non-EU groups with &gt;€450m EU turnover</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 force 18 Mar 2026 </w:t>
            </w:r>
            <w:r>
              <w:rPr>
                <w:color w:val="57606A"/>
                <w:sz w:val="15"/>
                <w:szCs w:val="15"/>
                <w:vertAlign w:val="superscript"/>
              </w:rPr>
              <w:t xml:space="preserve">[83]</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Value-chain requests capped at the voluntary SME standard (VSME) for firms under 1,000 employees</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Less direct demand, but VSME becomes the default format for supplier data requests from EU customers </w:t>
            </w:r>
            <w:r>
              <w:rPr>
                <w:b/>
                <w:bCs/>
                <w:color w:val="0F7A55"/>
                <w:sz w:val="12"/>
                <w:szCs w:val="12"/>
              </w:rPr>
              <w:t xml:space="preserve">[Inference]</w:t>
            </w:r>
          </w:p>
        </w:tc>
      </w:tr>
      <w:tr>
        <w:trPr>
          <w:cantSplit/>
        </w:trPr>
        <w:tc>
          <w:tcPr>
            <w:tcW w:type="dxa" w:w="20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EU Battery Regulation carbon footprint </w:t>
            </w:r>
            <w:r>
              <w:rPr>
                <w:b/>
                <w:bCs/>
                <w:color w:val="1A7F37"/>
                <w:sz w:val="12"/>
                <w:szCs w:val="12"/>
              </w:rPr>
              <w:t xml:space="preserve">[In force]</w:t>
            </w:r>
            <w:r>
              <w:rPr>
                <w:b/>
                <w:bCs/>
                <w:sz w:val="15"/>
                <w:szCs w:val="15"/>
              </w:rPr>
              <w:t xml:space="preserve">/</w:t>
            </w:r>
            <w:r>
              <w:rPr>
                <w:b/>
                <w:bCs/>
                <w:color w:val="9A6700"/>
                <w:sz w:val="12"/>
                <w:szCs w:val="12"/>
              </w:rPr>
              <w:t xml:space="preserve">[Announced]</w:t>
            </w:r>
          </w:p>
        </w:tc>
        <w:tc>
          <w:tcPr>
            <w:tcW w:type="dxa" w:w="127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European Commission</w:t>
            </w:r>
          </w:p>
        </w:tc>
        <w:tc>
          <w:tcPr>
            <w:tcW w:type="dxa" w:w="20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EV battery makers and their nickel, cobalt and lithium supply chains</w:t>
            </w:r>
          </w:p>
        </w:tc>
        <w:tc>
          <w:tcPr>
            <w:tcW w:type="dxa" w:w="19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Declarations since Feb 2025; thresholds by delegated act due Aug 2026; non-compliant EV batteries barred from Feb 2028 </w:t>
            </w:r>
            <w:r>
              <w:rPr>
                <w:color w:val="57606A"/>
                <w:sz w:val="15"/>
                <w:szCs w:val="15"/>
                <w:vertAlign w:val="superscript"/>
              </w:rPr>
              <w:t xml:space="preserve">[60]</w:t>
            </w:r>
          </w:p>
        </w:tc>
        <w:tc>
          <w:tcPr>
            <w:tcW w:type="dxa" w:w="268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Product carbon footprint to mineral source</w:t>
            </w:r>
          </w:p>
        </w:tc>
        <w:tc>
          <w:tcPr>
            <w:tcW w:type="dxa" w:w="14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Product carbon footprints for Indonesian nickel processors; specialist LCA work </w:t>
            </w:r>
            <w:r>
              <w:rPr>
                <w:b/>
                <w:bCs/>
                <w:color w:val="6B4FA0"/>
                <w:sz w:val="12"/>
                <w:szCs w:val="12"/>
              </w:rPr>
              <w:t xml:space="preserve">[Analyst view]</w:t>
            </w:r>
          </w:p>
        </w:tc>
      </w:tr>
      <w:tr>
        <w:trPr>
          <w:cantSplit/>
        </w:trPr>
        <w:tc>
          <w:tcPr>
            <w:tcW w:type="dxa" w:w="20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IMO Net-Zero Framework </w:t>
            </w:r>
            <w:r>
              <w:rPr>
                <w:b/>
                <w:bCs/>
                <w:color w:val="B42318"/>
                <w:sz w:val="12"/>
                <w:szCs w:val="12"/>
              </w:rPr>
              <w:t xml:space="preserve">[Proposed]</w:t>
            </w:r>
          </w:p>
        </w:tc>
        <w:tc>
          <w:tcPr>
            <w:tcW w:type="dxa" w:w="127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IMO</w:t>
            </w:r>
          </w:p>
        </w:tc>
        <w:tc>
          <w:tcPr>
            <w:tcW w:type="dxa" w:w="20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International shipping</w:t>
            </w:r>
          </w:p>
        </w:tc>
        <w:tc>
          <w:tcPr>
            <w:tcW w:type="dxa" w:w="19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Adoption vote postponed to Oct 2026 </w:t>
            </w:r>
            <w:r>
              <w:rPr>
                <w:color w:val="57606A"/>
                <w:sz w:val="15"/>
                <w:szCs w:val="15"/>
                <w:vertAlign w:val="superscript"/>
              </w:rPr>
              <w:t xml:space="preserve">[19]</w:t>
            </w:r>
          </w:p>
        </w:tc>
        <w:tc>
          <w:tcPr>
            <w:tcW w:type="dxa" w:w="268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Fuel standard and global carbon price (if adopted)</w:t>
            </w:r>
          </w:p>
        </w:tc>
        <w:tc>
          <w:tcPr>
            <w:tcW w:type="dxa" w:w="14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t>
            </w:r>
          </w:p>
        </w:tc>
        <w:tc>
          <w:tcPr>
            <w:tcW w:type="dxa" w:w="32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Shipping in Singapore and Hong Kong; wait for the vote </w:t>
            </w:r>
            <w:r>
              <w:rPr>
                <w:b/>
                <w:bCs/>
                <w:color w:val="6B4FA0"/>
                <w:sz w:val="12"/>
                <w:szCs w:val="12"/>
              </w:rPr>
              <w:t xml:space="preserve">[Analyst view]</w:t>
            </w:r>
          </w:p>
        </w:tc>
      </w:tr>
    </w:tbl>
    <w:p>
      <w:pPr>
        <w:spacing w:after="12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Which requirements will make companies hire consultants</w:t>
            </w:r>
          </w:p>
          <w:p>
            <w:pPr>
              <w:pStyle w:val="ListParagraph"/>
              <w:numPr>
                <w:ilvl w:val="0"/>
                <w:numId w:val="4"/>
              </w:numPr>
              <w:spacing w:after="30" w:line="240"/>
            </w:pPr>
            <w:r>
              <w:rPr>
                <w:b/>
                <w:bCs/>
                <w:sz w:val="19"/>
                <w:szCs w:val="19"/>
              </w:rPr>
              <w:t xml:space="preserve">First-time ISSB reporting</w:t>
            </w:r>
            <w:r>
              <w:rPr>
                <w:sz w:val="19"/>
                <w:szCs w:val="19"/>
              </w:rPr>
              <w:t xml:space="preserve"> where no internal team exists: Malaysia Group 2 and 3, Indonesia's OJK wave 1, Singapore's non-STI companies from FY2028, Hong Kong LargeCap for HKFRS S1.</w:t>
            </w:r>
          </w:p>
          <w:p>
            <w:pPr>
              <w:pStyle w:val="ListParagraph"/>
              <w:numPr>
                <w:ilvl w:val="0"/>
                <w:numId w:val="4"/>
              </w:numPr>
              <w:spacing w:after="30" w:line="240"/>
            </w:pPr>
            <w:r>
              <w:rPr>
                <w:b/>
                <w:bCs/>
                <w:sz w:val="19"/>
                <w:szCs w:val="19"/>
              </w:rPr>
              <w:t xml:space="preserve">Assurance</w:t>
            </w:r>
            <w:r>
              <w:rPr>
                <w:sz w:val="19"/>
                <w:szCs w:val="19"/>
              </w:rPr>
              <w:t xml:space="preserve"> of GHG data, because the assurer cannot design the system it will test: Malaysia from FY2027, Hong Kong from the third mandatory year, Singapore FY2029, Indonesia once OJK finalises.</w:t>
            </w:r>
          </w:p>
          <w:p>
            <w:pPr>
              <w:pStyle w:val="ListParagraph"/>
              <w:numPr>
                <w:ilvl w:val="0"/>
                <w:numId w:val="4"/>
              </w:numPr>
              <w:spacing w:after="30" w:line="240"/>
            </w:pPr>
            <w:r>
              <w:rPr>
                <w:b/>
                <w:bCs/>
                <w:sz w:val="19"/>
                <w:szCs w:val="19"/>
              </w:rPr>
              <w:t xml:space="preserve">Scope 3</w:t>
            </w:r>
            <w:r>
              <w:rPr>
                <w:sz w:val="19"/>
                <w:szCs w:val="19"/>
              </w:rPr>
              <w:t xml:space="preserve"> inventories, which need data and methods most companies lack: Hong Kong LargeCap FY2026, Singapore STI FY2026, Malaysia Group 1 FY2027 and Group 2 FY2028.</w:t>
            </w:r>
          </w:p>
          <w:p>
            <w:pPr>
              <w:pStyle w:val="ListParagraph"/>
              <w:numPr>
                <w:ilvl w:val="0"/>
                <w:numId w:val="4"/>
              </w:numPr>
              <w:spacing w:after="30" w:line="240"/>
            </w:pPr>
            <w:r>
              <w:rPr>
                <w:b/>
                <w:bCs/>
                <w:sz w:val="19"/>
                <w:szCs w:val="19"/>
              </w:rPr>
              <w:t xml:space="preserve">Export data rules</w:t>
            </w:r>
            <w:r>
              <w:rPr>
                <w:sz w:val="19"/>
                <w:szCs w:val="19"/>
              </w:rPr>
              <w:t xml:space="preserve"> with a hard border consequence: CBAM, EUDR and the EU battery rules.</w:t>
            </w:r>
          </w:p>
          <w:p>
            <w:pPr>
              <w:pStyle w:val="ListParagraph"/>
              <w:numPr>
                <w:ilvl w:val="0"/>
                <w:numId w:val="4"/>
              </w:numPr>
              <w:spacing w:after="30" w:line="240"/>
            </w:pPr>
            <w:r>
              <w:rPr>
                <w:b/>
                <w:bCs/>
                <w:sz w:val="19"/>
                <w:szCs w:val="19"/>
              </w:rPr>
              <w:t xml:space="preserve">Grant or tax-funded SME programmes</w:t>
            </w:r>
            <w:r>
              <w:rPr>
                <w:sz w:val="19"/>
                <w:szCs w:val="19"/>
              </w:rPr>
              <w:t xml:space="preserve"> that require an external provider: Singapore SRG, ESP and EDGE; Malaysia ESG tax deduction and bank Greening Value Chain programmes.</w:t>
            </w:r>
          </w:p>
        </w:tc>
      </w:tr>
    </w:tbl>
    <w:p>
      <w:pPr>
        <w:sectPr>
          <w:headerReference w:type="default" r:id="rId11"/>
          <w:footerReference w:type="default" r:id="rId12"/>
          <w:pgSz w:w="16838" w:h="11906" w:orient="landscape"/>
          <w:pgMar w:top="1080" w:right="1080" w:bottom="1080" w:left="1080" w:header="500" w:footer="500" w:gutter="0"/>
          <w:pgNumType/>
          <w:titlePg w:val="false"/>
          <w:docGrid w:linePitch="360"/>
        </w:sectPr>
      </w:pPr>
    </w:p>
    <w:p>
      <w:pPr>
        <w:pStyle w:val="Heading1"/>
      </w:pPr>
      <w:r>
        <w:t xml:space="preserve">Part 3: Corporate ESG demand by sector</w:t>
      </w:r>
    </w:p>
    <w:p>
      <w:pPr>
        <w:spacing w:after="120" w:before="0" w:line="276"/>
      </w:pPr>
      <w:r>
        <w:t xml:space="preserve">For each market, the sectors below show the clearest link between a pressure (rule, buyer, lender or investor) and a purchase. "Potential" is an analyst judgement of how much paid work the sector can generate for a small consultancy over 2026 to 2029. </w:t>
      </w:r>
      <w:r>
        <w:rPr>
          <w:b/>
          <w:bCs/>
          <w:color w:val="6B4FA0"/>
          <w:sz w:val="16"/>
          <w:szCs w:val="16"/>
        </w:rPr>
        <w:t xml:space="preserve">[Analyst view]</w:t>
      </w:r>
    </w:p>
    <w:p>
      <w:pPr>
        <w:pStyle w:val="Heading2"/>
      </w:pPr>
      <w:r>
        <w:t xml:space="preserve">3.1 Singapore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4110"/>
        <w:gridCol w:w="2784"/>
        <w:gridCol w:w="1195"/>
      </w:tblGrid>
      <w:tr>
        <w:trPr>
          <w:cantSplit/>
          <w:tblHeader/>
        </w:trPr>
        <w:tc>
          <w:tcPr>
            <w:tcW w:type="dxa" w:w="165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Sector</w:t>
            </w:r>
          </w:p>
        </w:tc>
        <w:tc>
          <w:tcPr>
            <w:tcW w:type="dxa" w:w="41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Why ESG demand is rising</w:t>
            </w:r>
          </w:p>
        </w:tc>
        <w:tc>
          <w:tcPr>
            <w:tcW w:type="dxa" w:w="278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What they will buy</w:t>
            </w:r>
          </w:p>
        </w:tc>
        <w:tc>
          <w:tcPr>
            <w:tcW w:type="dxa" w:w="119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Potential</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Real estate and REITs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S-REITs are a large share of SGX by value, many fall in the ≥S$1bn tier (full climate disclosure from FY2028), and investors benchmark them through GRESB. Green Mark and building energy rules add data needs.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GRESB submissions, Scope 3 (tenant energy, embodied carbon), CRREM-style pathways, climate physical-risk screening</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Banks, insurers, asset managers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MAS Transition Planning Guidelines (Mar 2026) and environmental risk guidelines require client engagement and portfolio data </w:t>
            </w:r>
            <w:r>
              <w:rPr>
                <w:color w:val="57606A"/>
                <w:sz w:val="16"/>
                <w:szCs w:val="16"/>
                <w:vertAlign w:val="superscript"/>
              </w:rPr>
              <w:t xml:space="preserve">[10]</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Financed emissions (PCAF), client transition-plan assessments, data governance. Mostly Big Four; you sell to their corporate clients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(indirect)</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Maritime and shipping</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Singapore is a top bunkering and ship-management hub; EU ETS and FuelEU apply to voyages to Europe; the IMO framework vote moved to October 2026 </w:t>
            </w:r>
            <w:r>
              <w:rPr>
                <w:color w:val="57606A"/>
                <w:sz w:val="16"/>
                <w:szCs w:val="16"/>
                <w:vertAlign w:val="superscript"/>
              </w:rPr>
              <w:t xml:space="preserve">[19]</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Fleet emissions MRV, fuel-transition strategy, customer Scope 3 data (category 4)</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Aviation and air logistics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SAF levy on tickets sold from 1 October 2026; 1% SAF target from 2027 </w:t>
            </w:r>
            <w:r>
              <w:rPr>
                <w:color w:val="57606A"/>
                <w:sz w:val="16"/>
                <w:szCs w:val="16"/>
                <w:vertAlign w:val="superscript"/>
              </w:rPr>
              <w:t xml:space="preserve">[9]</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Emissions accounting for freight forwarders and corporate travel; customer reporting</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Data centres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Power-hungry, under green data centre requirements, with hyperscaler customers asking for renewable and efficiency data.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Scope 2 market-based accounting, renewable procurement strategy, PUE and water reporting</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Semiconductors and precision engineering</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Export manufacturers in MNC supply chains face supplier emission targets and customer audits; carbon tax raises energy costs for large plants </w:t>
            </w:r>
            <w:r>
              <w:rPr>
                <w:color w:val="57606A"/>
                <w:sz w:val="16"/>
                <w:szCs w:val="16"/>
                <w:vertAlign w:val="superscript"/>
              </w:rPr>
              <w:t xml:space="preserve">[5,11]</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Product carbon footprints, supplier questionnaire responses, decarbonisation roadmaps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Logistics and supply-chain services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MNC customers request shipment-level emissions for Scope 3; EU customers may use VSME-style requests. </w:t>
            </w:r>
            <w:r>
              <w:rPr>
                <w:b/>
                <w:bCs/>
                <w:color w:val="0F7A55"/>
                <w:sz w:val="12"/>
                <w:szCs w:val="12"/>
              </w:rPr>
              <w:t xml:space="preserve">[Inference]</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Transport emissions calculators (GLEC), customer reporting packs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Agri-commodity traders and F&amp;B</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Regional HQs of palm oil, cocoa, coffee and grain traders face EUDR due diligence and FLAG targets.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EUDR systems, supplier programmes, Scope 3 FLAG</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 (concentrated)</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Energy and chemicals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Carbon tax rising to S$45 and S$50-80 by 2030 </w:t>
            </w:r>
            <w:r>
              <w:rPr>
                <w:color w:val="57606A"/>
                <w:sz w:val="16"/>
                <w:szCs w:val="16"/>
                <w:vertAlign w:val="superscript"/>
              </w:rPr>
              <w:t xml:space="preserve">[5]</w:t>
            </w:r>
            <w:r>
              <w:rPr>
                <w:b w:val="false"/>
                <w:bCs w:val="false"/>
                <w:sz w:val="16"/>
                <w:szCs w:val="16"/>
              </w:rPr>
              <w:t xml:space="preserve">. In-house teams are strong.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Specialist MRV and abatement studies, usually subcontracted</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Low-medium for independents</w:t>
            </w:r>
          </w:p>
        </w:tc>
      </w:tr>
    </w:tbl>
    <w:p>
      <w:pPr>
        <w:pStyle w:val="Heading2"/>
      </w:pPr>
      <w:r>
        <w:t xml:space="preserve">3.2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4110"/>
        <w:gridCol w:w="2784"/>
        <w:gridCol w:w="1195"/>
      </w:tblGrid>
      <w:tr>
        <w:trPr>
          <w:cantSplit/>
          <w:tblHeader/>
        </w:trPr>
        <w:tc>
          <w:tcPr>
            <w:tcW w:type="dxa" w:w="165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Sector</w:t>
            </w:r>
          </w:p>
        </w:tc>
        <w:tc>
          <w:tcPr>
            <w:tcW w:type="dxa" w:w="41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Why ESG demand is rising</w:t>
            </w:r>
          </w:p>
        </w:tc>
        <w:tc>
          <w:tcPr>
            <w:tcW w:type="dxa" w:w="278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What they will buy</w:t>
            </w:r>
          </w:p>
        </w:tc>
        <w:tc>
          <w:tcPr>
            <w:tcW w:type="dxa" w:w="119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Potential</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Electrical and electronics, semiconductors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Malaysia is a top chip exporter. Purchased electricity was 77% of the sector's footprint in 2023 </w:t>
            </w:r>
            <w:r>
              <w:rPr>
                <w:color w:val="57606A"/>
                <w:sz w:val="16"/>
                <w:szCs w:val="16"/>
                <w:vertAlign w:val="superscript"/>
              </w:rPr>
              <w:t xml:space="preserve">[37]</w:t>
            </w:r>
            <w:r>
              <w:rPr>
                <w:b w:val="false"/>
                <w:bCs w:val="false"/>
                <w:sz w:val="16"/>
                <w:szCs w:val="16"/>
              </w:rPr>
              <w:t xml:space="preserve">. MNC customers set supplier targets; Group 1 Scope 3 from FY2027 pulls data from suppliers.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Scope 1-2 inventories, renewable procurement (CRESS), product carbon footprints, supplier questionnaire responses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Very 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Palm oil and plantations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EUDR applies from 30 December 2026 for large and medium operators </w:t>
            </w:r>
            <w:r>
              <w:rPr>
                <w:color w:val="57606A"/>
                <w:sz w:val="16"/>
                <w:szCs w:val="16"/>
                <w:vertAlign w:val="superscript"/>
              </w:rPr>
              <w:t xml:space="preserve">[82]</w:t>
            </w:r>
            <w:r>
              <w:rPr>
                <w:b w:val="false"/>
                <w:bCs w:val="false"/>
                <w:sz w:val="16"/>
                <w:szCs w:val="16"/>
              </w:rPr>
              <w:t xml:space="preserve">; buyers demand traceability and GHG data; several plantation groups are in Group 1.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EUDR traceability and due diligence, MSPO/RSPO GHG, FLAG targets, NSRF reporting</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Very high</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Data centres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Johor has drawn about RM165 billion of investment; load more than doubled between 2024 and 2025; CRESS contracts are tied to data centres </w:t>
            </w:r>
            <w:r>
              <w:rPr>
                <w:color w:val="57606A"/>
                <w:sz w:val="16"/>
                <w:szCs w:val="16"/>
                <w:vertAlign w:val="superscript"/>
              </w:rPr>
              <w:t xml:space="preserve">[36]</w:t>
            </w:r>
            <w:r>
              <w:rPr>
                <w:b w:val="false"/>
                <w:bCs w:val="false"/>
                <w:sz w:val="16"/>
                <w:szCs w:val="16"/>
              </w:rPr>
              <w:t xml:space="preserve">. Water stress is now a permitting issue.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Scope 2 accounting, renewable procurement strategy, water and energy reporting for hyperscaler clients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Iron, steel, aluminium, cement</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CBAM definitive phase since 1 January 2026 </w:t>
            </w:r>
            <w:r>
              <w:rPr>
                <w:color w:val="57606A"/>
                <w:sz w:val="16"/>
                <w:szCs w:val="16"/>
                <w:vertAlign w:val="superscript"/>
              </w:rPr>
              <w:t xml:space="preserve">[81]</w:t>
            </w:r>
            <w:r>
              <w:rPr>
                <w:b w:val="false"/>
                <w:bCs w:val="false"/>
                <w:sz w:val="16"/>
                <w:szCs w:val="16"/>
              </w:rPr>
              <w:t xml:space="preserve">; domestic carbon tax announced then put on hold </w:t>
            </w:r>
            <w:r>
              <w:rPr>
                <w:color w:val="57606A"/>
                <w:sz w:val="16"/>
                <w:szCs w:val="16"/>
                <w:vertAlign w:val="superscript"/>
              </w:rPr>
              <w:t xml:space="preserve">[23]</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Installation-level embedded emissions, CBAM data packs, abatement studies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Oil, gas and power utilities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NETR, the CCUS Act 2025 and vendor ESG requirements from Petronas and TNB cascade to contractors.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Vendor ESG compliance for contractors, methane and flaring data, transition plans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Property and construction</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Many Group 2 issuers are developers and contractors; banks classify loans under the BNM taxonomy; green building certification is common.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NSRF reporting, embodied carbon, climate physical-risk assessments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Rubber gloves and medical devices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Export-oriented with buyer audits on labour and environment; several are listed.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Social compliance plus GHG, NSRF reporting</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Banks and insurers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BNM climate risk management and stress testing; JC3 work on SME data; financed emissions </w:t>
            </w:r>
            <w:r>
              <w:rPr>
                <w:color w:val="57606A"/>
                <w:sz w:val="16"/>
                <w:szCs w:val="16"/>
                <w:vertAlign w:val="superscript"/>
              </w:rPr>
              <w:t xml:space="preserve">[33]</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Big Four for core work; banks need partners for SME Greening Value Chain delivery</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 (channel value)</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Furniture and wood products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EUDR covers wood; heavy EU and US export exposure.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EUDR due diligence, product footprints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w:t>
            </w:r>
          </w:p>
        </w:tc>
      </w:tr>
    </w:tbl>
    <w:p>
      <w:pPr>
        <w:pStyle w:val="Heading2"/>
      </w:pPr>
      <w:r>
        <w:t xml:space="preserve">3.3 Indonesia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4110"/>
        <w:gridCol w:w="2784"/>
        <w:gridCol w:w="1195"/>
      </w:tblGrid>
      <w:tr>
        <w:trPr>
          <w:cantSplit/>
          <w:tblHeader/>
        </w:trPr>
        <w:tc>
          <w:tcPr>
            <w:tcW w:type="dxa" w:w="165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Sector</w:t>
            </w:r>
          </w:p>
        </w:tc>
        <w:tc>
          <w:tcPr>
            <w:tcW w:type="dxa" w:w="41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Why ESG demand is rising</w:t>
            </w:r>
          </w:p>
        </w:tc>
        <w:tc>
          <w:tcPr>
            <w:tcW w:type="dxa" w:w="278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What they will buy</w:t>
            </w:r>
          </w:p>
        </w:tc>
        <w:tc>
          <w:tcPr>
            <w:tcW w:type="dxa" w:w="119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Potential</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Palm oil and pulp and paper</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EUDR from 30 December 2026 </w:t>
            </w:r>
            <w:r>
              <w:rPr>
                <w:color w:val="57606A"/>
                <w:sz w:val="16"/>
                <w:szCs w:val="16"/>
                <w:vertAlign w:val="superscript"/>
              </w:rPr>
              <w:t xml:space="preserve">[82]</w:t>
            </w:r>
            <w:r>
              <w:rPr>
                <w:b w:val="false"/>
                <w:bCs w:val="false"/>
                <w:sz w:val="16"/>
                <w:szCs w:val="16"/>
              </w:rPr>
              <w:t xml:space="preserve">; ISPO mandatory; NDPE buyer policies.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Traceability, deforestation risk assessment, GHG (PalmGHG), PSPK reporting for listed groups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Very 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Nickel, mining and the EV battery chain</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EU battery carbon-footprint thresholds bar non-compliant EV batteries from February 2028 </w:t>
            </w:r>
            <w:r>
              <w:rPr>
                <w:color w:val="57606A"/>
                <w:sz w:val="16"/>
                <w:szCs w:val="16"/>
                <w:vertAlign w:val="superscript"/>
              </w:rPr>
              <w:t xml:space="preserve">[60]</w:t>
            </w:r>
            <w:r>
              <w:rPr>
                <w:b w:val="false"/>
                <w:bCs w:val="false"/>
                <w:sz w:val="16"/>
                <w:szCs w:val="16"/>
              </w:rPr>
              <w:t xml:space="preserve">; coal-fired processing is carbon-intensive; captive power enters the ETS from 2027 </w:t>
            </w:r>
            <w:r>
              <w:rPr>
                <w:color w:val="57606A"/>
                <w:sz w:val="16"/>
                <w:szCs w:val="16"/>
                <w:vertAlign w:val="superscript"/>
              </w:rPr>
              <w:t xml:space="preserve">[45]</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Product carbon footprints, captive power MRV, decarbonisation pathways, IRMA-style assurance support</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(specialist)</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Coal, power and energy</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Power-sector ETS; JETP; PSPK transition plans; investor and lender scrutiny.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Transition plans, ETS compliance, scenario analysis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Banks and financial services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First OJK wave targets large banks </w:t>
            </w:r>
            <w:r>
              <w:rPr>
                <w:color w:val="57606A"/>
                <w:sz w:val="16"/>
                <w:szCs w:val="16"/>
                <w:vertAlign w:val="superscript"/>
              </w:rPr>
              <w:t xml:space="preserve">[41]</w:t>
            </w:r>
            <w:r>
              <w:rPr>
                <w:b w:val="false"/>
                <w:bCs w:val="false"/>
                <w:sz w:val="16"/>
                <w:szCs w:val="16"/>
              </w:rPr>
              <w:t xml:space="preserve">; financed emissions and taxonomy reporting (TKBI v3) </w:t>
            </w:r>
            <w:r>
              <w:rPr>
                <w:color w:val="57606A"/>
                <w:sz w:val="16"/>
                <w:szCs w:val="16"/>
                <w:vertAlign w:val="superscript"/>
              </w:rPr>
              <w:t xml:space="preserve">[51]</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PSPK readiness, PCAF, client data; Big Four lead, subcontracting possible</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Cement, steel, chemicals, fertiliser</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Mandatory GHG reporting via SIINas </w:t>
            </w:r>
            <w:r>
              <w:rPr>
                <w:color w:val="57606A"/>
                <w:sz w:val="16"/>
                <w:szCs w:val="16"/>
                <w:vertAlign w:val="superscript"/>
              </w:rPr>
              <w:t xml:space="preserve">[49]</w:t>
            </w:r>
            <w:r>
              <w:rPr>
                <w:b w:val="false"/>
                <w:bCs w:val="false"/>
                <w:sz w:val="16"/>
                <w:szCs w:val="16"/>
              </w:rPr>
              <w:t xml:space="preserve">; industrial decarbonisation roadmap </w:t>
            </w:r>
            <w:r>
              <w:rPr>
                <w:color w:val="57606A"/>
                <w:sz w:val="16"/>
                <w:szCs w:val="16"/>
                <w:vertAlign w:val="superscript"/>
              </w:rPr>
              <w:t xml:space="preserve">[50]</w:t>
            </w:r>
            <w:r>
              <w:rPr>
                <w:b w:val="false"/>
                <w:bCs w:val="false"/>
                <w:sz w:val="16"/>
                <w:szCs w:val="16"/>
              </w:rPr>
              <w:t xml:space="preserve">; CBAM for steel and fertiliser </w:t>
            </w:r>
            <w:r>
              <w:rPr>
                <w:color w:val="57606A"/>
                <w:sz w:val="16"/>
                <w:szCs w:val="16"/>
                <w:vertAlign w:val="superscript"/>
              </w:rPr>
              <w:t xml:space="preserve">[81]</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GHG inventories, CBAM data, abatement roadmaps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Textiles, apparel and footwear</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Global brands require supplier emissions data and reduction targets; EU customers will use VSME formats.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Facility GHG baselines, Higg FEM support, renewable energy plans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(volume)</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Food, beverage and FMCG</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In the industrial decarbonisation roadmap </w:t>
            </w:r>
            <w:r>
              <w:rPr>
                <w:color w:val="57606A"/>
                <w:sz w:val="16"/>
                <w:szCs w:val="16"/>
                <w:vertAlign w:val="superscript"/>
              </w:rPr>
              <w:t xml:space="preserve">[50]</w:t>
            </w:r>
            <w:r>
              <w:rPr>
                <w:b w:val="false"/>
                <w:bCs w:val="false"/>
                <w:sz w:val="16"/>
                <w:szCs w:val="16"/>
              </w:rPr>
              <w:t xml:space="preserve">; MNC brand owners need Scope 3 supplier data.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GHG inventories, packaging and supplier programmes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Industrial estates and real estate</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Industrial estate operators must report through SIINas </w:t>
            </w:r>
            <w:r>
              <w:rPr>
                <w:color w:val="57606A"/>
                <w:sz w:val="16"/>
                <w:szCs w:val="16"/>
                <w:vertAlign w:val="superscript"/>
              </w:rPr>
              <w:t xml:space="preserve">[49]</w:t>
            </w:r>
            <w:r>
              <w:rPr>
                <w:b w:val="false"/>
                <w:bCs w:val="false"/>
                <w:sz w:val="16"/>
                <w:szCs w:val="16"/>
              </w:rPr>
              <w:t xml:space="preserve">; TKBI v2 covers construction and real estate </w:t>
            </w:r>
            <w:r>
              <w:rPr>
                <w:color w:val="57606A"/>
                <w:sz w:val="16"/>
                <w:szCs w:val="16"/>
                <w:vertAlign w:val="superscript"/>
              </w:rPr>
              <w:t xml:space="preserve">[51]</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Estate-level GHG systems, tenant data programmes, green building</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w:t>
            </w:r>
          </w:p>
        </w:tc>
      </w:tr>
    </w:tbl>
    <w:p>
      <w:pPr>
        <w:pStyle w:val="Heading2"/>
      </w:pPr>
      <w:r>
        <w:t xml:space="preserve">3.4 Hong Kong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57"/>
        <w:gridCol w:w="4110"/>
        <w:gridCol w:w="2784"/>
        <w:gridCol w:w="1195"/>
      </w:tblGrid>
      <w:tr>
        <w:trPr>
          <w:cantSplit/>
          <w:tblHeader/>
        </w:trPr>
        <w:tc>
          <w:tcPr>
            <w:tcW w:type="dxa" w:w="165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Sector</w:t>
            </w:r>
          </w:p>
        </w:tc>
        <w:tc>
          <w:tcPr>
            <w:tcW w:type="dxa" w:w="411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Why ESG demand is rising</w:t>
            </w:r>
          </w:p>
        </w:tc>
        <w:tc>
          <w:tcPr>
            <w:tcW w:type="dxa" w:w="278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What they will buy</w:t>
            </w:r>
          </w:p>
        </w:tc>
        <w:tc>
          <w:tcPr>
            <w:tcW w:type="dxa" w:w="119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Potential</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Property developers and landlords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Several are LargeCap (Scope 3 from FY2026); the amended Buildings Energy Efficiency Ordinance halves the audit cycle and covers more building types from 20 September 2026 </w:t>
            </w:r>
            <w:r>
              <w:rPr>
                <w:color w:val="57606A"/>
                <w:sz w:val="16"/>
                <w:szCs w:val="16"/>
                <w:vertAlign w:val="superscript"/>
              </w:rPr>
              <w:t xml:space="preserve">[74]</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Scope 3 (embodied, tenant), energy-to-carbon roadmaps, GRESB, physical-risk assessments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Banks, insurers, asset managers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HKMA supervision; transition finance guidance (May 2026) </w:t>
            </w:r>
            <w:r>
              <w:rPr>
                <w:color w:val="57606A"/>
                <w:sz w:val="16"/>
                <w:szCs w:val="16"/>
                <w:vertAlign w:val="superscript"/>
              </w:rPr>
              <w:t xml:space="preserve">[68]</w:t>
            </w:r>
            <w:r>
              <w:rPr>
                <w:b w:val="false"/>
                <w:bCs w:val="false"/>
                <w:sz w:val="16"/>
                <w:szCs w:val="16"/>
              </w:rPr>
              <w:t xml:space="preserve">; CASG priorities on transition plans </w:t>
            </w:r>
            <w:r>
              <w:rPr>
                <w:color w:val="57606A"/>
                <w:sz w:val="16"/>
                <w:szCs w:val="16"/>
                <w:vertAlign w:val="superscript"/>
              </w:rPr>
              <w:t xml:space="preserve">[67]</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Transition plans, financed emissions; client-side questionnaires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High (mostly Big Four)</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Shipping, ports and logistics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Global shipping rules (EU ETS now, IMO later); green fuel bunkering plans in the 2025 Policy Address </w:t>
            </w:r>
            <w:r>
              <w:rPr>
                <w:color w:val="57606A"/>
                <w:sz w:val="16"/>
                <w:szCs w:val="16"/>
                <w:vertAlign w:val="superscript"/>
              </w:rPr>
              <w:t xml:space="preserve">[76]</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Fleet and terminal emissions, customer Scope 3 packs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Retail and consumer brands</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LargeCap retailers face Scope 3; supply chains in the Greater Bay Area and Southeast Asia.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Supplier engagement programmes, product footprints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Medium-high</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A+H and mainland-linked industrials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Dual reporting under HKEX rules and mainland standards (climate standard expected mandatory for listed companies from 2027) </w:t>
            </w:r>
            <w:r>
              <w:rPr>
                <w:color w:val="57606A"/>
                <w:sz w:val="16"/>
                <w:szCs w:val="16"/>
                <w:vertAlign w:val="superscript"/>
              </w:rPr>
              <w:t xml:space="preserve">[78]</w:t>
            </w:r>
            <w:r>
              <w:rPr>
                <w:b w:val="false"/>
                <w:bCs w:val="false"/>
                <w:sz w:val="16"/>
                <w:szCs w:val="16"/>
              </w:rPr>
              <w:t xml:space="preserve">.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Framework mapping, double materiality, data consolidation across subsidiaries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High (Mandarin needed)</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Hospitality and tourism</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Corporate travel buyers and international hotel brands ask for property-level data.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Hotel footprinting (HCMI), energy and waste programmes</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w:t>
            </w:r>
          </w:p>
        </w:tc>
      </w:tr>
      <w:tr>
        <w:trPr>
          <w:cantSplit/>
        </w:trPr>
        <w:tc>
          <w:tcPr>
            <w:tcW w:type="dxa" w:w="165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Data centres</w:t>
            </w:r>
          </w:p>
        </w:tc>
        <w:tc>
          <w:tcPr>
            <w:tcW w:type="dxa" w:w="411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Now within the Buildings Energy Efficiency Ordinance </w:t>
            </w:r>
            <w:r>
              <w:rPr>
                <w:color w:val="57606A"/>
                <w:sz w:val="16"/>
                <w:szCs w:val="16"/>
                <w:vertAlign w:val="superscript"/>
              </w:rPr>
              <w:t xml:space="preserve">[74]</w:t>
            </w:r>
            <w:r>
              <w:rPr>
                <w:b w:val="false"/>
                <w:bCs w:val="false"/>
                <w:sz w:val="16"/>
                <w:szCs w:val="16"/>
              </w:rPr>
              <w:t xml:space="preserve">; hyperscaler customer demands. </w:t>
            </w:r>
            <w:r>
              <w:rPr>
                <w:b/>
                <w:bCs/>
                <w:color w:val="1C5CAB"/>
                <w:sz w:val="12"/>
                <w:szCs w:val="12"/>
              </w:rPr>
              <w:t xml:space="preserve">[Fact]</w:t>
            </w:r>
          </w:p>
        </w:tc>
        <w:tc>
          <w:tcPr>
            <w:tcW w:type="dxa" w:w="278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Scope 2, PUE and energy audits</w:t>
            </w:r>
          </w:p>
        </w:tc>
        <w:tc>
          <w:tcPr>
            <w:tcW w:type="dxa" w:w="119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Medium</w:t>
            </w:r>
          </w:p>
        </w:tc>
      </w:tr>
      <w:tr>
        <w:trPr>
          <w:cantSplit/>
        </w:trPr>
        <w:tc>
          <w:tcPr>
            <w:tcW w:type="dxa" w:w="165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Construction</w:t>
            </w:r>
          </w:p>
        </w:tc>
        <w:tc>
          <w:tcPr>
            <w:tcW w:type="dxa" w:w="411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Government projects increasingly specify carbon assessment; developers pass requirements down. </w:t>
            </w:r>
            <w:r>
              <w:rPr>
                <w:b/>
                <w:bCs/>
                <w:color w:val="6B4FA0"/>
                <w:sz w:val="12"/>
                <w:szCs w:val="12"/>
              </w:rPr>
              <w:t xml:space="preserve">[Analyst view]</w:t>
            </w:r>
          </w:p>
        </w:tc>
        <w:tc>
          <w:tcPr>
            <w:tcW w:type="dxa" w:w="278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Embodied carbon, site emissions tracking</w:t>
            </w:r>
          </w:p>
        </w:tc>
        <w:tc>
          <w:tcPr>
            <w:tcW w:type="dxa" w:w="119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Medium</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Cross-market pattern</w:t>
            </w:r>
          </w:p>
          <w:p>
            <w:pPr>
              <w:spacing w:after="40" w:line="240"/>
            </w:pPr>
            <w:r>
              <w:rPr>
                <w:sz w:val="19"/>
                <w:szCs w:val="19"/>
              </w:rPr>
              <w:t xml:space="preserve">Demand is strongest where a sector faces two pressures at once, for example Malaysian electronics (NSRF plus MNC customers), Indonesian palm oil (EUDR plus PSPK) or Hong Kong property (LargeCap Scope 3 plus building energy rules). Lead your sector focus with these double-pressure sectors. </w:t>
            </w:r>
            <w:r>
              <w:rPr>
                <w:b/>
                <w:bCs/>
                <w:color w:val="0F7A55"/>
                <w:sz w:val="15"/>
                <w:szCs w:val="15"/>
              </w:rPr>
              <w:t xml:space="preserve">[Inference]</w:t>
            </w:r>
          </w:p>
        </w:tc>
      </w:tr>
    </w:tbl>
    <w:p>
      <w:pPr>
        <w:pStyle w:val="Heading1"/>
        <w:pageBreakBefore/>
      </w:pPr>
      <w:r>
        <w:t xml:space="preserve">Part 4: SME opportunity</w:t>
      </w:r>
    </w:p>
    <w:p>
      <w:pPr>
        <w:spacing w:after="120" w:before="0" w:line="276"/>
      </w:pPr>
      <w:r>
        <w:t xml:space="preserve">SMEs rarely face reporting rules directly. They buy when a customer, a bank or an export rule forces the issue, and when a grant or tax break cuts the cost. The table compares those triggers market by market.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38"/>
        <w:gridCol w:w="2051"/>
        <w:gridCol w:w="2051"/>
        <w:gridCol w:w="2051"/>
        <w:gridCol w:w="2055"/>
      </w:tblGrid>
      <w:tr>
        <w:trPr>
          <w:cantSplit/>
          <w:tblHeader/>
        </w:trPr>
        <w:tc>
          <w:tcPr>
            <w:tcW w:type="dxa" w:w="153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Factor</w:t>
            </w:r>
          </w:p>
        </w:tc>
        <w:tc>
          <w:tcPr>
            <w:tcW w:type="dxa" w:w="205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205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205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205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15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Number and weight of SMEs</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~370,000 SMEs (99% of firms), ~70% of local workforce, ~half of GDP </w:t>
            </w:r>
            <w:r>
              <w:rPr>
                <w:color w:val="57606A"/>
                <w:sz w:val="15"/>
                <w:szCs w:val="15"/>
                <w:vertAlign w:val="superscript"/>
              </w:rPr>
              <w:t xml:space="preserve">[13]</w:t>
            </w:r>
            <w:r>
              <w:rPr>
                <w:b w:val="false"/>
                <w:bCs w:val="false"/>
                <w:sz w:val="15"/>
                <w:szCs w:val="15"/>
              </w:rPr>
              <w:t xml:space="preserve">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1.09m MSMEs (96.1% of establishments), 39.5% of GDP, 48.7% of jobs, 14.3% of exports </w:t>
            </w:r>
            <w:r>
              <w:rPr>
                <w:color w:val="57606A"/>
                <w:sz w:val="15"/>
                <w:szCs w:val="15"/>
                <w:vertAlign w:val="superscript"/>
              </w:rPr>
              <w:t xml:space="preserve">[32]</w:t>
            </w:r>
            <w:r>
              <w:rPr>
                <w:b w:val="false"/>
                <w:bCs w:val="false"/>
                <w:sz w:val="15"/>
                <w:szCs w:val="15"/>
              </w:rPr>
              <w:t xml:space="preserve">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~65m MSMEs, ~60% of GDP, ~97% of employment, low export share </w:t>
            </w:r>
            <w:r>
              <w:rPr>
                <w:color w:val="57606A"/>
                <w:sz w:val="15"/>
                <w:szCs w:val="15"/>
                <w:vertAlign w:val="superscript"/>
              </w:rPr>
              <w:t xml:space="preserve">[58]</w:t>
            </w:r>
            <w:r>
              <w:rPr>
                <w:b w:val="false"/>
                <w:bCs w:val="false"/>
                <w:sz w:val="15"/>
                <w:szCs w:val="15"/>
              </w:rPr>
              <w:t xml:space="preserve"> </w:t>
            </w:r>
            <w:r>
              <w:rPr>
                <w:b/>
                <w:bCs/>
                <w:color w:val="1C5CAB"/>
                <w:sz w:val="12"/>
                <w:szCs w:val="12"/>
              </w:rPr>
              <w:t xml:space="preserve">[Fact]</w:t>
            </w:r>
          </w:p>
        </w:tc>
        <w:tc>
          <w:tcPr>
            <w:tcW w:type="dxa" w:w="205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~360,000 SMEs (98%+ of firms), ~43% of private employment </w:t>
            </w:r>
            <w:r>
              <w:rPr>
                <w:color w:val="57606A"/>
                <w:sz w:val="15"/>
                <w:szCs w:val="15"/>
                <w:vertAlign w:val="superscript"/>
              </w:rPr>
              <w:t xml:space="preserve">[72]</w:t>
            </w:r>
            <w:r>
              <w:rPr>
                <w:b w:val="false"/>
                <w:bCs w:val="false"/>
                <w:sz w:val="15"/>
                <w:szCs w:val="15"/>
              </w:rPr>
              <w:t xml:space="preserve"> </w:t>
            </w:r>
            <w:r>
              <w:rPr>
                <w:b/>
                <w:bCs/>
                <w:color w:val="1C5CAB"/>
                <w:sz w:val="12"/>
                <w:szCs w:val="12"/>
              </w:rPr>
              <w:t xml:space="preserve">[Fact]</w:t>
            </w:r>
          </w:p>
        </w:tc>
      </w:tr>
      <w:tr>
        <w:trPr>
          <w:cantSplit/>
        </w:trPr>
        <w:tc>
          <w:tcPr>
            <w:tcW w:type="dxa" w:w="153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awareness</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 3 in 4 have taken no concrete steps </w:t>
            </w:r>
            <w:r>
              <w:rPr>
                <w:color w:val="57606A"/>
                <w:sz w:val="15"/>
                <w:szCs w:val="15"/>
                <w:vertAlign w:val="superscript"/>
              </w:rPr>
              <w:t xml:space="preserve">[11]</w:t>
            </w:r>
            <w:r>
              <w:rPr>
                <w:b w:val="false"/>
                <w:bCs w:val="false"/>
                <w:sz w:val="15"/>
                <w:szCs w:val="15"/>
              </w:rPr>
              <w:t xml:space="preserve">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to moderate; 19% use environmentally friendly processes </w:t>
            </w:r>
            <w:r>
              <w:rPr>
                <w:color w:val="57606A"/>
                <w:sz w:val="15"/>
                <w:szCs w:val="15"/>
                <w:vertAlign w:val="superscript"/>
              </w:rPr>
              <w:t xml:space="preserve">[32]</w:t>
            </w:r>
            <w:r>
              <w:rPr>
                <w:b w:val="false"/>
                <w:bCs w:val="false"/>
                <w:sz w:val="15"/>
                <w:szCs w:val="15"/>
              </w:rPr>
              <w:t xml:space="preserve">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outside exporters </w:t>
            </w:r>
            <w:r>
              <w:rPr>
                <w:b/>
                <w:bCs/>
                <w:color w:val="6B4FA0"/>
                <w:sz w:val="12"/>
                <w:szCs w:val="12"/>
              </w:rPr>
              <w:t xml:space="preserve">[Analyst view]</w:t>
            </w:r>
          </w:p>
        </w:tc>
        <w:tc>
          <w:tcPr>
            <w:tcW w:type="dxa" w:w="205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 77% rate ESG important but risk awareness is limited </w:t>
            </w:r>
            <w:r>
              <w:rPr>
                <w:color w:val="57606A"/>
                <w:sz w:val="15"/>
                <w:szCs w:val="15"/>
                <w:vertAlign w:val="superscript"/>
              </w:rPr>
              <w:t xml:space="preserve">[73]</w:t>
            </w:r>
            <w:r>
              <w:rPr>
                <w:b w:val="false"/>
                <w:bCs w:val="false"/>
                <w:sz w:val="15"/>
                <w:szCs w:val="15"/>
              </w:rPr>
              <w:t xml:space="preserve"> </w:t>
            </w:r>
            <w:r>
              <w:rPr>
                <w:b/>
                <w:bCs/>
                <w:color w:val="1C5CAB"/>
                <w:sz w:val="12"/>
                <w:szCs w:val="12"/>
              </w:rPr>
              <w:t xml:space="preserve">[Fact]</w:t>
            </w:r>
          </w:p>
        </w:tc>
      </w:tr>
      <w:tr>
        <w:trPr>
          <w:cantSplit/>
        </w:trPr>
        <w:tc>
          <w:tcPr>
            <w:tcW w:type="dxa" w:w="15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Regulatory pressure</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None directly; indirect via STI Scope 3 and grants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 via NSRF Scope 3 from FY2027 (G1) and FY2028 (G2) </w:t>
            </w:r>
            <w:r>
              <w:rPr>
                <w:b/>
                <w:bCs/>
                <w:color w:val="9A6700"/>
                <w:sz w:val="12"/>
                <w:szCs w:val="12"/>
              </w:rPr>
              <w:t xml:space="preserve">[Announced]</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Direct for industrial SMEs through SIINas GHG reporting </w:t>
            </w:r>
            <w:r>
              <w:rPr>
                <w:color w:val="57606A"/>
                <w:sz w:val="15"/>
                <w:szCs w:val="15"/>
                <w:vertAlign w:val="superscript"/>
              </w:rPr>
              <w:t xml:space="preserve">[49]</w:t>
            </w:r>
            <w:r>
              <w:rPr>
                <w:b w:val="false"/>
                <w:bCs w:val="false"/>
                <w:sz w:val="15"/>
                <w:szCs w:val="15"/>
              </w:rPr>
              <w:t xml:space="preserve"> </w:t>
            </w:r>
            <w:r>
              <w:rPr>
                <w:b/>
                <w:bCs/>
                <w:color w:val="1A7F37"/>
                <w:sz w:val="12"/>
                <w:szCs w:val="12"/>
              </w:rPr>
              <w:t xml:space="preserve">[In force]</w:t>
            </w:r>
          </w:p>
        </w:tc>
        <w:tc>
          <w:tcPr>
            <w:tcW w:type="dxa" w:w="205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None directly; indirect via LargeCap Scope 3 FY2026 </w:t>
            </w:r>
            <w:r>
              <w:rPr>
                <w:b/>
                <w:bCs/>
                <w:color w:val="1A7F37"/>
                <w:sz w:val="12"/>
                <w:szCs w:val="12"/>
              </w:rPr>
              <w:t xml:space="preserve">[In force]</w:t>
            </w:r>
          </w:p>
        </w:tc>
      </w:tr>
      <w:tr>
        <w:trPr>
          <w:cantSplit/>
        </w:trPr>
        <w:tc>
          <w:tcPr>
            <w:tcW w:type="dxa" w:w="153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Customer and supply-chain pressure</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High for MNC suppliers: 91% of MNCs set supplier targets </w:t>
            </w:r>
            <w:r>
              <w:rPr>
                <w:color w:val="57606A"/>
                <w:sz w:val="15"/>
                <w:szCs w:val="15"/>
                <w:vertAlign w:val="superscript"/>
              </w:rPr>
              <w:t xml:space="preserve">[11]</w:t>
            </w:r>
            <w:r>
              <w:rPr>
                <w:b w:val="false"/>
                <w:bCs w:val="false"/>
                <w:sz w:val="15"/>
                <w:szCs w:val="15"/>
              </w:rPr>
              <w:t xml:space="preserve"> </w:t>
            </w:r>
            <w:r>
              <w:rPr>
                <w:b/>
                <w:bCs/>
                <w:color w:val="A35200"/>
                <w:sz w:val="12"/>
                <w:szCs w:val="12"/>
              </w:rPr>
              <w:t xml:space="preserve">[Estimate]</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High for E&amp;E, palm oil and component suppliers </w:t>
            </w:r>
            <w:r>
              <w:rPr>
                <w:b/>
                <w:bCs/>
                <w:color w:val="6B4FA0"/>
                <w:sz w:val="12"/>
                <w:szCs w:val="12"/>
              </w:rPr>
              <w:t xml:space="preserve">[Analyst view]</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High for palm oil, textile and nickel suppliers; low elsewhere </w:t>
            </w:r>
            <w:r>
              <w:rPr>
                <w:b/>
                <w:bCs/>
                <w:color w:val="6B4FA0"/>
                <w:sz w:val="12"/>
                <w:szCs w:val="12"/>
              </w:rPr>
              <w:t xml:space="preserve">[Analyst view]</w:t>
            </w:r>
          </w:p>
        </w:tc>
        <w:tc>
          <w:tcPr>
            <w:tcW w:type="dxa" w:w="205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 concentrated in suppliers to LargeCap and global brands </w:t>
            </w:r>
            <w:r>
              <w:rPr>
                <w:b/>
                <w:bCs/>
                <w:color w:val="6B4FA0"/>
                <w:sz w:val="12"/>
                <w:szCs w:val="12"/>
              </w:rPr>
              <w:t xml:space="preserve">[Analyst view]</w:t>
            </w:r>
          </w:p>
        </w:tc>
      </w:tr>
      <w:tr>
        <w:trPr>
          <w:cantSplit/>
        </w:trPr>
        <w:tc>
          <w:tcPr>
            <w:tcW w:type="dxa" w:w="15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Export-market pressure</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(re-export and services economy) </w:t>
            </w:r>
            <w:r>
              <w:rPr>
                <w:b/>
                <w:bCs/>
                <w:color w:val="6B4FA0"/>
                <w:sz w:val="12"/>
                <w:szCs w:val="12"/>
              </w:rPr>
              <w:t xml:space="preserve">[Analyst view]</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CBAM (steel, aluminium), EUDR (palm, rubber, wood)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EUDR, CBAM (steel, fertiliser), EU battery rules </w:t>
            </w:r>
            <w:r>
              <w:rPr>
                <w:b/>
                <w:bCs/>
                <w:color w:val="1C5CAB"/>
                <w:sz w:val="12"/>
                <w:szCs w:val="12"/>
              </w:rPr>
              <w:t xml:space="preserve">[Fact]</w:t>
            </w:r>
          </w:p>
        </w:tc>
        <w:tc>
          <w:tcPr>
            <w:tcW w:type="dxa" w:w="205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(Greater Bay Area manufacturing owned from Hong Kong) </w:t>
            </w:r>
            <w:r>
              <w:rPr>
                <w:b/>
                <w:bCs/>
                <w:color w:val="6B4FA0"/>
                <w:sz w:val="12"/>
                <w:szCs w:val="12"/>
              </w:rPr>
              <w:t xml:space="preserve">[Analyst view]</w:t>
            </w:r>
          </w:p>
        </w:tc>
      </w:tr>
      <w:tr>
        <w:trPr>
          <w:cantSplit/>
        </w:trPr>
        <w:tc>
          <w:tcPr>
            <w:tcW w:type="dxa" w:w="153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Financing pressure</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Growing as banks implement MAS transition guidelines </w:t>
            </w:r>
            <w:r>
              <w:rPr>
                <w:color w:val="57606A"/>
                <w:sz w:val="15"/>
                <w:szCs w:val="15"/>
                <w:vertAlign w:val="superscript"/>
              </w:rPr>
              <w:t xml:space="preserve">[10]</w:t>
            </w:r>
            <w:r>
              <w:rPr>
                <w:b w:val="false"/>
                <w:bCs w:val="false"/>
                <w:sz w:val="15"/>
                <w:szCs w:val="15"/>
              </w:rPr>
              <w:t xml:space="preserve"> </w:t>
            </w:r>
            <w:r>
              <w:rPr>
                <w:b/>
                <w:bCs/>
                <w:color w:val="0F7A55"/>
                <w:sz w:val="12"/>
                <w:szCs w:val="12"/>
              </w:rPr>
              <w:t xml:space="preserve">[Inference]</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Growing: CGC RM1bn ESG guarantee, bank Greening Value Chain programmes </w:t>
            </w:r>
            <w:r>
              <w:rPr>
                <w:color w:val="57606A"/>
                <w:sz w:val="15"/>
                <w:szCs w:val="15"/>
                <w:vertAlign w:val="superscript"/>
              </w:rPr>
              <w:t xml:space="preserve">[34]</w:t>
            </w:r>
            <w:r>
              <w:rPr>
                <w:b w:val="false"/>
                <w:bCs w:val="false"/>
                <w:sz w:val="15"/>
                <w:szCs w:val="15"/>
              </w:rPr>
              <w:t xml:space="preserve">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Early; will rise with OJK and TKBI </w:t>
            </w:r>
            <w:r>
              <w:rPr>
                <w:b/>
                <w:bCs/>
                <w:color w:val="0F7A55"/>
                <w:sz w:val="12"/>
                <w:szCs w:val="12"/>
              </w:rPr>
              <w:t xml:space="preserve">[Inference]</w:t>
            </w:r>
          </w:p>
        </w:tc>
        <w:tc>
          <w:tcPr>
            <w:tcW w:type="dxa" w:w="205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Growing: banks use the CASG questionnaire for non-listed borrowers </w:t>
            </w:r>
            <w:r>
              <w:rPr>
                <w:color w:val="57606A"/>
                <w:sz w:val="15"/>
                <w:szCs w:val="15"/>
                <w:vertAlign w:val="superscript"/>
              </w:rPr>
              <w:t xml:space="preserve">[71]</w:t>
            </w:r>
            <w:r>
              <w:rPr>
                <w:b w:val="false"/>
                <w:bCs w:val="false"/>
                <w:sz w:val="15"/>
                <w:szCs w:val="15"/>
              </w:rPr>
              <w:t xml:space="preserve"> </w:t>
            </w:r>
            <w:r>
              <w:rPr>
                <w:b/>
                <w:bCs/>
                <w:color w:val="1C5CAB"/>
                <w:sz w:val="12"/>
                <w:szCs w:val="12"/>
              </w:rPr>
              <w:t xml:space="preserve">[Fact]</w:t>
            </w:r>
          </w:p>
        </w:tc>
      </w:tr>
      <w:tr>
        <w:trPr>
          <w:cantSplit/>
        </w:trPr>
        <w:tc>
          <w:tcPr>
            <w:tcW w:type="dxa" w:w="15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Carbon accounting need</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and product data for customers </w:t>
            </w:r>
            <w:r>
              <w:rPr>
                <w:b/>
                <w:bCs/>
                <w:color w:val="6B4FA0"/>
                <w:sz w:val="12"/>
                <w:szCs w:val="12"/>
              </w:rPr>
              <w:t xml:space="preserve">[Analyst view]</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via SEDG calculator or LCOS; Scope 3 data for customers </w:t>
            </w:r>
            <w:r>
              <w:rPr>
                <w:color w:val="57606A"/>
                <w:sz w:val="15"/>
                <w:szCs w:val="15"/>
                <w:vertAlign w:val="superscript"/>
              </w:rPr>
              <w:t xml:space="preserve">[29,35]</w:t>
            </w:r>
            <w:r>
              <w:rPr>
                <w:b w:val="false"/>
                <w:bCs w:val="false"/>
                <w:sz w:val="15"/>
                <w:szCs w:val="15"/>
              </w:rPr>
              <w:t xml:space="preserve"> </w:t>
            </w:r>
            <w:r>
              <w:rPr>
                <w:b/>
                <w:bCs/>
                <w:color w:val="1C5CAB"/>
                <w:sz w:val="12"/>
                <w:szCs w:val="12"/>
              </w:rPr>
              <w:t xml:space="preserve">[Fact]</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for SIINas; product data for exporters </w:t>
            </w:r>
            <w:r>
              <w:rPr>
                <w:b/>
                <w:bCs/>
                <w:color w:val="1C5CAB"/>
                <w:sz w:val="12"/>
                <w:szCs w:val="12"/>
              </w:rPr>
              <w:t xml:space="preserve">[Fact]</w:t>
            </w:r>
          </w:p>
        </w:tc>
        <w:tc>
          <w:tcPr>
            <w:tcW w:type="dxa" w:w="205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1-2 for questionnaires </w:t>
            </w:r>
            <w:r>
              <w:rPr>
                <w:b/>
                <w:bCs/>
                <w:color w:val="6B4FA0"/>
                <w:sz w:val="12"/>
                <w:szCs w:val="12"/>
              </w:rPr>
              <w:t xml:space="preserve">[Analyst view]</w:t>
            </w:r>
          </w:p>
        </w:tc>
      </w:tr>
      <w:tr>
        <w:trPr>
          <w:cantSplit/>
        </w:trPr>
        <w:tc>
          <w:tcPr>
            <w:tcW w:type="dxa" w:w="153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Reporting need</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Customer questionnaires (CDP, EcoVadis), grant-funded first reports </w:t>
            </w:r>
            <w:r>
              <w:rPr>
                <w:b/>
                <w:bCs/>
                <w:color w:val="6B4FA0"/>
                <w:sz w:val="12"/>
                <w:szCs w:val="12"/>
              </w:rPr>
              <w:t xml:space="preserve">[Analyst view]</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SEDG-based disclosure for customers and banks </w:t>
            </w:r>
            <w:r>
              <w:rPr>
                <w:color w:val="57606A"/>
                <w:sz w:val="15"/>
                <w:szCs w:val="15"/>
                <w:vertAlign w:val="superscript"/>
              </w:rPr>
              <w:t xml:space="preserve">[28]</w:t>
            </w:r>
            <w:r>
              <w:rPr>
                <w:b w:val="false"/>
                <w:bCs w:val="false"/>
                <w:sz w:val="15"/>
                <w:szCs w:val="15"/>
              </w:rPr>
              <w:t xml:space="preserve"> </w:t>
            </w:r>
            <w:r>
              <w:rPr>
                <w:b/>
                <w:bCs/>
                <w:color w:val="57606A"/>
                <w:sz w:val="12"/>
                <w:szCs w:val="12"/>
              </w:rPr>
              <w:t xml:space="preserve">[Voluntary]</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Basic GHG reports and buyer questionnaires </w:t>
            </w:r>
            <w:r>
              <w:rPr>
                <w:b/>
                <w:bCs/>
                <w:color w:val="6B4FA0"/>
                <w:sz w:val="12"/>
                <w:szCs w:val="12"/>
              </w:rPr>
              <w:t xml:space="preserve">[Analyst view]</w:t>
            </w:r>
          </w:p>
        </w:tc>
        <w:tc>
          <w:tcPr>
            <w:tcW w:type="dxa" w:w="205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CASG questionnaire; customer questionnaires </w:t>
            </w:r>
            <w:r>
              <w:rPr>
                <w:b/>
                <w:bCs/>
                <w:color w:val="57606A"/>
                <w:sz w:val="12"/>
                <w:szCs w:val="12"/>
              </w:rPr>
              <w:t xml:space="preserve">[Voluntary]</w:t>
            </w:r>
          </w:p>
        </w:tc>
      </w:tr>
      <w:tr>
        <w:trPr>
          <w:cantSplit/>
        </w:trPr>
        <w:tc>
          <w:tcPr>
            <w:tcW w:type="dxa" w:w="15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Willingness to pay</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Highest, especially with 50-70% co-funding </w:t>
            </w:r>
            <w:r>
              <w:rPr>
                <w:b/>
                <w:bCs/>
                <w:color w:val="A35200"/>
                <w:sz w:val="12"/>
                <w:szCs w:val="12"/>
              </w:rPr>
              <w:t xml:space="preserve">[Estimate]</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improved by RM50k tax deduction </w:t>
            </w:r>
            <w:r>
              <w:rPr>
                <w:color w:val="57606A"/>
                <w:sz w:val="15"/>
                <w:szCs w:val="15"/>
                <w:vertAlign w:val="superscript"/>
              </w:rPr>
              <w:t xml:space="preserve">[30]</w:t>
            </w:r>
            <w:r>
              <w:rPr>
                <w:b w:val="false"/>
                <w:bCs w:val="false"/>
                <w:sz w:val="15"/>
                <w:szCs w:val="15"/>
              </w:rPr>
              <w:t xml:space="preserve"> </w:t>
            </w:r>
            <w:r>
              <w:rPr>
                <w:b/>
                <w:bCs/>
                <w:color w:val="A35200"/>
                <w:sz w:val="12"/>
                <w:szCs w:val="12"/>
              </w:rPr>
              <w:t xml:space="preserve">[Estimate]</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Low except exporters and larger family firms </w:t>
            </w:r>
            <w:r>
              <w:rPr>
                <w:b/>
                <w:bCs/>
                <w:color w:val="A35200"/>
                <w:sz w:val="12"/>
                <w:szCs w:val="12"/>
              </w:rPr>
              <w:t xml:space="preserve">[Estimate]</w:t>
            </w:r>
          </w:p>
        </w:tc>
        <w:tc>
          <w:tcPr>
            <w:tcW w:type="dxa" w:w="205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price-sensitive </w:t>
            </w:r>
            <w:r>
              <w:rPr>
                <w:b/>
                <w:bCs/>
                <w:color w:val="A35200"/>
                <w:sz w:val="12"/>
                <w:szCs w:val="12"/>
              </w:rPr>
              <w:t xml:space="preserve">[Estimate]</w:t>
            </w:r>
          </w:p>
        </w:tc>
      </w:tr>
      <w:tr>
        <w:trPr>
          <w:cantSplit/>
        </w:trPr>
        <w:tc>
          <w:tcPr>
            <w:tcW w:type="dxa" w:w="153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Internal sustainability teams</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Rare; usually the owner, finance or HSE lead </w:t>
            </w:r>
            <w:r>
              <w:rPr>
                <w:b/>
                <w:bCs/>
                <w:color w:val="6B4FA0"/>
                <w:sz w:val="12"/>
                <w:szCs w:val="12"/>
              </w:rPr>
              <w:t xml:space="preserve">[Analyst view]</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Rare; usually finance or HSE </w:t>
            </w:r>
            <w:r>
              <w:rPr>
                <w:b/>
                <w:bCs/>
                <w:color w:val="6B4FA0"/>
                <w:sz w:val="12"/>
                <w:szCs w:val="12"/>
              </w:rPr>
              <w:t xml:space="preserve">[Analyst view]</w:t>
            </w:r>
          </w:p>
        </w:tc>
        <w:tc>
          <w:tcPr>
            <w:tcW w:type="dxa" w:w="205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Very rare; HSE manager at best </w:t>
            </w:r>
            <w:r>
              <w:rPr>
                <w:b/>
                <w:bCs/>
                <w:color w:val="6B4FA0"/>
                <w:sz w:val="12"/>
                <w:szCs w:val="12"/>
              </w:rPr>
              <w:t xml:space="preserve">[Analyst view]</w:t>
            </w:r>
          </w:p>
        </w:tc>
        <w:tc>
          <w:tcPr>
            <w:tcW w:type="dxa" w:w="205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Rare; usually finance or company secretary </w:t>
            </w:r>
            <w:r>
              <w:rPr>
                <w:b/>
                <w:bCs/>
                <w:color w:val="6B4FA0"/>
                <w:sz w:val="12"/>
                <w:szCs w:val="12"/>
              </w:rPr>
              <w:t xml:space="preserve">[Analyst view]</w:t>
            </w:r>
          </w:p>
        </w:tc>
      </w:tr>
      <w:tr>
        <w:trPr>
          <w:cantSplit/>
        </w:trPr>
        <w:tc>
          <w:tcPr>
            <w:tcW w:type="dxa" w:w="153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Best SME entry point</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Grant-funded projects through trade associations and ESP partners </w:t>
            </w:r>
            <w:r>
              <w:rPr>
                <w:b/>
                <w:bCs/>
                <w:color w:val="0F7A55"/>
                <w:sz w:val="12"/>
                <w:szCs w:val="12"/>
              </w:rPr>
              <w:t xml:space="preserve">[Inference]</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Bank Greening Value Chain programmes, FMM and SEDG adopter networks </w:t>
            </w:r>
            <w:r>
              <w:rPr>
                <w:b/>
                <w:bCs/>
                <w:color w:val="0F7A55"/>
                <w:sz w:val="12"/>
                <w:szCs w:val="12"/>
              </w:rPr>
              <w:t xml:space="preserve">[Inference]</w:t>
            </w:r>
          </w:p>
        </w:tc>
        <w:tc>
          <w:tcPr>
            <w:tcW w:type="dxa" w:w="205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Industry associations, exporter clusters and bank programmes, in Bahasa </w:t>
            </w:r>
            <w:r>
              <w:rPr>
                <w:b/>
                <w:bCs/>
                <w:color w:val="0F7A55"/>
                <w:sz w:val="12"/>
                <w:szCs w:val="12"/>
              </w:rPr>
              <w:t xml:space="preserve">[Inference]</w:t>
            </w:r>
          </w:p>
        </w:tc>
        <w:tc>
          <w:tcPr>
            <w:tcW w:type="dxa" w:w="205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Banks, HKSMEA ESG Charter, HKPC programmes </w:t>
            </w:r>
            <w:r>
              <w:rPr>
                <w:b/>
                <w:bCs/>
                <w:color w:val="0F7A55"/>
                <w:sz w:val="12"/>
                <w:szCs w:val="12"/>
              </w:rPr>
              <w:t xml:space="preserve">[Inference]</w:t>
            </w:r>
          </w:p>
        </w:tc>
      </w:tr>
    </w:tbl>
    <w:p>
      <w:pPr>
        <w:spacing w:after="120"/>
      </w:pPr>
    </w:p>
    <w:p>
      <w:pPr>
        <w:pStyle w:val="Heading2"/>
      </w:pPr>
      <w:r>
        <w:t xml:space="preserve">4.1 Where the SME money is</w:t>
      </w:r>
    </w:p>
    <w:p>
      <w:pPr>
        <w:pStyle w:val="ListParagraph"/>
        <w:numPr>
          <w:ilvl w:val="0"/>
          <w:numId w:val="3"/>
        </w:numPr>
        <w:spacing w:after="60" w:line="264"/>
      </w:pPr>
      <w:r>
        <w:rPr>
          <w:b/>
          <w:bCs/>
        </w:rPr>
        <w:t xml:space="preserve">Malaysia offers the largest SME opportunity you can actually monetise.</w:t>
      </w:r>
      <w:r>
        <w:t xml:space="preserve"> It combines a standard disclosure format (SEDG v2, aligned with the ASEAN guide </w:t>
      </w:r>
      <w:r>
        <w:rPr>
          <w:color w:val="57606A"/>
          <w:vertAlign w:val="superscript"/>
        </w:rPr>
        <w:t xml:space="preserve">[28]</w:t>
      </w:r>
      <w:r>
        <w:t xml:space="preserve">), a free government calculator </w:t>
      </w:r>
      <w:r>
        <w:rPr>
          <w:color w:val="57606A"/>
          <w:vertAlign w:val="superscript"/>
        </w:rPr>
        <w:t xml:space="preserve">[29]</w:t>
      </w:r>
      <w:r>
        <w:t xml:space="preserve">, a tax deduction worth up to RM50,000 a year </w:t>
      </w:r>
      <w:r>
        <w:rPr>
          <w:color w:val="57606A"/>
          <w:vertAlign w:val="superscript"/>
        </w:rPr>
        <w:t xml:space="preserve">[30]</w:t>
      </w:r>
      <w:r>
        <w:t xml:space="preserve">, a RM1 billion SME ESG financing guarantee and bank programmes that need delivery partners </w:t>
      </w:r>
      <w:r>
        <w:rPr>
          <w:color w:val="57606A"/>
          <w:vertAlign w:val="superscript"/>
        </w:rPr>
        <w:t xml:space="preserve">[34]</w:t>
      </w:r>
      <w:r>
        <w:t xml:space="preserve">, and heavy export exposure. </w:t>
      </w:r>
      <w:r>
        <w:rPr>
          <w:b/>
          <w:bCs/>
          <w:color w:val="0F7A55"/>
          <w:sz w:val="16"/>
          <w:szCs w:val="16"/>
        </w:rPr>
        <w:t xml:space="preserve">[Inference]</w:t>
      </w:r>
    </w:p>
    <w:p>
      <w:pPr>
        <w:pStyle w:val="ListParagraph"/>
        <w:numPr>
          <w:ilvl w:val="0"/>
          <w:numId w:val="3"/>
        </w:numPr>
        <w:spacing w:after="60" w:line="264"/>
      </w:pPr>
      <w:r>
        <w:rPr>
          <w:b/>
          <w:bCs/>
        </w:rPr>
        <w:t xml:space="preserve">Singapore pays best per SME</w:t>
      </w:r>
      <w:r>
        <w:t xml:space="preserve"> because the state co-funds 50 to 70% of the cost </w:t>
      </w:r>
      <w:r>
        <w:rPr>
          <w:color w:val="57606A"/>
          <w:vertAlign w:val="superscript"/>
        </w:rPr>
        <w:t xml:space="preserve">[6,7,8]</w:t>
      </w:r>
      <w:r>
        <w:t xml:space="preserve">, but the pool is smaller and competition from local boutiques and platforms is intense. </w:t>
      </w:r>
      <w:r>
        <w:rPr>
          <w:b/>
          <w:bCs/>
          <w:color w:val="0F7A55"/>
          <w:sz w:val="16"/>
          <w:szCs w:val="16"/>
        </w:rPr>
        <w:t xml:space="preserve">[Inference]</w:t>
      </w:r>
    </w:p>
    <w:p>
      <w:pPr>
        <w:pStyle w:val="ListParagraph"/>
        <w:numPr>
          <w:ilvl w:val="0"/>
          <w:numId w:val="3"/>
        </w:numPr>
        <w:spacing w:after="60" w:line="264"/>
      </w:pPr>
      <w:r>
        <w:rPr>
          <w:b/>
          <w:bCs/>
        </w:rPr>
        <w:t xml:space="preserve">Indonesia has the largest SME population</w:t>
      </w:r>
      <w:r>
        <w:t xml:space="preserve"> but low ability to pay. The opportunity is in exporter clusters (palm oil, textiles, furniture, coffee) and industrial SMEs that must report through SIINas. It needs a low-cost, Bahasa-language, tool-based delivery model, ideally sponsored by a buyer, bank or association. </w:t>
      </w:r>
      <w:r>
        <w:rPr>
          <w:b/>
          <w:bCs/>
          <w:color w:val="0F7A55"/>
          <w:sz w:val="16"/>
          <w:szCs w:val="16"/>
        </w:rPr>
        <w:t xml:space="preserve">[Inference]</w:t>
      </w:r>
    </w:p>
    <w:p>
      <w:pPr>
        <w:pStyle w:val="ListParagraph"/>
        <w:numPr>
          <w:ilvl w:val="0"/>
          <w:numId w:val="3"/>
        </w:numPr>
        <w:spacing w:after="60" w:line="264"/>
      </w:pPr>
      <w:r>
        <w:rPr>
          <w:b/>
          <w:bCs/>
        </w:rPr>
        <w:t xml:space="preserve">Hong Kong SMEs</w:t>
      </w:r>
      <w:r>
        <w:t xml:space="preserve"> respond mostly to bank questionnaires and large-customer requests. Bank and HKPC channels work better than direct sales. </w:t>
      </w:r>
      <w:r>
        <w:rPr>
          <w:b/>
          <w:bCs/>
          <w:color w:val="0F7A55"/>
          <w:sz w:val="16"/>
          <w:szCs w:val="16"/>
        </w:rPr>
        <w:t xml:space="preserve">[Inference]</w:t>
      </w:r>
    </w:p>
    <w:p>
      <w:pPr>
        <w:pStyle w:val="Heading2"/>
      </w:pPr>
      <w:r>
        <w:t xml:space="preserve">4.2 Affordable SME packages and indicative prices</w:t>
      </w:r>
    </w:p>
    <w:p>
      <w:pPr>
        <w:spacing w:after="120" w:before="0" w:line="276"/>
      </w:pPr>
      <w:r>
        <w:rPr>
          <w:sz w:val="18"/>
          <w:szCs w:val="18"/>
        </w:rPr>
        <w:t xml:space="preserve">Prices are estimates for an independent or boutique provider, before any grant or tax relief. Treat them as starting points to test. </w:t>
      </w:r>
      <w:r>
        <w:rPr>
          <w:b/>
          <w:bCs/>
          <w:color w:val="A35200"/>
          <w:sz w:val="14"/>
          <w:szCs w:val="14"/>
        </w:rPr>
        <w:t xml:space="preserve">[Estimate]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66"/>
        <w:gridCol w:w="2079"/>
        <w:gridCol w:w="1545"/>
        <w:gridCol w:w="1545"/>
        <w:gridCol w:w="1604"/>
        <w:gridCol w:w="1607"/>
      </w:tblGrid>
      <w:tr>
        <w:trPr>
          <w:cantSplit/>
          <w:tblHeader/>
        </w:trPr>
        <w:tc>
          <w:tcPr>
            <w:tcW w:type="dxa" w:w="136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Package</w:t>
            </w:r>
          </w:p>
        </w:tc>
        <w:tc>
          <w:tcPr>
            <w:tcW w:type="dxa" w:w="207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Contents</w:t>
            </w:r>
          </w:p>
        </w:tc>
        <w:tc>
          <w:tcPr>
            <w:tcW w:type="dxa" w:w="154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154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160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16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13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Starter</w:t>
            </w:r>
          </w:p>
        </w:tc>
        <w:tc>
          <w:tcPr>
            <w:tcW w:type="dxa" w:w="207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Gap check against customer and bank requests, 5-7 core policies, one-page ESG profile</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S$4k–10k (≈US$3.1k–7.8k)</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RM6k–15k (≈US$1.5k–3.7k)</w:t>
            </w:r>
          </w:p>
        </w:tc>
        <w:tc>
          <w:tcPr>
            <w:tcW w:type="dxa" w:w="160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25m–75m (≈US$1.4k–4.2k)</w:t>
            </w:r>
          </w:p>
        </w:tc>
        <w:tc>
          <w:tcPr>
            <w:tcW w:type="dxa" w:w="16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HK$20k–50k (≈US$2.6k–6.4k)</w:t>
            </w:r>
          </w:p>
        </w:tc>
      </w:tr>
      <w:tr>
        <w:trPr>
          <w:cantSplit/>
        </w:trPr>
        <w:tc>
          <w:tcPr>
            <w:tcW w:type="dxa" w:w="136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Scope 1-2 Carbon Baseline</w:t>
            </w:r>
          </w:p>
        </w:tc>
        <w:tc>
          <w:tcPr>
            <w:tcW w:type="dxa" w:w="207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GHG Protocol inventory, emission factors, calculator set-up, short report</w:t>
            </w:r>
          </w:p>
        </w:tc>
        <w:tc>
          <w:tcPr>
            <w:tcW w:type="dxa" w:w="15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S$5k–12k (≈US$3.9k–9.4k)</w:t>
            </w:r>
          </w:p>
        </w:tc>
        <w:tc>
          <w:tcPr>
            <w:tcW w:type="dxa" w:w="15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RM8k–20k (≈US$2k–4.9k)</w:t>
            </w:r>
          </w:p>
        </w:tc>
        <w:tc>
          <w:tcPr>
            <w:tcW w:type="dxa" w:w="160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35m–100m (≈US$2k–5.6k)</w:t>
            </w:r>
          </w:p>
        </w:tc>
        <w:tc>
          <w:tcPr>
            <w:tcW w:type="dxa" w:w="16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HK$20k–50k (≈US$2.6k–6.4k)</w:t>
            </w:r>
          </w:p>
        </w:tc>
      </w:tr>
      <w:tr>
        <w:trPr>
          <w:cantSplit/>
        </w:trPr>
        <w:tc>
          <w:tcPr>
            <w:tcW w:type="dxa" w:w="13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Supplier Questionnaire Kit</w:t>
            </w:r>
          </w:p>
        </w:tc>
        <w:tc>
          <w:tcPr>
            <w:tcW w:type="dxa" w:w="207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Answers and evidence for CDP, EcoVadis, SEDG or CASG questionnaires</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S$3k–8k (≈US$2.3k–6.3k)</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RM5k–12k (≈US$1.2k–2.9k)</w:t>
            </w:r>
          </w:p>
        </w:tc>
        <w:tc>
          <w:tcPr>
            <w:tcW w:type="dxa" w:w="160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20m–60m (≈US$1.1k–3.4k)</w:t>
            </w:r>
          </w:p>
        </w:tc>
        <w:tc>
          <w:tcPr>
            <w:tcW w:type="dxa" w:w="16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HK$15k–40k (≈US$1.9k–5.1k)</w:t>
            </w:r>
          </w:p>
        </w:tc>
      </w:tr>
      <w:tr>
        <w:trPr>
          <w:cantSplit/>
        </w:trPr>
        <w:tc>
          <w:tcPr>
            <w:tcW w:type="dxa" w:w="136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SME Sustainability Report</w:t>
            </w:r>
          </w:p>
        </w:tc>
        <w:tc>
          <w:tcPr>
            <w:tcW w:type="dxa" w:w="207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Short report on SEDG, VSME or GRI basis</w:t>
            </w:r>
          </w:p>
        </w:tc>
        <w:tc>
          <w:tcPr>
            <w:tcW w:type="dxa" w:w="15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S$8k–20k (≈US$6.3k–16k)</w:t>
            </w:r>
          </w:p>
        </w:tc>
        <w:tc>
          <w:tcPr>
            <w:tcW w:type="dxa" w:w="15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RM12k–30k (≈US$2.9k–7.4k)</w:t>
            </w:r>
          </w:p>
        </w:tc>
        <w:tc>
          <w:tcPr>
            <w:tcW w:type="dxa" w:w="160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50m–150m (≈US$2.8k–8.4k)</w:t>
            </w:r>
          </w:p>
        </w:tc>
        <w:tc>
          <w:tcPr>
            <w:tcW w:type="dxa" w:w="16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HK$40k–100k (≈US$5.1k–13k)</w:t>
            </w:r>
          </w:p>
        </w:tc>
      </w:tr>
      <w:tr>
        <w:trPr>
          <w:cantSplit/>
        </w:trPr>
        <w:tc>
          <w:tcPr>
            <w:tcW w:type="dxa" w:w="13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Export Compliance Pack</w:t>
            </w:r>
          </w:p>
        </w:tc>
        <w:tc>
          <w:tcPr>
            <w:tcW w:type="dxa" w:w="207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CBAM embedded emissions or EUDR traceability data pack</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Limited demand</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RM15k–60k (≈US$3.7k–15k)</w:t>
            </w:r>
          </w:p>
        </w:tc>
        <w:tc>
          <w:tcPr>
            <w:tcW w:type="dxa" w:w="160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75m–300m (≈US$4.2k–17k)</w:t>
            </w:r>
          </w:p>
        </w:tc>
        <w:tc>
          <w:tcPr>
            <w:tcW w:type="dxa" w:w="16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HK$40k–120k (≈US$5.1k–15k)</w:t>
            </w:r>
          </w:p>
        </w:tc>
      </w:tr>
      <w:tr>
        <w:trPr>
          <w:cantSplit/>
        </w:trPr>
        <w:tc>
          <w:tcPr>
            <w:tcW w:type="dxa" w:w="136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Outsourced ESG Desk (monthly)</w:t>
            </w:r>
          </w:p>
        </w:tc>
        <w:tc>
          <w:tcPr>
            <w:tcW w:type="dxa" w:w="207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Data collection, questionnaire answers, customer requests, annual update</w:t>
            </w:r>
          </w:p>
        </w:tc>
        <w:tc>
          <w:tcPr>
            <w:tcW w:type="dxa" w:w="15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S$2k–4k (≈US$1.2k–3.1k)</w:t>
            </w:r>
          </w:p>
        </w:tc>
        <w:tc>
          <w:tcPr>
            <w:tcW w:type="dxa" w:w="15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RM3k–6k (≈US$0.6k–1.5k)</w:t>
            </w:r>
          </w:p>
        </w:tc>
        <w:tc>
          <w:tcPr>
            <w:tcW w:type="dxa" w:w="160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10m–30m (≈US$0.6k–1.7k)</w:t>
            </w:r>
          </w:p>
        </w:tc>
        <w:tc>
          <w:tcPr>
            <w:tcW w:type="dxa" w:w="16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HK$8k–25k (≈US$1k–3.2k)</w:t>
            </w:r>
          </w:p>
        </w:tc>
      </w:tr>
      <w:tr>
        <w:trPr>
          <w:cantSplit/>
        </w:trPr>
        <w:tc>
          <w:tcPr>
            <w:tcW w:type="dxa" w:w="13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Team training (half day)</w:t>
            </w:r>
          </w:p>
        </w:tc>
        <w:tc>
          <w:tcPr>
            <w:tcW w:type="dxa" w:w="207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GHG basics, customer requirements, data collection</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S$2k–4k (≈US$1.2k–2.7k)</w:t>
            </w:r>
          </w:p>
        </w:tc>
        <w:tc>
          <w:tcPr>
            <w:tcW w:type="dxa" w:w="15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RM3k–6k (≈US$0.6k–1.5k)</w:t>
            </w:r>
          </w:p>
        </w:tc>
        <w:tc>
          <w:tcPr>
            <w:tcW w:type="dxa" w:w="160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10m–25m (≈US$0.6k–1.4k)</w:t>
            </w:r>
          </w:p>
        </w:tc>
        <w:tc>
          <w:tcPr>
            <w:tcW w:type="dxa" w:w="16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HK$8k–20k (≈US$1k–2.6k)</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SME delivery model that works across markets</w:t>
            </w:r>
          </w:p>
          <w:p>
            <w:pPr>
              <w:pStyle w:val="ListParagraph"/>
              <w:numPr>
                <w:ilvl w:val="0"/>
                <w:numId w:val="4"/>
              </w:numPr>
              <w:spacing w:after="30" w:line="240"/>
            </w:pPr>
            <w:r>
              <w:rPr>
                <w:sz w:val="19"/>
                <w:szCs w:val="19"/>
              </w:rPr>
              <w:t xml:space="preserve">Productise: fixed scope, fixed price, two to four weeks, delivered mostly remotely with a standard data request template.</w:t>
            </w:r>
          </w:p>
          <w:p>
            <w:pPr>
              <w:pStyle w:val="ListParagraph"/>
              <w:numPr>
                <w:ilvl w:val="0"/>
                <w:numId w:val="4"/>
              </w:numPr>
              <w:spacing w:after="30" w:line="240"/>
            </w:pPr>
            <w:r>
              <w:rPr>
                <w:sz w:val="19"/>
                <w:szCs w:val="19"/>
              </w:rPr>
              <w:t xml:space="preserve">Use free or low-cost tools where clients expect them (SEDG calculator, LCOS, SME Climate Hub, CASG questionnaire) and charge for interpretation, data quality and the deliverable.</w:t>
            </w:r>
          </w:p>
          <w:p>
            <w:pPr>
              <w:pStyle w:val="ListParagraph"/>
              <w:numPr>
                <w:ilvl w:val="0"/>
                <w:numId w:val="4"/>
              </w:numPr>
              <w:spacing w:after="30" w:line="240"/>
            </w:pPr>
            <w:r>
              <w:rPr>
                <w:sz w:val="19"/>
                <w:szCs w:val="19"/>
              </w:rPr>
              <w:t xml:space="preserve">Sell through a sponsor: a bank programme, trade association, MNC supplier programme or software vendor. Direct cold outreach to individual SMEs is expensive per sale.</w:t>
            </w:r>
          </w:p>
          <w:p>
            <w:pPr>
              <w:pStyle w:val="ListParagraph"/>
              <w:numPr>
                <w:ilvl w:val="0"/>
                <w:numId w:val="4"/>
              </w:numPr>
              <w:spacing w:after="30" w:line="240"/>
            </w:pPr>
            <w:r>
              <w:rPr>
                <w:sz w:val="19"/>
                <w:szCs w:val="19"/>
              </w:rPr>
              <w:t xml:space="preserve">Add a low monthly retainer for ongoing customer requests; this is where SME margins come from. </w:t>
            </w:r>
            <w:r>
              <w:rPr>
                <w:b/>
                <w:bCs/>
                <w:color w:val="0F7A55"/>
                <w:sz w:val="15"/>
                <w:szCs w:val="15"/>
              </w:rPr>
              <w:t xml:space="preserve">[Inference]</w:t>
            </w:r>
          </w:p>
        </w:tc>
      </w:tr>
    </w:tbl>
    <w:p>
      <w:pPr>
        <w:pStyle w:val="Heading1"/>
        <w:pageBreakBefore/>
      </w:pPr>
      <w:r>
        <w:t xml:space="preserve">Part 5: Competitor analysis and market gaps</w:t>
      </w:r>
    </w:p>
    <w:p>
      <w:pPr>
        <w:spacing w:after="120" w:before="0" w:line="276"/>
      </w:pPr>
      <w:r>
        <w:t xml:space="preserve">The competitive question for a small consultancy is not "who is in the market" but "which clients do the incumbents serve badly". In every market, the Big Four and global consultancies concentrate on the largest companies and financial institutions, and low-cost local providers concentrate on narrative report writing. The gaps sit between those two groups.</w:t>
      </w:r>
    </w:p>
    <w:p>
      <w:pPr>
        <w:pStyle w:val="Heading2"/>
      </w:pPr>
      <w:r>
        <w:t xml:space="preserve">5.1 Singapore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12"/>
        <w:gridCol w:w="2664"/>
        <w:gridCol w:w="2664"/>
        <w:gridCol w:w="2806"/>
      </w:tblGrid>
      <w:tr>
        <w:trPr>
          <w:cantSplit/>
          <w:tblHeader/>
        </w:trPr>
        <w:tc>
          <w:tcPr>
            <w:tcW w:type="dxa" w:w="16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Segment</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Examples (not exhaustive)</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Where they focus</w:t>
            </w:r>
          </w:p>
        </w:tc>
        <w:tc>
          <w:tcPr>
            <w:tcW w:type="dxa" w:w="280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means for you</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Big Four</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PwC, EY, Deloitte, KPMG</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STI constituents, banks, MAS-regulated firms, assurance</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Rarely profitable below about S$100k per engagement; they turn away or under-staff mid-cap and SME work and sometimes subcontract specialists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Global sustainability consultancies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ERM, Anthesis, South Pole, Ramboll, Arup, WSP, Accenture, strategy houses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MNC strategy, net zero, carbon markets, large Scope 3 programmes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Potential subcontracting for data-heavy Scope 3 and supplier work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Mid-tier audit and advisory</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Baker Tilly, RSM, BDO, Grant Thornton, Forvis Mazars, Crowe</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Listed mid-caps, SRG-funded first reports</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Need specialist capacity for climate scenarios, Scope 3 and data systems; natural partners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and ESG software</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Gprnt (ESGenome), Unravel Carbon, Terrascope, Zuno Carbon, Susgain and ~18 local carbon accounting start-ups </w:t>
            </w:r>
            <w:r>
              <w:rPr>
                <w:color w:val="57606A"/>
                <w:sz w:val="15"/>
                <w:szCs w:val="15"/>
                <w:vertAlign w:val="superscript"/>
              </w:rPr>
              <w:t xml:space="preserve">[12,16,17]</w:t>
            </w:r>
            <w:r>
              <w:rPr>
                <w:b w:val="false"/>
                <w:bCs w:val="false"/>
                <w:sz w:val="15"/>
                <w:szCs w:val="15"/>
              </w:rPr>
              <w:t xml:space="preserve">; global platforms (Workiva, Persefoni, Sweep, Watershed)</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Data capture and reporting; most need implementation partners for SMEs and mid-caps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Implementation and white-label partnerships; avoid competing on software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Certification, verification, assurance</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SGS, TÜV SÜD, Bureau Veritas, DNV, BSI, LRQA; audit firms for assurance</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GHG verification, ISO 14064, carbon tax MRV verification</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partners: they cannot also do readiness work for the same client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Boutiques and independents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Large and growing number of local boutiques and ex-Big Four independents </w:t>
            </w:r>
            <w:r>
              <w:rPr>
                <w:b/>
                <w:bCs/>
                <w:color w:val="6B4FA0"/>
                <w:sz w:val="12"/>
                <w:szCs w:val="12"/>
              </w:rPr>
              <w:t xml:space="preserve">[Analyst view]</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SMEs, small caps, grant-funded projects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Crowded; differentiate by sector depth (maritime, semiconductors, REITs) or by delivery inside MNC supplier programmes </w:t>
            </w:r>
            <w:r>
              <w:rPr>
                <w:b/>
                <w:bCs/>
                <w:color w:val="0F7A55"/>
                <w:sz w:val="12"/>
                <w:szCs w:val="12"/>
              </w:rPr>
              <w:t xml:space="preserve">[Inference]</w:t>
            </w:r>
          </w:p>
        </w:tc>
      </w:tr>
    </w:tbl>
    <w:p>
      <w:pPr>
        <w:pStyle w:val="Heading3"/>
      </w:pPr>
      <w:r>
        <w:t xml:space="preserve">Gaps a smaller consultancy can exploit</w:t>
      </w:r>
    </w:p>
    <w:p>
      <w:pPr>
        <w:pStyle w:val="ListParagraph"/>
        <w:numPr>
          <w:ilvl w:val="0"/>
          <w:numId w:val="3"/>
        </w:numPr>
        <w:spacing w:after="60" w:line="264"/>
      </w:pPr>
      <w:r>
        <w:t xml:space="preserve">Supplier-side delivery for MNC Scope 3 programmes: MNCs set targets, but someone has to collect and fix SME supplier data across the region. </w:t>
      </w:r>
      <w:r>
        <w:rPr>
          <w:b/>
          <w:bCs/>
          <w:color w:val="0F7A55"/>
          <w:sz w:val="16"/>
          <w:szCs w:val="16"/>
        </w:rPr>
        <w:t xml:space="preserve">[Inference]</w:t>
      </w:r>
    </w:p>
    <w:p>
      <w:pPr>
        <w:pStyle w:val="ListParagraph"/>
        <w:numPr>
          <w:ilvl w:val="0"/>
          <w:numId w:val="3"/>
        </w:numPr>
        <w:spacing w:after="60" w:line="264"/>
      </w:pPr>
      <w:r>
        <w:t xml:space="preserve">Grant-funded first reports and carbon footprints for SMEs and S$100m+ private companies using the SRG, ESP and EDGE. </w:t>
      </w:r>
      <w:r>
        <w:rPr>
          <w:b/>
          <w:bCs/>
          <w:color w:val="0F7A55"/>
          <w:sz w:val="16"/>
          <w:szCs w:val="16"/>
        </w:rPr>
        <w:t xml:space="preserve">[Inference]</w:t>
      </w:r>
    </w:p>
    <w:p>
      <w:pPr>
        <w:pStyle w:val="ListParagraph"/>
        <w:numPr>
          <w:ilvl w:val="0"/>
          <w:numId w:val="3"/>
        </w:numPr>
        <w:spacing w:after="60" w:line="264"/>
      </w:pPr>
      <w:r>
        <w:t xml:space="preserve">Implementation partner for carbon software vendors who need people to onboard clients, especially in Malaysia and Indonesia. </w:t>
      </w:r>
      <w:r>
        <w:rPr>
          <w:b/>
          <w:bCs/>
          <w:color w:val="0F7A55"/>
          <w:sz w:val="16"/>
          <w:szCs w:val="16"/>
        </w:rPr>
        <w:t xml:space="preserve">[Inference]</w:t>
      </w:r>
    </w:p>
    <w:p>
      <w:pPr>
        <w:pStyle w:val="ListParagraph"/>
        <w:numPr>
          <w:ilvl w:val="0"/>
          <w:numId w:val="3"/>
        </w:numPr>
        <w:spacing w:after="60" w:line="264"/>
      </w:pPr>
      <w:r>
        <w:t xml:space="preserve">Readiness work for ≥S$1bn non-STI issuers ahead of FY2028; most will start in 2027. </w:t>
      </w:r>
      <w:r>
        <w:rPr>
          <w:b/>
          <w:bCs/>
          <w:color w:val="0F7A55"/>
          <w:sz w:val="16"/>
          <w:szCs w:val="16"/>
        </w:rPr>
        <w:t xml:space="preserve">[Inference]</w:t>
      </w:r>
    </w:p>
    <w:p>
      <w:pPr>
        <w:pStyle w:val="Heading2"/>
      </w:pPr>
      <w:r>
        <w:t xml:space="preserve">5.2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12"/>
        <w:gridCol w:w="2664"/>
        <w:gridCol w:w="2664"/>
        <w:gridCol w:w="2806"/>
      </w:tblGrid>
      <w:tr>
        <w:trPr>
          <w:cantSplit/>
          <w:tblHeader/>
        </w:trPr>
        <w:tc>
          <w:tcPr>
            <w:tcW w:type="dxa" w:w="16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Segment</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Examples (not exhaustive)</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Where they focus</w:t>
            </w:r>
          </w:p>
        </w:tc>
        <w:tc>
          <w:tcPr>
            <w:tcW w:type="dxa" w:w="280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means for you</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Big Four</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PwC, EY, Deloitte, KPMG Malaysia</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1 issuers, banks, GLCs</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Capacity is tight as Groups 2 and 3 arrive; fee floors leave mid and small caps open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Mid-tier audit, tax and corporate secretarial</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Grant Thornton, BDO, Crowe, Baker Tilly, UHY, RSM, Nexia; company secretarial groups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Group 2 and ACE issuers, often bundled with audit or secretarial services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Strongest partnership channel. Many lack climate scenario, Scope 3 and assurance-readiness depth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Engineering and environmental consultancies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Local EIA firms; ERM, Arup and others in KL</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Environmental permitting, energy audits, large industrial clients</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Partners for site-level data; few do ISSB reporting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and ESG software</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Bursa CSI platform (with LSEG), MGTC LCOS, Pantas, Lestar ESG (Mandrill Tech) and regional platforms </w:t>
            </w:r>
            <w:r>
              <w:rPr>
                <w:color w:val="57606A"/>
                <w:sz w:val="15"/>
                <w:szCs w:val="15"/>
                <w:vertAlign w:val="superscript"/>
              </w:rPr>
              <w:t xml:space="preserve">[35]</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Listed company data capture; SME calculators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Implementation demand exceeds vendor capacity; the ESG tax deduction covers software subscriptions </w:t>
            </w:r>
            <w:r>
              <w:rPr>
                <w:color w:val="57606A"/>
                <w:sz w:val="15"/>
                <w:szCs w:val="15"/>
                <w:vertAlign w:val="superscript"/>
              </w:rPr>
              <w:t xml:space="preserve">[30]</w:t>
            </w:r>
            <w:r>
              <w:rPr>
                <w:b w:val="false"/>
                <w:bCs w:val="false"/>
                <w:sz w:val="15"/>
                <w:szCs w:val="15"/>
              </w:rPr>
              <w:t xml:space="preserve">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Certification and verification</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SIRIM QAS International, SGS, Bureau Veritas, TÜV, DNV, BSI, Control Union (MSPO, RSPO)</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Verification, MSPO and RSPO audits, ISO 14064</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partners for readiness work ahead of reasonable assurance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Associations and programmes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UN Global Compact Network Malaysia and Brunei, ICDM, MIA and MICPA, CMM SEDG adopters, JC3 SME Focus Group</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Training and SME programmes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Routes to market and credibility; deliver training through them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Boutiques and independents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Growing pool of KL-based boutiques </w:t>
            </w:r>
            <w:r>
              <w:rPr>
                <w:b/>
                <w:bCs/>
                <w:color w:val="6B4FA0"/>
                <w:sz w:val="12"/>
                <w:szCs w:val="12"/>
              </w:rPr>
              <w:t xml:space="preserve">[Analyst view]</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Small caps and SMEs</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Fewer specialists than Singapore; quality varies, which favours an experienced provider </w:t>
            </w:r>
            <w:r>
              <w:rPr>
                <w:b/>
                <w:bCs/>
                <w:color w:val="6B4FA0"/>
                <w:sz w:val="12"/>
                <w:szCs w:val="12"/>
              </w:rPr>
              <w:t xml:space="preserve">[Analyst view]</w:t>
            </w:r>
          </w:p>
        </w:tc>
      </w:tr>
    </w:tbl>
    <w:p>
      <w:pPr>
        <w:pStyle w:val="Heading3"/>
      </w:pPr>
      <w:r>
        <w:t xml:space="preserve">Gaps a smaller consultancy can exploit</w:t>
      </w:r>
    </w:p>
    <w:p>
      <w:pPr>
        <w:pStyle w:val="ListParagraph"/>
        <w:numPr>
          <w:ilvl w:val="0"/>
          <w:numId w:val="3"/>
        </w:numPr>
        <w:spacing w:after="60" w:line="264"/>
      </w:pPr>
      <w:r>
        <w:t xml:space="preserve">IFRS S2 first-time reports for Group 2 (several hundred Main Market issuers) and Group 3 (ACE issuers and large non-listed groups), where Big Four fees do not fit. </w:t>
      </w:r>
      <w:r>
        <w:rPr>
          <w:b/>
          <w:bCs/>
          <w:color w:val="0F7A55"/>
          <w:sz w:val="16"/>
          <w:szCs w:val="16"/>
        </w:rPr>
        <w:t xml:space="preserve">[Inference]</w:t>
      </w:r>
    </w:p>
    <w:p>
      <w:pPr>
        <w:pStyle w:val="ListParagraph"/>
        <w:numPr>
          <w:ilvl w:val="0"/>
          <w:numId w:val="3"/>
        </w:numPr>
        <w:spacing w:after="60" w:line="264"/>
      </w:pPr>
      <w:r>
        <w:t xml:space="preserve">Scope 1-2 reasonable-assurance readiness: the shift from limited to reasonable assurance is demanding, and most issuers have never had GHG data tested. </w:t>
      </w:r>
      <w:r>
        <w:rPr>
          <w:b/>
          <w:bCs/>
          <w:color w:val="0F7A55"/>
          <w:sz w:val="16"/>
          <w:szCs w:val="16"/>
        </w:rPr>
        <w:t xml:space="preserve">[Inference]</w:t>
      </w:r>
    </w:p>
    <w:p>
      <w:pPr>
        <w:pStyle w:val="ListParagraph"/>
        <w:numPr>
          <w:ilvl w:val="0"/>
          <w:numId w:val="3"/>
        </w:numPr>
        <w:spacing w:after="60" w:line="264"/>
      </w:pPr>
      <w:r>
        <w:t xml:space="preserve">Subcontracted specialist capacity for mid-tier audit and secretarial firms selling NSRF bundles. </w:t>
      </w:r>
      <w:r>
        <w:rPr>
          <w:b/>
          <w:bCs/>
          <w:color w:val="0F7A55"/>
          <w:sz w:val="16"/>
          <w:szCs w:val="16"/>
        </w:rPr>
        <w:t xml:space="preserve">[Inference]</w:t>
      </w:r>
    </w:p>
    <w:p>
      <w:pPr>
        <w:pStyle w:val="ListParagraph"/>
        <w:numPr>
          <w:ilvl w:val="0"/>
          <w:numId w:val="3"/>
        </w:numPr>
        <w:spacing w:after="60" w:line="264"/>
      </w:pPr>
      <w:r>
        <w:t xml:space="preserve">Large non-listed groups with RM2bn revenue: no listing-driven ESG history, often family-owned, need an outsourced ESG function. </w:t>
      </w:r>
      <w:r>
        <w:rPr>
          <w:b/>
          <w:bCs/>
          <w:color w:val="0F7A55"/>
          <w:sz w:val="16"/>
          <w:szCs w:val="16"/>
        </w:rPr>
        <w:t xml:space="preserve">[Inference]</w:t>
      </w:r>
    </w:p>
    <w:p>
      <w:pPr>
        <w:pStyle w:val="ListParagraph"/>
        <w:numPr>
          <w:ilvl w:val="0"/>
          <w:numId w:val="3"/>
        </w:numPr>
        <w:spacing w:after="60" w:line="264"/>
      </w:pPr>
      <w:r>
        <w:t xml:space="preserve">SME delivery for bank Greening Value Chain programmes and MNC supplier programmes in electronics. </w:t>
      </w:r>
      <w:r>
        <w:rPr>
          <w:b/>
          <w:bCs/>
          <w:color w:val="0F7A55"/>
          <w:sz w:val="16"/>
          <w:szCs w:val="16"/>
        </w:rPr>
        <w:t xml:space="preserve">[Inference]</w:t>
      </w:r>
    </w:p>
    <w:p>
      <w:pPr>
        <w:pStyle w:val="Heading2"/>
      </w:pPr>
      <w:r>
        <w:t xml:space="preserve">5.3 Indonesia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12"/>
        <w:gridCol w:w="2664"/>
        <w:gridCol w:w="2664"/>
        <w:gridCol w:w="2806"/>
      </w:tblGrid>
      <w:tr>
        <w:trPr>
          <w:cantSplit/>
          <w:tblHeader/>
        </w:trPr>
        <w:tc>
          <w:tcPr>
            <w:tcW w:type="dxa" w:w="16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Segment</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Examples (not exhaustive)</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Where they focus</w:t>
            </w:r>
          </w:p>
        </w:tc>
        <w:tc>
          <w:tcPr>
            <w:tcW w:type="dxa" w:w="280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means for you</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Big Four</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PwC, Deloitte, EY, KPMG Indonesia</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 banks, state-owned enterprises, top issuers, assurance</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Will absorb the top of the PSPK wave; limited capacity below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Report-writing agencies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Many local sustainability report writers and design agencies; NCCR (runs ASRRAT and training) </w:t>
            </w:r>
            <w:r>
              <w:rPr>
                <w:color w:val="57606A"/>
                <w:sz w:val="15"/>
                <w:szCs w:val="15"/>
                <w:vertAlign w:val="superscript"/>
              </w:rPr>
              <w:t xml:space="preserve">[56]</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POJK 51 narrative reports, often bundled with design</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Cheap but weak on PSPK-level climate analysis; partner or out-compete on technical depth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Environmental consultancies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Local AMDAL/EIA firms, ERM Indonesia and others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Permitting, PROPER, environmental monitoring</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Data partners for GHG inventories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platforms and developers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Jejakin (Scope 1-3 platform, US$2.7m raised) </w:t>
            </w:r>
            <w:r>
              <w:rPr>
                <w:color w:val="57606A"/>
                <w:sz w:val="15"/>
                <w:szCs w:val="15"/>
                <w:vertAlign w:val="superscript"/>
              </w:rPr>
              <w:t xml:space="preserve">[57]</w:t>
            </w:r>
            <w:r>
              <w:rPr>
                <w:b w:val="false"/>
                <w:bCs w:val="false"/>
                <w:sz w:val="15"/>
                <w:szCs w:val="15"/>
              </w:rPr>
              <w:t xml:space="preserve">, Fairatmos, CarbonEthics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Carbon accounting, carbon credit projects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Possible implementation partnerships; carbon credit work is crowded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Testing, inspection, certification</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Sucofindo, Surveyor Indonesia, SGS, TÜV Rheinland, Bureau Veritas, Control Union</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Verification, ISPO and RSPO audits, GHG verification</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partners once OJK mandates assurance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Associations and institutes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IAI (accountants), IBCSD, Kadin, GAPKI, APINDO</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Standards, training, member programmes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Key for credibility and introductions </w:t>
            </w:r>
            <w:r>
              <w:rPr>
                <w:b/>
                <w:bCs/>
                <w:color w:val="0F7A55"/>
                <w:sz w:val="12"/>
                <w:szCs w:val="12"/>
              </w:rPr>
              <w:t xml:space="preserve">[Inference]</w:t>
            </w:r>
          </w:p>
        </w:tc>
      </w:tr>
    </w:tbl>
    <w:p>
      <w:pPr>
        <w:pStyle w:val="Heading3"/>
      </w:pPr>
      <w:r>
        <w:t xml:space="preserve">Gaps a smaller consultancy can exploit</w:t>
      </w:r>
    </w:p>
    <w:p>
      <w:pPr>
        <w:pStyle w:val="ListParagraph"/>
        <w:numPr>
          <w:ilvl w:val="0"/>
          <w:numId w:val="3"/>
        </w:numPr>
        <w:spacing w:after="60" w:line="264"/>
      </w:pPr>
      <w:r>
        <w:t xml:space="preserve">Technical PSPK capability (climate risk, scenario analysis, GHG to assurance standard) for issuers whose current report writer cannot provide it. </w:t>
      </w:r>
      <w:r>
        <w:rPr>
          <w:b/>
          <w:bCs/>
          <w:color w:val="0F7A55"/>
          <w:sz w:val="16"/>
          <w:szCs w:val="16"/>
        </w:rPr>
        <w:t xml:space="preserve">[Inference]</w:t>
      </w:r>
    </w:p>
    <w:p>
      <w:pPr>
        <w:pStyle w:val="ListParagraph"/>
        <w:numPr>
          <w:ilvl w:val="0"/>
          <w:numId w:val="3"/>
        </w:numPr>
        <w:spacing w:after="60" w:line="264"/>
      </w:pPr>
      <w:r>
        <w:t xml:space="preserve">Train-the-team programmes in Bahasa for issuers, through IAI or associations. </w:t>
      </w:r>
      <w:r>
        <w:rPr>
          <w:b/>
          <w:bCs/>
          <w:color w:val="0F7A55"/>
          <w:sz w:val="16"/>
          <w:szCs w:val="16"/>
        </w:rPr>
        <w:t xml:space="preserve">[Inference]</w:t>
      </w:r>
    </w:p>
    <w:p>
      <w:pPr>
        <w:pStyle w:val="ListParagraph"/>
        <w:numPr>
          <w:ilvl w:val="0"/>
          <w:numId w:val="3"/>
        </w:numPr>
        <w:spacing w:after="60" w:line="264"/>
      </w:pPr>
      <w:r>
        <w:t xml:space="preserve">Manufacturing GHG inventories for SIINas and CBAM, priced for mid-sized firms. </w:t>
      </w:r>
      <w:r>
        <w:rPr>
          <w:b/>
          <w:bCs/>
          <w:color w:val="0F7A55"/>
          <w:sz w:val="16"/>
          <w:szCs w:val="16"/>
        </w:rPr>
        <w:t xml:space="preserve">[Inference]</w:t>
      </w:r>
    </w:p>
    <w:p>
      <w:pPr>
        <w:pStyle w:val="ListParagraph"/>
        <w:numPr>
          <w:ilvl w:val="0"/>
          <w:numId w:val="3"/>
        </w:numPr>
        <w:spacing w:after="60" w:line="264"/>
      </w:pPr>
      <w:r>
        <w:t xml:space="preserve">White-label technical support for local report-writing agencies that want to keep their clients through the PSPK transition. </w:t>
      </w:r>
      <w:r>
        <w:rPr>
          <w:b/>
          <w:bCs/>
          <w:color w:val="0F7A55"/>
          <w:sz w:val="16"/>
          <w:szCs w:val="16"/>
        </w:rPr>
        <w:t xml:space="preserve">[Inference]</w:t>
      </w:r>
    </w:p>
    <w:p>
      <w:pPr>
        <w:pStyle w:val="Heading2"/>
      </w:pPr>
      <w:r>
        <w:t xml:space="preserve">5.4 Hong Kong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12"/>
        <w:gridCol w:w="2664"/>
        <w:gridCol w:w="2664"/>
        <w:gridCol w:w="2806"/>
      </w:tblGrid>
      <w:tr>
        <w:trPr>
          <w:cantSplit/>
          <w:tblHeader/>
        </w:trPr>
        <w:tc>
          <w:tcPr>
            <w:tcW w:type="dxa" w:w="16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Segment</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Examples (not exhaustive)</w:t>
            </w:r>
          </w:p>
        </w:tc>
        <w:tc>
          <w:tcPr>
            <w:tcW w:type="dxa" w:w="266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Where they focus</w:t>
            </w:r>
          </w:p>
        </w:tc>
        <w:tc>
          <w:tcPr>
            <w:tcW w:type="dxa" w:w="280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means for you</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Big Four</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PwC, EY, Deloitte, KPMG</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LargeCap, banks, assurance</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Dominant at the top; potential subcontracting for Scope 3 and data work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Mid-tier and local CPA firms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BDO, Grant Thornton, Forvis Mazars, Crowe, Moore, SHINEWING, Baker Tilly and many smaller practices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ESG reports for small and mid caps; assurance under the coming regime</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Main partnership channel. Need ISSB and Scope 3 depth as the AFRC regime arrives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Local ESG boutiques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Many, e.g. GreenCo, Clenergize, AVISTA and numerous small firms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Low-cost ESG report writing for small caps</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Price competition is intense; avoid the commodity report market </w:t>
            </w:r>
            <w:r>
              <w:rPr>
                <w:b/>
                <w:bCs/>
                <w:color w:val="6B4FA0"/>
                <w:sz w:val="12"/>
                <w:szCs w:val="12"/>
              </w:rPr>
              <w:t xml:space="preserve">[Analyst view]</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Engineering and NGO-linked advisers</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Arup, WSP, AECOM, Ramboll, ERM; BEC; Carbon Care Asia; HKPC</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Buildings, energy, carbon audits, SME programmes</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Partners for building energy data; HKPC and BEC run SME and member programmes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Software</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Diginex (diginexESG) and regional and global platforms</w:t>
            </w:r>
          </w:p>
        </w:tc>
        <w:tc>
          <w:tcPr>
            <w:tcW w:type="dxa" w:w="266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Listed-company ESG data</w:t>
            </w:r>
          </w:p>
        </w:tc>
        <w:tc>
          <w:tcPr>
            <w:tcW w:type="dxa" w:w="280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Implementation partnerships possible </w:t>
            </w:r>
            <w:r>
              <w:rPr>
                <w:b/>
                <w:bCs/>
                <w:color w:val="0F7A55"/>
                <w:sz w:val="12"/>
                <w:szCs w:val="12"/>
              </w:rPr>
              <w:t xml:space="preserve">[Inference]</w:t>
            </w:r>
          </w:p>
        </w:tc>
      </w:tr>
      <w:tr>
        <w:trPr>
          <w:cantSplit/>
        </w:trPr>
        <w:tc>
          <w:tcPr>
            <w:tcW w:type="dxa" w:w="16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Certification and assurance</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HKQAA, SGS, BSI, TÜV, Bureau Veritas, DNV, Intertek</w:t>
            </w:r>
          </w:p>
        </w:tc>
        <w:tc>
          <w:tcPr>
            <w:tcW w:type="dxa" w:w="266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Verification, ratings, green finance certification</w:t>
            </w:r>
          </w:p>
        </w:tc>
        <w:tc>
          <w:tcPr>
            <w:tcW w:type="dxa" w:w="280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Non-CPA providers may seek accreditation under the AFRC proposals; potential allies </w:t>
            </w:r>
            <w:r>
              <w:rPr>
                <w:b/>
                <w:bCs/>
                <w:color w:val="0F7A55"/>
                <w:sz w:val="12"/>
                <w:szCs w:val="12"/>
              </w:rPr>
              <w:t xml:space="preserve">[Inference]</w:t>
            </w:r>
          </w:p>
        </w:tc>
      </w:tr>
    </w:tbl>
    <w:p>
      <w:pPr>
        <w:pStyle w:val="Heading3"/>
      </w:pPr>
      <w:r>
        <w:t xml:space="preserve">Gaps a smaller consultancy can exploit</w:t>
      </w:r>
    </w:p>
    <w:p>
      <w:pPr>
        <w:pStyle w:val="ListParagraph"/>
        <w:numPr>
          <w:ilvl w:val="0"/>
          <w:numId w:val="3"/>
        </w:numPr>
        <w:spacing w:after="60" w:line="264"/>
      </w:pPr>
      <w:r>
        <w:t xml:space="preserve">Scope 3 inventories and supplier data for LargeCap issuers and their mid-cap followers. </w:t>
      </w:r>
      <w:r>
        <w:rPr>
          <w:b/>
          <w:bCs/>
          <w:color w:val="0F7A55"/>
          <w:sz w:val="16"/>
          <w:szCs w:val="16"/>
        </w:rPr>
        <w:t xml:space="preserve">[Inference]</w:t>
      </w:r>
    </w:p>
    <w:p>
      <w:pPr>
        <w:pStyle w:val="ListParagraph"/>
        <w:numPr>
          <w:ilvl w:val="0"/>
          <w:numId w:val="3"/>
        </w:numPr>
        <w:spacing w:after="60" w:line="264"/>
      </w:pPr>
      <w:r>
        <w:t xml:space="preserve">Assurance-readiness for issuers before the third mandatory reporting year under the AFRC proposals. </w:t>
      </w:r>
      <w:r>
        <w:rPr>
          <w:b/>
          <w:bCs/>
          <w:color w:val="0F7A55"/>
          <w:sz w:val="16"/>
          <w:szCs w:val="16"/>
        </w:rPr>
        <w:t xml:space="preserve">[Inference]</w:t>
      </w:r>
    </w:p>
    <w:p>
      <w:pPr>
        <w:pStyle w:val="ListParagraph"/>
        <w:numPr>
          <w:ilvl w:val="0"/>
          <w:numId w:val="3"/>
        </w:numPr>
        <w:spacing w:after="60" w:line="264"/>
      </w:pPr>
      <w:r>
        <w:t xml:space="preserve">Technical subcontracting for small CPA firms that sell ESG reports but lack climate scenario or Scope 3 expertise. </w:t>
      </w:r>
      <w:r>
        <w:rPr>
          <w:b/>
          <w:bCs/>
          <w:color w:val="0F7A55"/>
          <w:sz w:val="16"/>
          <w:szCs w:val="16"/>
        </w:rPr>
        <w:t xml:space="preserve">[Inference]</w:t>
      </w:r>
    </w:p>
    <w:p>
      <w:pPr>
        <w:pStyle w:val="ListParagraph"/>
        <w:numPr>
          <w:ilvl w:val="0"/>
          <w:numId w:val="3"/>
        </w:numPr>
        <w:spacing w:after="60" w:line="264"/>
      </w:pPr>
      <w:r>
        <w:t xml:space="preserve">HKFRS S1 readiness (non-climate sustainability risks) once HKEX consults in 2027. </w:t>
      </w:r>
      <w:r>
        <w:rPr>
          <w:b/>
          <w:bCs/>
          <w:color w:val="0F7A55"/>
          <w:sz w:val="16"/>
          <w:szCs w:val="16"/>
        </w:rPr>
        <w:t xml:space="preserve">[Inference]</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Cross-market gap summary</w:t>
            </w:r>
          </w:p>
          <w:p>
            <w:pPr>
              <w:spacing w:after="40" w:line="240"/>
            </w:pPr>
            <w:r>
              <w:rPr>
                <w:sz w:val="19"/>
                <w:szCs w:val="19"/>
              </w:rPr>
              <w:t xml:space="preserve">The most consistent gap across all four markets is </w:t>
            </w:r>
            <w:r>
              <w:rPr>
                <w:b/>
                <w:bCs/>
                <w:sz w:val="19"/>
                <w:szCs w:val="19"/>
              </w:rPr>
              <w:t xml:space="preserve">technical delivery for mid-sized companies that have a reporting obligation but no internal team</w:t>
            </w:r>
            <w:r>
              <w:rPr>
                <w:sz w:val="19"/>
                <w:szCs w:val="19"/>
              </w:rPr>
              <w:t xml:space="preserve">, sold either directly or through mid-tier audit firms, banks and software vendors. The least attractive space is generic narrative report writing, which is crowded and is being compressed by AI tools. </w:t>
            </w:r>
            <w:r>
              <w:rPr>
                <w:b/>
                <w:bCs/>
                <w:color w:val="0F7A55"/>
                <w:sz w:val="15"/>
                <w:szCs w:val="15"/>
              </w:rPr>
              <w:t xml:space="preserve">[Inference]</w:t>
            </w:r>
          </w:p>
        </w:tc>
      </w:tr>
    </w:tbl>
    <w:p>
      <w:pPr>
        <w:sectPr>
          <w:headerReference w:type="default" r:id="rId13"/>
          <w:footerReference w:type="default" r:id="rId14"/>
          <w:pgSz w:w="11906" w:h="16838" w:orient="portrait"/>
          <w:pgMar w:top="1080" w:right="1080" w:bottom="1080" w:left="1080" w:header="500" w:footer="500" w:gutter="0"/>
          <w:pgNumType/>
          <w:titlePg w:val="false"/>
          <w:docGrid w:linePitch="360"/>
        </w:sectPr>
      </w:pPr>
    </w:p>
    <w:p>
      <w:pPr>
        <w:pStyle w:val="Heading1"/>
      </w:pPr>
      <w:r>
        <w:t xml:space="preserve">Part 6: Business development conditions</w:t>
      </w:r>
    </w:p>
    <w:p>
      <w:pPr>
        <w:spacing w:after="120" w:before="0" w:line="276"/>
      </w:pPr>
      <w:r>
        <w:t xml:space="preserve">How hard is it for a foreign or remote consultant to win clients in each market? The table summarises the practical conditions. Tax and visa points are general observations; confirm them with an adviser before structuring contracts.</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750"/>
        <w:gridCol w:w="3231"/>
        <w:gridCol w:w="3231"/>
        <w:gridCol w:w="3231"/>
        <w:gridCol w:w="3235"/>
      </w:tblGrid>
      <w:tr>
        <w:trPr>
          <w:cantSplit/>
          <w:tblHeader/>
        </w:trPr>
        <w:tc>
          <w:tcPr>
            <w:tcW w:type="dxa" w:w="175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Factor</w:t>
            </w:r>
          </w:p>
        </w:tc>
        <w:tc>
          <w:tcPr>
            <w:tcW w:type="dxa" w:w="323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323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323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323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Ease of entry</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Easy to start, hard to stand out. English, transparent procurement, fast company checks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Easy. English widely used in business; buyers open to non-Big Four providers if credible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Hard. Relationship-led, Bahasa preferred, longer sales cycles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English works for listed companies; Cantonese and Mandarin matter in mid-market and A+H issuers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Need for local presence</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for advisory; helpful for grant-funded SME work where clients expect site visits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to moderate; occasional KL or Penang visits close deals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High; a local partner or associate is close to essential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 local partner helps with Chinese-language clients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Local relationships</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Important but meritocratic; referrals from partners and alumni networks work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Important; referrals from audit firms, banks and associations carry weight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Critical; introductions through partners, associations and alumni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Important; CPA firm and company secretary relationships drive most issuer work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Language</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English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English for listed and MNC clients; Bahasa Malaysia helpful for SMEs and government programmes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Bahasa Indonesia for most client work and all training; English with top issuers and MNC subsidiaries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English and Traditional Chinese; Mandarin for mainland-linked clients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Business culture</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Process-driven, price-aware, evidence-based; values credentials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Relationship and trust first, then price; hierarchical decision-making in family groups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Hierarchical, consensus-building, face-to-face preferred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Fast-paced, cost-driven, deadline-focused around reporting season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Local partners available</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Many: mid-tier firms, software vendors, associations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Many: mid-tier audit, company secretarial, engineering firms, SEDG adopters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Fewer high-quality partners; report-writing agencies and environmental consultancies most accessible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Many CPA firms and boutiques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Ability to work remotely</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data work remote, workshops in person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for technical work; relationship meetings in person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Subcontracting to larger firms</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Possible with global consultancies and software vendors; Big Four use specialists sparingly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Good: mid-tier firms and Big Four are capacity-constrained as Groups 2 and 3 arrive </w:t>
            </w:r>
            <w:r>
              <w:rPr>
                <w:b/>
                <w:bCs/>
                <w:color w:val="0F7A55"/>
                <w:sz w:val="12"/>
                <w:szCs w:val="12"/>
              </w:rPr>
              <w:t xml:space="preserve">[Inference]</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Good later (2027-28) as PSPK work peaks; Big Four and local agencies will need help </w:t>
            </w:r>
            <w:r>
              <w:rPr>
                <w:b/>
                <w:bCs/>
                <w:color w:val="0F7A55"/>
                <w:sz w:val="12"/>
                <w:szCs w:val="12"/>
              </w:rPr>
              <w:t xml:space="preserve">[Inference]</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Good with CPA firms preparing for assurance; Big Four for Scope 3 data </w:t>
            </w:r>
            <w:r>
              <w:rPr>
                <w:b/>
                <w:bCs/>
                <w:color w:val="0F7A55"/>
                <w:sz w:val="12"/>
                <w:szCs w:val="12"/>
              </w:rPr>
              <w:t xml:space="preserve">[Inference]</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Partnering with accounting firms</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Good with mid-tier firms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Very good; the strongest channel </w:t>
            </w:r>
            <w:r>
              <w:rPr>
                <w:b/>
                <w:bCs/>
                <w:color w:val="0F7A55"/>
                <w:sz w:val="12"/>
                <w:szCs w:val="12"/>
              </w:rPr>
              <w:t xml:space="preserve">[Inference]</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Good with network firms (Crowe, RSM, BDO affiliates)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Very good; many small CPA firms need ESG depth </w:t>
            </w:r>
            <w:r>
              <w:rPr>
                <w:b/>
                <w:bCs/>
                <w:color w:val="0F7A55"/>
                <w:sz w:val="12"/>
                <w:szCs w:val="12"/>
              </w:rPr>
              <w:t xml:space="preserve">[Inference]</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Partnering with certification bodies</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Referral relationships; they cannot advise the clients they verify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Same; SIRIM QAS and international TIC firms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Sucofindo, Surveyor Indonesia and international TIC firms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HKQAA and international TIC firms; potential accredited assurance providers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Partnering with software providers</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Very good; many vendors need implementation partners </w:t>
            </w:r>
            <w:r>
              <w:rPr>
                <w:color w:val="57606A"/>
                <w:sz w:val="15"/>
                <w:szCs w:val="15"/>
                <w:vertAlign w:val="superscript"/>
              </w:rPr>
              <w:t xml:space="preserve">[16]</w:t>
            </w:r>
            <w:r>
              <w:rPr>
                <w:b w:val="false"/>
                <w:bCs w:val="false"/>
                <w:sz w:val="15"/>
                <w:szCs w:val="15"/>
              </w:rPr>
              <w:t xml:space="preserve">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Good; local platforms and regional vendors expanding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Good; Jejakin and regional vendors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Client procurement approach</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Formal proposals with 2-3 quotes; grant rules shape scope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Proposals with quotes; board approval for listed companies; often bundled with audit or secretarial work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Formal tenders for large firms and SOEs; relationship-based awards for private groups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Quote-based, price-led for small caps; panels for large caps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LinkedIn effectiveness</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High for listed and MNC decision makers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WhatsApp and personal introductions often work better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Moderate to high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Cold email effectiveness</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to moderate; better when tied to a deadline or grant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 when tied to NSRF group deadlines </w:t>
            </w:r>
            <w:r>
              <w:rPr>
                <w:b/>
                <w:bCs/>
                <w:color w:val="6B4FA0"/>
                <w:sz w:val="12"/>
                <w:szCs w:val="12"/>
              </w:rPr>
              <w:t xml:space="preserve">[Analyst view]</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unless in Bahasa and from a known name </w:t>
            </w:r>
            <w:r>
              <w:rPr>
                <w:b/>
                <w:bCs/>
                <w:color w:val="6B4FA0"/>
                <w:sz w:val="12"/>
                <w:szCs w:val="12"/>
              </w:rPr>
              <w:t xml:space="preserve">[Analyst view]</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to moderate </w:t>
            </w:r>
            <w:r>
              <w:rPr>
                <w:b/>
                <w:bCs/>
                <w:color w:val="6B4FA0"/>
                <w:sz w:val="12"/>
                <w:szCs w:val="12"/>
              </w:rPr>
              <w:t xml:space="preserve">[Analyst view]</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Conferences and events</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Ecosperity Week (May) </w:t>
            </w:r>
            <w:r>
              <w:rPr>
                <w:color w:val="57606A"/>
                <w:sz w:val="15"/>
                <w:szCs w:val="15"/>
                <w:vertAlign w:val="superscript"/>
              </w:rPr>
              <w:t xml:space="preserve">[86]</w:t>
            </w:r>
            <w:r>
              <w:rPr>
                <w:b w:val="false"/>
                <w:bCs w:val="false"/>
                <w:sz w:val="15"/>
                <w:szCs w:val="15"/>
              </w:rPr>
              <w:t xml:space="preserve">, Singapore International Energy Week (26-30 Oct 2026) </w:t>
            </w:r>
            <w:r>
              <w:rPr>
                <w:color w:val="57606A"/>
                <w:sz w:val="15"/>
                <w:szCs w:val="15"/>
                <w:vertAlign w:val="superscript"/>
              </w:rPr>
              <w:t xml:space="preserve">[87]</w:t>
            </w:r>
            <w:r>
              <w:rPr>
                <w:b w:val="false"/>
                <w:bCs w:val="false"/>
                <w:sz w:val="15"/>
                <w:szCs w:val="15"/>
              </w:rPr>
              <w:t xml:space="preserve">, ISCA and SGX events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IGEM (7-9 Oct 2026) </w:t>
            </w:r>
            <w:r>
              <w:rPr>
                <w:color w:val="57606A"/>
                <w:sz w:val="15"/>
                <w:szCs w:val="15"/>
                <w:vertAlign w:val="superscript"/>
              </w:rPr>
              <w:t xml:space="preserve">[39]</w:t>
            </w:r>
            <w:r>
              <w:rPr>
                <w:b w:val="false"/>
                <w:bCs w:val="false"/>
                <w:sz w:val="15"/>
                <w:szCs w:val="15"/>
              </w:rPr>
              <w:t xml:space="preserve">, Bursa and SC sustainability events, UNGCMYB forums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Indonesia International Sustainability Forum (6-7 Oct 2026), ISF </w:t>
            </w:r>
            <w:r>
              <w:rPr>
                <w:color w:val="57606A"/>
                <w:sz w:val="15"/>
                <w:szCs w:val="15"/>
                <w:vertAlign w:val="superscript"/>
              </w:rPr>
              <w:t xml:space="preserve">[61]</w:t>
            </w:r>
            <w:r>
              <w:rPr>
                <w:b w:val="false"/>
                <w:bCs w:val="false"/>
                <w:sz w:val="15"/>
                <w:szCs w:val="15"/>
              </w:rPr>
              <w:t xml:space="preserve">, ASRRAT awards </w:t>
            </w:r>
            <w:r>
              <w:rPr>
                <w:color w:val="57606A"/>
                <w:sz w:val="15"/>
                <w:szCs w:val="15"/>
                <w:vertAlign w:val="superscript"/>
              </w:rPr>
              <w:t xml:space="preserve">[56]</w:t>
            </w:r>
            <w:r>
              <w:rPr>
                <w:b w:val="false"/>
                <w:bCs w:val="false"/>
                <w:sz w:val="15"/>
                <w:szCs w:val="15"/>
              </w:rPr>
              <w:t xml:space="preserve"> </w:t>
            </w:r>
            <w:r>
              <w:rPr>
                <w:b/>
                <w:bCs/>
                <w:color w:val="1C5CAB"/>
                <w:sz w:val="12"/>
                <w:szCs w:val="12"/>
              </w:rPr>
              <w:t xml:space="preserve">[Fact]</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Eco Expo Asia (26-29 Oct 2026) </w:t>
            </w:r>
            <w:r>
              <w:rPr>
                <w:color w:val="57606A"/>
                <w:sz w:val="15"/>
                <w:szCs w:val="15"/>
                <w:vertAlign w:val="superscript"/>
              </w:rPr>
              <w:t xml:space="preserve">[79]</w:t>
            </w:r>
            <w:r>
              <w:rPr>
                <w:b w:val="false"/>
                <w:bCs w:val="false"/>
                <w:sz w:val="15"/>
                <w:szCs w:val="15"/>
              </w:rPr>
              <w:t xml:space="preserve">, HKQAA and HKGFA forums, BEC events </w:t>
            </w:r>
            <w:r>
              <w:rPr>
                <w:b/>
                <w:bCs/>
                <w:color w:val="1C5CAB"/>
                <w:sz w:val="12"/>
                <w:szCs w:val="12"/>
              </w:rPr>
              <w:t xml:space="preserve">[Fact]</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Industry associations</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SBF, SMF, SCCCI, Sustainability Alliance, ISCA, SID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FMM, MSIA, MISIF, MPOA, SME Association, MIA, ICDM, UNGCMYB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Kadin, APINDO, GAPKI, API (textiles), IAI, IBCSD </w:t>
            </w:r>
            <w:r>
              <w:rPr>
                <w:b/>
                <w:bCs/>
                <w:color w:val="1C5CAB"/>
                <w:sz w:val="12"/>
                <w:szCs w:val="12"/>
              </w:rPr>
              <w:t xml:space="preserve">[Fact]</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HKGCC, FHKI, HKSMEA, HKICPA, BEC, HKGFA </w:t>
            </w:r>
            <w:r>
              <w:rPr>
                <w:b/>
                <w:bCs/>
                <w:color w:val="1C5CAB"/>
                <w:sz w:val="12"/>
                <w:szCs w:val="12"/>
              </w:rPr>
              <w:t xml:space="preserve">[Fact]</w:t>
            </w:r>
          </w:p>
        </w:tc>
      </w:tr>
      <w:tr>
        <w:trPr>
          <w:cantSplit/>
        </w:trPr>
        <w:tc>
          <w:tcPr>
            <w:tcW w:type="dxa" w:w="175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Government ESG programmes</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ESP, SRG, EDGE; Enterprise Singapore-supported trade association cohorts </w:t>
            </w:r>
            <w:r>
              <w:rPr>
                <w:color w:val="57606A"/>
                <w:sz w:val="15"/>
                <w:szCs w:val="15"/>
                <w:vertAlign w:val="superscript"/>
              </w:rPr>
              <w:t xml:space="preserve">[6,7,8]</w:t>
            </w:r>
            <w:r>
              <w:rPr>
                <w:b w:val="false"/>
                <w:bCs w:val="false"/>
                <w:sz w:val="15"/>
                <w:szCs w:val="15"/>
              </w:rPr>
              <w:t xml:space="preserve">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ESG tax deduction, SEDG, i-ESG, JC3 SME Focus Group, CGC guarantee </w:t>
            </w:r>
            <w:r>
              <w:rPr>
                <w:color w:val="57606A"/>
                <w:sz w:val="15"/>
                <w:szCs w:val="15"/>
                <w:vertAlign w:val="superscript"/>
              </w:rPr>
              <w:t xml:space="preserve">[28,30,31,34]</w:t>
            </w:r>
            <w:r>
              <w:rPr>
                <w:b w:val="false"/>
                <w:bCs w:val="false"/>
                <w:sz w:val="15"/>
                <w:szCs w:val="15"/>
              </w:rPr>
              <w:t xml:space="preserve"> </w:t>
            </w:r>
            <w:r>
              <w:rPr>
                <w:b/>
                <w:bCs/>
                <w:color w:val="1C5CAB"/>
                <w:sz w:val="12"/>
                <w:szCs w:val="12"/>
              </w:rPr>
              <w:t xml:space="preserve">[Fact]</w:t>
            </w:r>
          </w:p>
        </w:tc>
        <w:tc>
          <w:tcPr>
            <w:tcW w:type="dxa" w:w="323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OJK sustainable finance programmes, Kemenperin industrial decarbonisation </w:t>
            </w:r>
            <w:r>
              <w:rPr>
                <w:color w:val="57606A"/>
                <w:sz w:val="15"/>
                <w:szCs w:val="15"/>
                <w:vertAlign w:val="superscript"/>
              </w:rPr>
              <w:t xml:space="preserve">[50]</w:t>
            </w:r>
            <w:r>
              <w:rPr>
                <w:b w:val="false"/>
                <w:bCs w:val="false"/>
                <w:sz w:val="15"/>
                <w:szCs w:val="15"/>
              </w:rPr>
              <w:t xml:space="preserve"> </w:t>
            </w:r>
            <w:r>
              <w:rPr>
                <w:b/>
                <w:bCs/>
                <w:color w:val="1C5CAB"/>
                <w:sz w:val="12"/>
                <w:szCs w:val="12"/>
              </w:rPr>
              <w:t xml:space="preserve">[Fact]</w:t>
            </w:r>
          </w:p>
        </w:tc>
        <w:tc>
          <w:tcPr>
            <w:tcW w:type="dxa" w:w="323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GSF Grant Scheme, HKPC programmes, CASG tools </w:t>
            </w:r>
            <w:r>
              <w:rPr>
                <w:color w:val="57606A"/>
                <w:sz w:val="15"/>
                <w:szCs w:val="15"/>
                <w:vertAlign w:val="superscript"/>
              </w:rPr>
              <w:t xml:space="preserve">[70,71]</w:t>
            </w:r>
            <w:r>
              <w:rPr>
                <w:b w:val="false"/>
                <w:bCs w:val="false"/>
                <w:sz w:val="15"/>
                <w:szCs w:val="15"/>
              </w:rPr>
              <w:t xml:space="preserve"> </w:t>
            </w:r>
            <w:r>
              <w:rPr>
                <w:b/>
                <w:bCs/>
                <w:color w:val="1C5CAB"/>
                <w:sz w:val="12"/>
                <w:szCs w:val="12"/>
              </w:rPr>
              <w:t xml:space="preserve">[Fact]</w:t>
            </w:r>
          </w:p>
        </w:tc>
      </w:tr>
      <w:tr>
        <w:trPr>
          <w:cantSplit/>
        </w:trPr>
        <w:tc>
          <w:tcPr>
            <w:tcW w:type="dxa" w:w="175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Practical admin</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Invoicing from abroad is common; services performed in Singapore by non-residents may attract withholding tax </w:t>
            </w:r>
            <w:r>
              <w:rPr>
                <w:b/>
                <w:bCs/>
                <w:color w:val="A35200"/>
                <w:sz w:val="12"/>
                <w:szCs w:val="12"/>
              </w:rPr>
              <w:t xml:space="preserve">[Estimate]</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Fees for services performed in Malaysia by non-residents may attract withholding tax </w:t>
            </w:r>
            <w:r>
              <w:rPr>
                <w:b/>
                <w:bCs/>
                <w:color w:val="A35200"/>
                <w:sz w:val="12"/>
                <w:szCs w:val="12"/>
              </w:rPr>
              <w:t xml:space="preserve">[Estimate]</w:t>
            </w:r>
          </w:p>
        </w:tc>
        <w:tc>
          <w:tcPr>
            <w:tcW w:type="dxa" w:w="323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Payments to non-residents usually attract withholding tax unless a treaty applies; in-country work needs the right visa </w:t>
            </w:r>
            <w:r>
              <w:rPr>
                <w:b/>
                <w:bCs/>
                <w:color w:val="A35200"/>
                <w:sz w:val="12"/>
                <w:szCs w:val="12"/>
              </w:rPr>
              <w:t xml:space="preserve">[Estimate]</w:t>
            </w:r>
          </w:p>
        </w:tc>
        <w:tc>
          <w:tcPr>
            <w:tcW w:type="dxa" w:w="323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Generally simple to invoice from abroad </w:t>
            </w:r>
            <w:r>
              <w:rPr>
                <w:b/>
                <w:bCs/>
                <w:color w:val="A35200"/>
                <w:sz w:val="12"/>
                <w:szCs w:val="12"/>
              </w:rPr>
              <w:t xml:space="preserve">[Estimate]</w:t>
            </w:r>
          </w:p>
        </w:tc>
      </w:tr>
    </w:tbl>
    <w:p>
      <w:pPr>
        <w:spacing w:after="12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Bottom line on market access</w:t>
            </w:r>
          </w:p>
          <w:p>
            <w:pPr>
              <w:spacing w:after="40" w:line="240"/>
            </w:pPr>
            <w:r>
              <w:rPr>
                <w:sz w:val="19"/>
                <w:szCs w:val="19"/>
              </w:rPr>
              <w:t xml:space="preserve">Singapore and Malaysia can be developed largely remotely. Malaysia rewards an outsider more because buyers are less brand-driven and capacity is tighter. Hong Kong is accessible for technical work but relationships run through CPA firms. Indonesia needs a local partner and Bahasa delivery from the start. </w:t>
            </w:r>
            <w:r>
              <w:rPr>
                <w:b/>
                <w:bCs/>
                <w:color w:val="0F7A55"/>
                <w:sz w:val="15"/>
                <w:szCs w:val="15"/>
              </w:rPr>
              <w:t xml:space="preserve">[Inference]</w:t>
            </w:r>
          </w:p>
        </w:tc>
      </w:tr>
    </w:tbl>
    <w:p>
      <w:pPr>
        <w:pStyle w:val="Heading1"/>
        <w:pageBreakBefore/>
      </w:pPr>
      <w:r>
        <w:t xml:space="preserve">Part 7: Pricing</w:t>
      </w:r>
    </w:p>
    <w:p>
      <w:pPr>
        <w:spacing w:after="120" w:before="0" w:line="276"/>
      </w:pPr>
      <w:r>
        <w:t xml:space="preserve">Public, reliable pricing for ESG consulting is scarce in all four markets. The ranges below are </w:t>
      </w:r>
      <w:r>
        <w:rPr>
          <w:b/>
          <w:bCs/>
        </w:rPr>
        <w:t xml:space="preserve">estimates</w:t>
      </w:r>
      <w:r>
        <w:t xml:space="preserve"> </w:t>
      </w:r>
      <w:r>
        <w:rPr>
          <w:b/>
          <w:bCs/>
          <w:color w:val="A35200"/>
          <w:sz w:val="16"/>
          <w:szCs w:val="16"/>
        </w:rPr>
        <w:t xml:space="preserve">[Estimate]</w:t>
      </w:r>
      <w:r>
        <w:t xml:space="preserve"> assembled from the few public anchors (grant caps, a published Indonesian service price, published software prices and an industry estimate of Hong Kong assurance fees), typical day rates, and judgement about how scope drives effort. Use them to frame proposals, then adjust after your first five quotes. USD equivalents use the planning rates given in "How to read this report".</w:t>
      </w:r>
    </w:p>
    <w:p>
      <w:pPr>
        <w:pStyle w:val="Heading2"/>
      </w:pPr>
      <w:r>
        <w:t xml:space="preserve">7.1 Singapore (SGD)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12"/>
        <w:gridCol w:w="3509"/>
        <w:gridCol w:w="3509"/>
        <w:gridCol w:w="4948"/>
      </w:tblGrid>
      <w:tr>
        <w:trPr>
          <w:cantSplit/>
          <w:tblHeader/>
        </w:trPr>
        <w:tc>
          <w:tcPr>
            <w:tcW w:type="dxa" w:w="27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Service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Independent or boutique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Mid-tier or Big Four</w:t>
            </w:r>
          </w:p>
        </w:tc>
        <w:tc>
          <w:tcPr>
            <w:tcW w:type="dxa" w:w="494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Notes</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gap assessment</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S$8k–25k (≈US$6.3k–20k)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S$30k–80k (≈US$23k–63k)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ISSB-gap versions for ≥S$1bn issuers sit at the top of the range</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Basic ESG report (SGX small cap)</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S$20k–50k (≈US$16k–39k)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S$60k–150k (≈US$47k–117k)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SRG covers 30% (50% for SMEs to Oct 2027) </w:t>
            </w:r>
            <w:r>
              <w:rPr>
                <w:color w:val="57606A"/>
                <w:sz w:val="15"/>
                <w:szCs w:val="15"/>
                <w:vertAlign w:val="superscript"/>
              </w:rPr>
              <w:t xml:space="preserve">[6]</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GRI sustainability report (full)</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S$30k–80k (≈US$23k–63k)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S$80k–200k (≈US$63k–156k)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Includes materiality and stakeholder engagement</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footprint assessment (SME)</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S$5k–15k (≈US$3.9k–12k)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S$15k–40k (≈US$12k–31k)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ESP and EDGE co-funding for SMEs </w:t>
            </w:r>
            <w:r>
              <w:rPr>
                <w:color w:val="57606A"/>
                <w:sz w:val="15"/>
                <w:szCs w:val="15"/>
                <w:vertAlign w:val="superscript"/>
              </w:rPr>
              <w:t xml:space="preserve">[7,8]</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Scope 1 and 2 accounting</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S$6k–20k (≈US$4.7k–16k)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S$20k–60k (≈US$16k–47k)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Multi-site groups at the top of the range</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Scope 1, 2 and 3 accounting</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S$25k–80k (≈US$20k–63k)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S$80k–250k (≈US$63k–195k)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Spend-based first year; supplier-specific later</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training (in-house, 1 day)</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S$3k–6k (≈US$2k–4.7k)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S$6k–15k (≈US$4.7k–12k)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Public courses ~S$500-1,500 per person</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strategy</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S$40k–150k (≈US$31k–117k)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S$150k–500k (≈US$117k–391k)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Net-zero roadmap</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S$40k–120k (≈US$31k–94k)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S$120k–300k (≈US$94k–234k)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SBTi-aligned for MNC subsidiaries</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software implementation</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S$15k–60k (≈US$12k–47k)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S$60k–200k (≈US$47k–156k)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Plus subscription: mid-market platforms ~US$33-88k a year; Terrascope from US$25k </w:t>
            </w:r>
            <w:r>
              <w:rPr>
                <w:color w:val="57606A"/>
                <w:sz w:val="15"/>
                <w:szCs w:val="15"/>
                <w:vertAlign w:val="superscript"/>
              </w:rPr>
              <w:t xml:space="preserve">[15]</w:t>
            </w:r>
          </w:p>
        </w:tc>
      </w:tr>
    </w:tbl>
    <w:p>
      <w:pPr>
        <w:pStyle w:val="Heading2"/>
      </w:pPr>
      <w:r>
        <w:t xml:space="preserve">7.2 Malaysia (MYR)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12"/>
        <w:gridCol w:w="3509"/>
        <w:gridCol w:w="3509"/>
        <w:gridCol w:w="4948"/>
      </w:tblGrid>
      <w:tr>
        <w:trPr>
          <w:cantSplit/>
          <w:tblHeader/>
        </w:trPr>
        <w:tc>
          <w:tcPr>
            <w:tcW w:type="dxa" w:w="27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Service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Independent or boutique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Mid-tier or Big Four</w:t>
            </w:r>
          </w:p>
        </w:tc>
        <w:tc>
          <w:tcPr>
            <w:tcW w:type="dxa" w:w="494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Notes</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gap assessment</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RM15k–50k (≈US$3.7k–12k)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RM60k–150k (≈US$15k–37k)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NSRF gap assessments for Group 2 and 3</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Basic sustainability statement (Bursa)</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RM25k–70k (≈US$6.1k–17k)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RM80k–200k (≈US$20k–49k)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ESG tax deduction up to RM50k a year </w:t>
            </w:r>
            <w:r>
              <w:rPr>
                <w:color w:val="57606A"/>
                <w:sz w:val="15"/>
                <w:szCs w:val="15"/>
                <w:vertAlign w:val="superscript"/>
              </w:rPr>
              <w:t xml:space="preserve">[30]</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GRI sustainability report (full)</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RM40k–120k (≈US$9.8k–29k)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RM120k–300k (≈US$29k–74k)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footprint assessment (SME)</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RM8k–25k (≈US$2k–6.1k)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RM25k–60k (≈US$6.1k–15k)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LCOS subscription RM5k a year as a reference </w:t>
            </w:r>
            <w:r>
              <w:rPr>
                <w:color w:val="57606A"/>
                <w:sz w:val="15"/>
                <w:szCs w:val="15"/>
                <w:vertAlign w:val="superscript"/>
              </w:rPr>
              <w:t xml:space="preserve">[35]</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Scope 1 and 2 accounting</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RM10k–35k (≈US$2.5k–8.6k)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RM35k–100k (≈US$8.6k–25k)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Assurance-ready versions cost more</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Scope 1, 2 and 3 accounting</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RM40k–150k (≈US$9.8k–37k)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RM150k–400k (≈US$37k–98k)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training (in-house, 1 day)</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RM3k–10k (≈US$0.7k–2.5k)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RM10k–25k (≈US$2.5k–6.1k)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Register as an HRD Corp training provider so clients can claim</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strategy</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RM60k–250k (≈US$15k–61k)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RM250k–800k (≈US$61k–196k)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Net-zero roadmap</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RM60k–200k (≈US$15k–49k)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RM200k–600k (≈US$49k–147k)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software implementation</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RM20k–80k (≈US$4.9k–20k)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RM80k–250k (≈US$20k–61k)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Software subscriptions qualify for the ESG tax deduction </w:t>
            </w:r>
            <w:r>
              <w:rPr>
                <w:color w:val="57606A"/>
                <w:sz w:val="15"/>
                <w:szCs w:val="15"/>
                <w:vertAlign w:val="superscript"/>
              </w:rPr>
              <w:t xml:space="preserve">[30]</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First IFRS S2 report incl. scenario analysis</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RM100k–350k (≈US$25k–86k)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RM300k–800k (≈US$74k–196k)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Core NSRF engagement for Group 2 and 3</w:t>
            </w:r>
          </w:p>
        </w:tc>
      </w:tr>
    </w:tbl>
    <w:p>
      <w:pPr>
        <w:pStyle w:val="Heading2"/>
      </w:pPr>
      <w:r>
        <w:t xml:space="preserve">7.3 Indonesia (IDR)</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12"/>
        <w:gridCol w:w="3509"/>
        <w:gridCol w:w="3509"/>
        <w:gridCol w:w="4948"/>
      </w:tblGrid>
      <w:tr>
        <w:trPr>
          <w:cantSplit/>
          <w:tblHeader/>
        </w:trPr>
        <w:tc>
          <w:tcPr>
            <w:tcW w:type="dxa" w:w="27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Service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Independent or boutique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Mid-tier or Big Four</w:t>
            </w:r>
          </w:p>
        </w:tc>
        <w:tc>
          <w:tcPr>
            <w:tcW w:type="dxa" w:w="494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Notes</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gap assessment</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75m–250m (≈US$4.2k–14k)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250m–750m (≈US$14k–42k)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PSPK gap assessments</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Basic sustainability report (POJK 51)</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100m–350m (≈US$5.6k–20k)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350m–900m (≈US$20k–50k)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Public anchor: one listed service at IDR 330m </w:t>
            </w:r>
            <w:r>
              <w:rPr>
                <w:color w:val="57606A"/>
                <w:sz w:val="15"/>
                <w:szCs w:val="15"/>
                <w:vertAlign w:val="superscript"/>
              </w:rPr>
              <w:t xml:space="preserve">[59]</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GRI sustainability report (full)</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250m–750m (≈US$14k–42k)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750m–2bn (≈US$42k–112k)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footprint assessment (SME)</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40m–120m (≈US$2.2k–6.7k)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120m–300m (≈US$6.7k–17k)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Scope 1 and 2 accounting</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60m–200m (≈US$3.4k–11k)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200m–500m (≈US$11k–28k)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SIINas-ready inventories</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Scope 1, 2 and 3 accounting</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200m–800m (≈US$11k–45k)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800m–2.5bn (≈US$45k–140k)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training (in-house, 1 day)</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15m–50m (≈US$0.8k–2.8k)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50m–120m (≈US$2.8k–6.7k)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Delivered in Bahasa Indonesia</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strategy</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300m–1.2bn (≈US$17k–67k)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1.2bn–4bn (≈US$67k–223k)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Net-zero roadmap</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300m–1bn (≈US$17k–56k)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1bn–3bn (≈US$56k–168k)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software implementation</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150m–600m (≈US$8.4k–34k)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IDR 600m–1.5bn (≈US$34k–84k)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PSPK readiness (first ISSB-based report)</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400m–1.5bn (≈US$22k–84k)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IDR 1.5bn–4bn (≈US$84k–223k)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 banks and SOEs at the top of the range</w:t>
            </w:r>
          </w:p>
        </w:tc>
      </w:tr>
    </w:tbl>
    <w:p>
      <w:pPr>
        <w:pStyle w:val="Heading2"/>
      </w:pPr>
      <w:r>
        <w:t xml:space="preserve">7.4 Hong Kong (HKD)</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2712"/>
        <w:gridCol w:w="3509"/>
        <w:gridCol w:w="3509"/>
        <w:gridCol w:w="4948"/>
      </w:tblGrid>
      <w:tr>
        <w:trPr>
          <w:cantSplit/>
          <w:tblHeader/>
        </w:trPr>
        <w:tc>
          <w:tcPr>
            <w:tcW w:type="dxa" w:w="27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Service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Independent or boutique</w:t>
            </w:r>
          </w:p>
        </w:tc>
        <w:tc>
          <w:tcPr>
            <w:tcW w:type="dxa" w:w="35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Mid-tier or Big Four</w:t>
            </w:r>
          </w:p>
        </w:tc>
        <w:tc>
          <w:tcPr>
            <w:tcW w:type="dxa" w:w="494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Notes</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gap assessment</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HK$40k–150k (≈US$5.1k–19k)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HK$150k–400k (≈US$19k–51k)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Basic ESG report (HKEX small cap)</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HK$60k–200k (≈US$7.7k–26k)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HK$200k–500k (≈US$26k–64k)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Highly price-competitive; some local providers go lower</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GRI / HKFRS-aligned report</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HK$150k–500k (≈US$19k–64k)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HK$500k–1.5m (≈US$64k–192k)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footprint assessment (SME)</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HK$20k–60k (≈US$2.6k–7.7k)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HK$60k–150k (≈US$7.7k–19k)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Scope 1 and 2 accounting</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HK$30k–100k (≈US$3.8k–13k)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HK$100k–300k (≈US$13k–38k)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Scope 1, 2 and 3 accounting</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HK$120k–400k (≈US$15k–51k)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HK$400k–1.2m (≈US$51k–154k)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LargeCap Scope 3 work at the top</w:t>
            </w: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training (in-house, 1 session)</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HK$15k–40k (≈US$1.9k–5.1k)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HK$40k–100k (≈US$5.1k–13k)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Director training is a separate niche</w:t>
            </w: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strategy</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HK$200k–800k (≈US$26k–103k)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HK$800k–2.5m (≈US$103k–321k)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Net-zero roadmap</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HK$200k–600k (≈US$26k–77k)</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HK$600k–1.8m (≈US$77k–231k)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software implementation</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HK$80k–300k (≈US$10k–38k)</w:t>
            </w:r>
          </w:p>
        </w:tc>
        <w:tc>
          <w:tcPr>
            <w:tcW w:type="dxa" w:w="35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HK$300k–800k (≈US$38k–103k)</w:t>
            </w:r>
          </w:p>
        </w:tc>
        <w:tc>
          <w:tcPr>
            <w:tcW w:type="dxa" w:w="494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p>
        </w:tc>
      </w:tr>
      <w:tr>
        <w:trPr>
          <w:cantSplit/>
        </w:trPr>
        <w:tc>
          <w:tcPr>
            <w:tcW w:type="dxa" w:w="27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Limited assurance (reference only)</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Not applicable</w:t>
            </w:r>
          </w:p>
        </w:tc>
        <w:tc>
          <w:tcPr>
            <w:tcW w:type="dxa" w:w="35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HK$300k–800k (≈US$38k–103k)</w:t>
            </w:r>
          </w:p>
        </w:tc>
        <w:tc>
          <w:tcPr>
            <w:tcW w:type="dxa" w:w="494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Industry estimate for assurance fees </w:t>
            </w:r>
            <w:r>
              <w:rPr>
                <w:color w:val="57606A"/>
                <w:sz w:val="15"/>
                <w:szCs w:val="15"/>
                <w:vertAlign w:val="superscript"/>
              </w:rPr>
              <w:t xml:space="preserve">[77]</w:t>
            </w:r>
            <w:r>
              <w:rPr>
                <w:b w:val="false"/>
                <w:bCs w:val="false"/>
                <w:sz w:val="15"/>
                <w:szCs w:val="15"/>
              </w:rPr>
              <w:t xml:space="preserve">; not a service you would provide</w:t>
            </w:r>
          </w:p>
        </w:tc>
      </w:tr>
    </w:tbl>
    <w:p>
      <w:pPr>
        <w:spacing w:after="120"/>
      </w:pPr>
    </w:p>
    <w:p>
      <w:pPr>
        <w:pStyle w:val="Heading2"/>
      </w:pPr>
      <w:r>
        <w:t xml:space="preserve">7.5 Pricing guidance</w:t>
      </w:r>
    </w:p>
    <w:p>
      <w:pPr>
        <w:pStyle w:val="ListParagraph"/>
        <w:numPr>
          <w:ilvl w:val="0"/>
          <w:numId w:val="3"/>
        </w:numPr>
        <w:spacing w:after="60" w:line="264"/>
      </w:pPr>
      <w:r>
        <w:rPr>
          <w:b/>
          <w:bCs/>
          <w:sz w:val="19"/>
          <w:szCs w:val="19"/>
        </w:rPr>
        <w:t xml:space="preserve">Price to the subsidy.</w:t>
      </w:r>
      <w:r>
        <w:rPr>
          <w:sz w:val="19"/>
          <w:szCs w:val="19"/>
        </w:rPr>
        <w:t xml:space="preserve"> In Singapore and Malaysia, quote the client's net cost after the SRG, ESP or EDGE co-funding or the RM50,000 ESG tax deduction. It shortens decisions. </w:t>
      </w:r>
      <w:r>
        <w:rPr>
          <w:b/>
          <w:bCs/>
          <w:color w:val="0F7A55"/>
          <w:sz w:val="15"/>
          <w:szCs w:val="15"/>
        </w:rPr>
        <w:t xml:space="preserve">[Inference]</w:t>
      </w:r>
    </w:p>
    <w:p>
      <w:pPr>
        <w:pStyle w:val="ListParagraph"/>
        <w:numPr>
          <w:ilvl w:val="0"/>
          <w:numId w:val="3"/>
        </w:numPr>
        <w:spacing w:after="60" w:line="264"/>
      </w:pPr>
      <w:r>
        <w:rPr>
          <w:b/>
          <w:bCs/>
          <w:sz w:val="19"/>
          <w:szCs w:val="19"/>
        </w:rPr>
        <w:t xml:space="preserve">Price assurance-readiness as a separate product.</w:t>
      </w:r>
      <w:r>
        <w:rPr>
          <w:sz w:val="19"/>
          <w:szCs w:val="19"/>
        </w:rPr>
        <w:t xml:space="preserve"> It is easier to approve than a vague "ESG support" retainer and has a hard deadline. </w:t>
      </w:r>
      <w:r>
        <w:rPr>
          <w:b/>
          <w:bCs/>
          <w:color w:val="0F7A55"/>
          <w:sz w:val="15"/>
          <w:szCs w:val="15"/>
        </w:rPr>
        <w:t xml:space="preserve">[Inference]</w:t>
      </w:r>
    </w:p>
    <w:p>
      <w:pPr>
        <w:pStyle w:val="ListParagraph"/>
        <w:numPr>
          <w:ilvl w:val="0"/>
          <w:numId w:val="3"/>
        </w:numPr>
        <w:spacing w:after="60" w:line="264"/>
      </w:pPr>
      <w:r>
        <w:rPr>
          <w:b/>
          <w:bCs/>
          <w:sz w:val="19"/>
          <w:szCs w:val="19"/>
        </w:rPr>
        <w:t xml:space="preserve">Expect lower fees in Indonesia in US dollar terms</w:t>
      </w:r>
      <w:r>
        <w:rPr>
          <w:sz w:val="19"/>
          <w:szCs w:val="19"/>
        </w:rPr>
        <w:t xml:space="preserve"> (rupiah weakness in 2026) but higher volume per client once PSPK applies. Quote in rupiah for local clients and in USD for MNC subsidiaries. </w:t>
      </w:r>
      <w:r>
        <w:rPr>
          <w:b/>
          <w:bCs/>
          <w:color w:val="0F7A55"/>
          <w:sz w:val="15"/>
          <w:szCs w:val="15"/>
        </w:rPr>
        <w:t xml:space="preserve">[Inference]</w:t>
      </w:r>
    </w:p>
    <w:p>
      <w:pPr>
        <w:pStyle w:val="ListParagraph"/>
        <w:numPr>
          <w:ilvl w:val="0"/>
          <w:numId w:val="3"/>
        </w:numPr>
        <w:spacing w:after="60" w:line="264"/>
      </w:pPr>
      <w:r>
        <w:rPr>
          <w:b/>
          <w:bCs/>
          <w:sz w:val="19"/>
          <w:szCs w:val="19"/>
        </w:rPr>
        <w:t xml:space="preserve">Avoid the Hong Kong small-cap report price war.</w:t>
      </w:r>
      <w:r>
        <w:rPr>
          <w:sz w:val="19"/>
          <w:szCs w:val="19"/>
        </w:rPr>
        <w:t xml:space="preserve"> Compete on Scope 3, scenario analysis and assurance-readiness, where clients cannot easily compare quotes. </w:t>
      </w:r>
      <w:r>
        <w:rPr>
          <w:b/>
          <w:bCs/>
          <w:color w:val="0F7A55"/>
          <w:sz w:val="15"/>
          <w:szCs w:val="15"/>
        </w:rPr>
        <w:t xml:space="preserve">[Inference]</w:t>
      </w:r>
    </w:p>
    <w:p>
      <w:pPr>
        <w:pStyle w:val="ListParagraph"/>
        <w:numPr>
          <w:ilvl w:val="0"/>
          <w:numId w:val="3"/>
        </w:numPr>
        <w:spacing w:after="60" w:line="264"/>
      </w:pPr>
      <w:r>
        <w:rPr>
          <w:b/>
          <w:bCs/>
          <w:sz w:val="19"/>
          <w:szCs w:val="19"/>
        </w:rPr>
        <w:t xml:space="preserve">Indicative day rates for an experienced independent</w:t>
      </w:r>
      <w:r>
        <w:rPr>
          <w:sz w:val="19"/>
          <w:szCs w:val="19"/>
        </w:rPr>
        <w:t xml:space="preserve"> </w:t>
      </w:r>
      <w:r>
        <w:rPr>
          <w:b/>
          <w:bCs/>
          <w:color w:val="A35200"/>
          <w:sz w:val="15"/>
          <w:szCs w:val="15"/>
        </w:rPr>
        <w:t xml:space="preserve">[Estimate]</w:t>
      </w:r>
      <w:r>
        <w:rPr>
          <w:sz w:val="19"/>
          <w:szCs w:val="19"/>
        </w:rPr>
        <w:t xml:space="preserve">: Singapore S$1,200-2,500; Malaysia RM2,500-5,000; Indonesia IDR 8-20 million; Hong Kong HK$6,000-12,000. Big Four partner rates run several times higher.</w:t>
      </w:r>
    </w:p>
    <w:p>
      <w:pPr>
        <w:sectPr>
          <w:headerReference w:type="default" r:id="rId15"/>
          <w:footerReference w:type="default" r:id="rId16"/>
          <w:pgSz w:w="16838" w:h="11906" w:orient="landscape"/>
          <w:pgMar w:top="1080" w:right="1080" w:bottom="1080" w:left="1080" w:header="500" w:footer="500" w:gutter="0"/>
          <w:pgNumType/>
          <w:titlePg w:val="false"/>
          <w:docGrid w:linePitch="360"/>
        </w:sectPr>
      </w:pPr>
    </w:p>
    <w:p>
      <w:pPr>
        <w:pStyle w:val="Heading1"/>
      </w:pPr>
      <w:r>
        <w:t xml:space="preserve">Part 8: Market momentum</w:t>
      </w:r>
    </w:p>
    <w:p>
      <w:pPr>
        <w:spacing w:after="120" w:before="0" w:line="276"/>
      </w:pPr>
      <w:r>
        <w:t xml:space="preserve">This part separates two things that are easy to confuse: how big the ESG services market is today, and how fast new demand is arriving. A mature market can be large and slow; a less mature market can be small and fast. Both scores below are analyst judgements on a 1-5 scale per indicator, shown so you can change the weights. </w:t>
      </w:r>
      <w:r>
        <w:rPr>
          <w:b/>
          <w:bCs/>
          <w:color w:val="6B4FA0"/>
          <w:sz w:val="16"/>
          <w:szCs w:val="16"/>
        </w:rPr>
        <w:t xml:space="preserve">[Analyst view]</w:t>
      </w:r>
    </w:p>
    <w:p>
      <w:pPr>
        <w:pStyle w:val="Heading2"/>
      </w:pPr>
      <w:r>
        <w:t xml:space="preserve">8.1 Current market size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1754"/>
        <w:gridCol w:w="1754"/>
        <w:gridCol w:w="1754"/>
        <w:gridCol w:w="1756"/>
      </w:tblGrid>
      <w:tr>
        <w:trPr>
          <w:cantSplit/>
          <w:tblHeader/>
        </w:trPr>
        <w:tc>
          <w:tcPr>
            <w:tcW w:type="dxa" w:w="272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Indicator</w:t>
            </w:r>
          </w:p>
        </w:tc>
        <w:tc>
          <w:tcPr>
            <w:tcW w:type="dxa" w:w="175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175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175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175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Companies already under mandatory ESG reporting</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(643 listed since FY2016)</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(~980 listed since 2016)</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(~960 listed; reports since 2021-25)</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(2,700+ listed since 2016)</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MNC and regional HQ concentration; corporate budgets</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Sustainable finance volume</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(&gt;half of ASEAN GSSSL market </w:t>
            </w:r>
            <w:r>
              <w:rPr>
                <w:color w:val="57606A"/>
                <w:sz w:val="15"/>
                <w:szCs w:val="15"/>
                <w:vertAlign w:val="superscript"/>
              </w:rPr>
              <w:t xml:space="preserve">[14]</w:t>
            </w:r>
            <w:r>
              <w:rPr>
                <w:b w:val="false"/>
                <w:bCs w:val="false"/>
                <w:sz w:val="15"/>
                <w:szCs w:val="15"/>
              </w:rPr>
              <w:t xml:space="preserve">)</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(US$76.5bn in 2025 </w:t>
            </w:r>
            <w:r>
              <w:rPr>
                <w:color w:val="57606A"/>
                <w:sz w:val="15"/>
                <w:szCs w:val="15"/>
                <w:vertAlign w:val="superscript"/>
              </w:rPr>
              <w:t xml:space="preserve">[69]</w:t>
            </w:r>
            <w:r>
              <w:rPr>
                <w:b w:val="false"/>
                <w:bCs w:val="false"/>
                <w:sz w:val="15"/>
                <w:szCs w:val="15"/>
              </w:rPr>
              <w:t xml:space="preserve">)</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Ecosystem density (consultants, software, assurance)</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Fee levels</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Current size score (out of 25)</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24 (96/100)</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16 (64/100)</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13 (52/100)</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23 (92/100)</w:t>
            </w:r>
          </w:p>
        </w:tc>
      </w:tr>
    </w:tbl>
    <w:p>
      <w:pPr>
        <w:pStyle w:val="Heading2"/>
      </w:pPr>
      <w:r>
        <w:t xml:space="preserve">8.2 Future growth momentum (2025-2029)</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8"/>
        <w:gridCol w:w="1754"/>
        <w:gridCol w:w="1754"/>
        <w:gridCol w:w="1754"/>
        <w:gridCol w:w="1756"/>
      </w:tblGrid>
      <w:tr>
        <w:trPr>
          <w:cantSplit/>
          <w:tblHeader/>
        </w:trPr>
        <w:tc>
          <w:tcPr>
            <w:tcW w:type="dxa" w:w="272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Indicator</w:t>
            </w:r>
          </w:p>
        </w:tc>
        <w:tc>
          <w:tcPr>
            <w:tcW w:type="dxa" w:w="175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175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175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175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Newly in-scope companies, 2025-2028</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 (most non-STI deferred to FY2028/30)</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(all listed plus large non-listed by FY2027)</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(OJK waves FY2027-29, if finalised)</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(LargeCap FY2026; full ISSB by 2028)</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Assurance trajectory</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 (limited, FY2029)</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 (reasonable, FY2027-29)</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 (mandatory, proposed)</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 (limited, proposed, phased)</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Carbon pricing and MRV change, 2024-2026</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(S$25 to S$45; S$50-80 by 2030)</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(NCMP launched; tax on hold)</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(Perpres 110/2025; ETS expansion)</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 (none)</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Supply-chain and export pressure growth</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Sustainable finance and bank data demands</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(MAS TPG 2026)</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(JC3, CGC, GVC)</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(TKBI v3)</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(CASG priorities)</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Government support for adoption</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 (SRG, ESP, EDGE)</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 (tax deduction, SEDG)</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w:t>
            </w:r>
          </w:p>
        </w:tc>
      </w:tr>
      <w:tr>
        <w:trPr>
          <w:cantSplit/>
        </w:trPr>
        <w:tc>
          <w:tcPr>
            <w:tcW w:type="dxa" w:w="272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Talent and consulting demand growth</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w:t>
            </w:r>
          </w:p>
        </w:tc>
        <w:tc>
          <w:tcPr>
            <w:tcW w:type="dxa" w:w="175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w:t>
            </w:r>
          </w:p>
        </w:tc>
        <w:tc>
          <w:tcPr>
            <w:tcW w:type="dxa" w:w="175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w:t>
            </w:r>
          </w:p>
        </w:tc>
      </w:tr>
      <w:tr>
        <w:trPr>
          <w:cantSplit/>
        </w:trPr>
        <w:tc>
          <w:tcPr>
            <w:tcW w:type="dxa" w:w="272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Momentum score (out of 35)</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23 (66/100)</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30 (86/100)</w:t>
            </w:r>
          </w:p>
        </w:tc>
        <w:tc>
          <w:tcPr>
            <w:tcW w:type="dxa" w:w="175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26 (74/100)</w:t>
            </w:r>
          </w:p>
        </w:tc>
        <w:tc>
          <w:tcPr>
            <w:tcW w:type="dxa" w:w="175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21 (60/100)</w:t>
            </w:r>
          </w:p>
        </w:tc>
      </w:tr>
    </w:tbl>
    <w:p>
      <w:pPr>
        <w:spacing w:after="60" w:before="120"/>
        <w:jc w:val="center"/>
      </w:pPr>
      <w:r>
        <w:drawing>
          <wp:inline distT="0" distB="0" distL="0" distR="0">
            <wp:extent cx="5715000" cy="3724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3724275"/>
                    </a:xfrm>
                    <a:prstGeom prst="rect">
                      <a:avLst/>
                    </a:prstGeom>
                  </pic:spPr>
                </pic:pic>
              </a:graphicData>
            </a:graphic>
          </wp:inline>
        </w:drawing>
      </w:r>
    </w:p>
    <w:p>
      <w:pPr>
        <w:spacing w:after="200" w:before="0" w:line="276"/>
        <w:jc w:val="center"/>
      </w:pPr>
      <w:r>
        <w:rPr>
          <w:i/>
          <w:iCs/>
          <w:color w:val="57606A"/>
          <w:sz w:val="17"/>
          <w:szCs w:val="17"/>
        </w:rPr>
        <w:t xml:space="preserve">Figure 1. Current ESG services market size versus growth momentum, 2025-2029 (analyst scores out of 100, from the tables above). Dashed lines separate the larger and smaller, faster and slower groups.</w:t>
      </w:r>
    </w:p>
    <w:p>
      <w:pPr>
        <w:pStyle w:val="Heading2"/>
      </w:pPr>
      <w:r>
        <w:t xml:space="preserve">8.3 Measurable momentum indicators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7"/>
        <w:gridCol w:w="1974"/>
        <w:gridCol w:w="1974"/>
        <w:gridCol w:w="1974"/>
        <w:gridCol w:w="1977"/>
      </w:tblGrid>
      <w:tr>
        <w:trPr>
          <w:cantSplit/>
          <w:tblHeader/>
        </w:trPr>
        <w:tc>
          <w:tcPr>
            <w:tcW w:type="dxa" w:w="184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Indicator</w:t>
            </w:r>
          </w:p>
        </w:tc>
        <w:tc>
          <w:tcPr>
            <w:tcW w:type="dxa" w:w="197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197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197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197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184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New ESG regulation, 2024-2026</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SFRS S1/S2 consultation (2026); MAS TPG (Mar 2026); SAF levy; but deferrals (Aug 2025)</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NSRF (Sep 2024); Bursa rules (Dec 2024); ESG tax rules (Jun 2025); NCMP (Apr 2026); Climate Change Bill (2026)</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PSPK (Jul 2025); SIINas GHG (2025); Perpres 110 (Oct 2025); OJK draft (Feb 2026); TKBI v3 (Mar 2026)</w:t>
            </w:r>
          </w:p>
        </w:tc>
        <w:tc>
          <w:tcPr>
            <w:tcW w:type="dxa" w:w="19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HKFRS S1/S2 (Dec 2024); Part D (Jan 2025); AFRC assurance (Dec 2025); BEEO (2025-26)</w:t>
            </w:r>
          </w:p>
        </w:tc>
      </w:tr>
      <w:tr>
        <w:trPr>
          <w:cantSplit/>
        </w:trPr>
        <w:tc>
          <w:tcPr>
            <w:tcW w:type="dxa" w:w="184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ISSB adoption path</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Climate-first; S1 voluntary</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Full S1 and S2</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Full via PSPK</w:t>
            </w:r>
          </w:p>
        </w:tc>
        <w:tc>
          <w:tcPr>
            <w:tcW w:type="dxa" w:w="19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Full by 2028 for large PAEs</w:t>
            </w:r>
          </w:p>
        </w:tc>
      </w:tr>
      <w:tr>
        <w:trPr>
          <w:cantSplit/>
        </w:trPr>
        <w:tc>
          <w:tcPr>
            <w:tcW w:type="dxa" w:w="184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Carbon policy direction</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Tightening on schedule</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Market-first after tax delay</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Market framework rebuilt; tax still pending</w:t>
            </w:r>
          </w:p>
        </w:tc>
        <w:tc>
          <w:tcPr>
            <w:tcW w:type="dxa" w:w="19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Voluntary only</w:t>
            </w:r>
          </w:p>
        </w:tc>
      </w:tr>
      <w:tr>
        <w:trPr>
          <w:cantSplit/>
        </w:trPr>
        <w:tc>
          <w:tcPr>
            <w:tcW w:type="dxa" w:w="184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Corporate net-zero commitments</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Widespread at the top</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Large caps and GLCs; spreading</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SOEs and conglomerates; thin below</w:t>
            </w:r>
          </w:p>
        </w:tc>
        <w:tc>
          <w:tcPr>
            <w:tcW w:type="dxa" w:w="19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Widespread among LargeCap</w:t>
            </w:r>
          </w:p>
        </w:tc>
      </w:tr>
      <w:tr>
        <w:trPr>
          <w:cantSplit/>
        </w:trPr>
        <w:tc>
          <w:tcPr>
            <w:tcW w:type="dxa" w:w="184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Renewable investment signal</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Imports and solar</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CRESS 1.3 GW tied to data centres </w:t>
            </w:r>
            <w:r>
              <w:rPr>
                <w:color w:val="57606A"/>
                <w:sz w:val="15"/>
                <w:szCs w:val="15"/>
                <w:vertAlign w:val="superscript"/>
              </w:rPr>
              <w:t xml:space="preserve">[36]</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RUPTL 42.6 GW of renewables </w:t>
            </w:r>
            <w:r>
              <w:rPr>
                <w:color w:val="57606A"/>
                <w:sz w:val="15"/>
                <w:szCs w:val="15"/>
                <w:vertAlign w:val="superscript"/>
              </w:rPr>
              <w:t xml:space="preserve">[52]</w:t>
            </w:r>
          </w:p>
        </w:tc>
        <w:tc>
          <w:tcPr>
            <w:tcW w:type="dxa" w:w="19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Limited</w:t>
            </w:r>
          </w:p>
        </w:tc>
      </w:tr>
      <w:tr>
        <w:trPr>
          <w:cantSplit/>
        </w:trPr>
        <w:tc>
          <w:tcPr>
            <w:tcW w:type="dxa" w:w="184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Supply-chain requirements</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MNC-driven</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E&amp;E, palm, steel, data centres</w:t>
            </w:r>
          </w:p>
        </w:tc>
        <w:tc>
          <w:tcPr>
            <w:tcW w:type="dxa" w:w="197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Palm, nickel, textiles, steel</w:t>
            </w:r>
          </w:p>
        </w:tc>
        <w:tc>
          <w:tcPr>
            <w:tcW w:type="dxa" w:w="197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Brand and EU-driven</w:t>
            </w:r>
          </w:p>
        </w:tc>
      </w:tr>
      <w:tr>
        <w:trPr>
          <w:cantSplit/>
        </w:trPr>
        <w:tc>
          <w:tcPr>
            <w:tcW w:type="dxa" w:w="184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Events and ecosystem activity</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Ecosperity, SIEW</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IGEM targets RM22.5bn in leads </w:t>
            </w:r>
            <w:r>
              <w:rPr>
                <w:color w:val="57606A"/>
                <w:sz w:val="15"/>
                <w:szCs w:val="15"/>
                <w:vertAlign w:val="superscript"/>
              </w:rPr>
              <w:t xml:space="preserve">[39]</w:t>
            </w:r>
          </w:p>
        </w:tc>
        <w:tc>
          <w:tcPr>
            <w:tcW w:type="dxa" w:w="197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Several new sustainability forums</w:t>
            </w:r>
          </w:p>
        </w:tc>
        <w:tc>
          <w:tcPr>
            <w:tcW w:type="dxa" w:w="197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Eco Expo Asia</w:t>
            </w:r>
          </w:p>
        </w:tc>
      </w:tr>
    </w:tbl>
    <w:p>
      <w:pPr>
        <w:pStyle w:val="Heading2"/>
      </w:pPr>
      <w:r>
        <w:t xml:space="preserve">8.4 Reading the momentum picture</w:t>
      </w:r>
    </w:p>
    <w:p>
      <w:pPr>
        <w:pStyle w:val="ListParagraph"/>
        <w:numPr>
          <w:ilvl w:val="0"/>
          <w:numId w:val="3"/>
        </w:numPr>
        <w:spacing w:after="60" w:line="264"/>
      </w:pPr>
      <w:r>
        <w:rPr>
          <w:b/>
          <w:bCs/>
        </w:rPr>
        <w:t xml:space="preserve">Malaysia is gaining momentum fastest.</w:t>
      </w:r>
      <w:r>
        <w:t xml:space="preserve"> It is the only market where every listed company and large private group moves to ISSB reporting within three years, with reasonable assurance and Scope 3 following on fixed dates. The carbon tax delay is a setback, but the reporting and assurance obligations that drive consulting fees are unaffected. </w:t>
      </w:r>
      <w:r>
        <w:rPr>
          <w:b/>
          <w:bCs/>
          <w:color w:val="6B4FA0"/>
          <w:sz w:val="16"/>
          <w:szCs w:val="16"/>
        </w:rPr>
        <w:t xml:space="preserve">[Analyst view]</w:t>
      </w:r>
    </w:p>
    <w:p>
      <w:pPr>
        <w:pStyle w:val="ListParagraph"/>
        <w:numPr>
          <w:ilvl w:val="0"/>
          <w:numId w:val="3"/>
        </w:numPr>
        <w:spacing w:after="60" w:line="264"/>
      </w:pPr>
      <w:r>
        <w:rPr>
          <w:b/>
          <w:bCs/>
        </w:rPr>
        <w:t xml:space="preserve">Indonesia has the steepest step-change ahead but more execution risk.</w:t>
      </w:r>
      <w:r>
        <w:t xml:space="preserve"> If OJK finalises its draft as proposed, demand jumps in 2027 and 2028. Until then, the SIINas GHG requirement and EU export rules carry demand. </w:t>
      </w:r>
      <w:r>
        <w:rPr>
          <w:b/>
          <w:bCs/>
          <w:color w:val="6B4FA0"/>
          <w:sz w:val="16"/>
          <w:szCs w:val="16"/>
        </w:rPr>
        <w:t xml:space="preserve">[Analyst view]</w:t>
      </w:r>
    </w:p>
    <w:p>
      <w:pPr>
        <w:pStyle w:val="ListParagraph"/>
        <w:numPr>
          <w:ilvl w:val="0"/>
          <w:numId w:val="3"/>
        </w:numPr>
        <w:spacing w:after="60" w:line="264"/>
      </w:pPr>
      <w:r>
        <w:rPr>
          <w:b/>
          <w:bCs/>
        </w:rPr>
        <w:t xml:space="preserve">Singapore is the largest market but has decelerated.</w:t>
      </w:r>
      <w:r>
        <w:t xml:space="preserve"> The August 2025 deferrals moved most listed and large private company demand to FY2028-FY2030. Its momentum score will rise again from 2027 as those dates approach. </w:t>
      </w:r>
      <w:r>
        <w:rPr>
          <w:b/>
          <w:bCs/>
          <w:color w:val="6B4FA0"/>
          <w:sz w:val="16"/>
          <w:szCs w:val="16"/>
        </w:rPr>
        <w:t xml:space="preserve">[Analyst view]</w:t>
      </w:r>
    </w:p>
    <w:p>
      <w:pPr>
        <w:pStyle w:val="ListParagraph"/>
        <w:numPr>
          <w:ilvl w:val="0"/>
          <w:numId w:val="3"/>
        </w:numPr>
        <w:spacing w:after="60" w:line="264"/>
      </w:pPr>
      <w:r>
        <w:rPr>
          <w:b/>
          <w:bCs/>
        </w:rPr>
        <w:t xml:space="preserve">Hong Kong is large and steady.</w:t>
      </w:r>
      <w:r>
        <w:t xml:space="preserve"> Growth comes from LargeCap Scope 3 (FY2026), assurance and the 2028 full-ISSB target, rather than from new companies entering reporting. </w:t>
      </w:r>
      <w:r>
        <w:rPr>
          <w:b/>
          <w:bCs/>
          <w:color w:val="6B4FA0"/>
          <w:sz w:val="16"/>
          <w:szCs w:val="16"/>
        </w:rPr>
        <w:t xml:space="preserve">[Analyst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Current size versus future momentum, in one line</w:t>
            </w:r>
          </w:p>
          <w:p>
            <w:pPr>
              <w:spacing w:after="40" w:line="240"/>
            </w:pPr>
            <w:r>
              <w:rPr>
                <w:sz w:val="19"/>
                <w:szCs w:val="19"/>
              </w:rPr>
              <w:t xml:space="preserve">Largest today: Singapore, then Hong Kong. Growing fastest: Malaysia, then Indonesia. </w:t>
            </w:r>
            <w:r>
              <w:rPr>
                <w:b/>
                <w:bCs/>
                <w:color w:val="6B4FA0"/>
                <w:sz w:val="15"/>
                <w:szCs w:val="15"/>
              </w:rPr>
              <w:t xml:space="preserve">[Analyst view]</w:t>
            </w:r>
          </w:p>
        </w:tc>
      </w:tr>
    </w:tbl>
    <w:p>
      <w:pPr>
        <w:sectPr>
          <w:headerReference w:type="default" r:id="rId17"/>
          <w:footerReference w:type="default" r:id="rId18"/>
          <w:pgSz w:w="11906" w:h="16838" w:orient="portrait"/>
          <w:pgMar w:top="1080" w:right="1080" w:bottom="1080" w:left="1080" w:header="500" w:footer="500" w:gutter="0"/>
          <w:pgNumType/>
          <w:titlePg w:val="false"/>
          <w:docGrid w:linePitch="360"/>
        </w:sectPr>
      </w:pPr>
    </w:p>
    <w:p>
      <w:pPr>
        <w:pStyle w:val="Heading1"/>
      </w:pPr>
      <w:r>
        <w:t xml:space="preserve">Part 9: Country comparison</w:t>
      </w:r>
    </w:p>
    <w:p>
      <w:pPr>
        <w:spacing w:after="120" w:before="0" w:line="276"/>
      </w:pPr>
      <w:r>
        <w:t xml:space="preserve">Each cell gives a short verdict in bold followed by the reason. All ratings are analyst judgements based on the evidence in Parts 1 to 8. </w:t>
      </w:r>
      <w:r>
        <w:rPr>
          <w:b/>
          <w:bCs/>
          <w:color w:val="6B4FA0"/>
          <w:sz w:val="16"/>
          <w:szCs w:val="16"/>
        </w:rPr>
        <w:t xml:space="preserve">[Analyst view]</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809"/>
        <w:gridCol w:w="3217"/>
        <w:gridCol w:w="3217"/>
        <w:gridCol w:w="3217"/>
        <w:gridCol w:w="3218"/>
      </w:tblGrid>
      <w:tr>
        <w:trPr>
          <w:cantSplit/>
          <w:tblHeader/>
        </w:trPr>
        <w:tc>
          <w:tcPr>
            <w:tcW w:type="dxa" w:w="180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Factor</w:t>
            </w:r>
          </w:p>
        </w:tc>
        <w:tc>
          <w:tcPr>
            <w:tcW w:type="dxa" w:w="321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321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321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321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market maturity</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Most mature.</w:t>
            </w:r>
            <w:r>
              <w:rPr>
                <w:b w:val="false"/>
                <w:bCs w:val="false"/>
                <w:sz w:val="15"/>
                <w:szCs w:val="15"/>
              </w:rPr>
              <w:t xml:space="preserve"> Reporting since FY2016, ISSB climate rules in force for the top tier, dense ecosystem of consultants, platforms and assurers.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Mid-maturity, rising fast.</w:t>
            </w:r>
            <w:r>
              <w:rPr>
                <w:b w:val="false"/>
                <w:bCs w:val="false"/>
                <w:sz w:val="15"/>
                <w:szCs w:val="15"/>
              </w:rPr>
              <w:t xml:space="preserve"> Reporting since 2016, ISSB adopted in full through the NSRF; quality drops sharply below the top 130 issuers.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Early.</w:t>
            </w:r>
            <w:r>
              <w:rPr>
                <w:b w:val="false"/>
                <w:bCs w:val="false"/>
                <w:sz w:val="15"/>
                <w:szCs w:val="15"/>
              </w:rPr>
              <w:t xml:space="preserve"> Mandatory narrative reporting since 2019-25; ISSB-based standards only from 2027.</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Mature in reporting volume.</w:t>
            </w:r>
            <w:r>
              <w:rPr>
                <w:b w:val="false"/>
                <w:bCs w:val="false"/>
                <w:sz w:val="15"/>
                <w:szCs w:val="15"/>
              </w:rPr>
              <w:t xml:space="preserve"> 2,700+ issuers report; depth of climate analysis uneven below LargeCap.</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Current ESG demand</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Strong but concentrated</w:t>
            </w:r>
            <w:r>
              <w:rPr>
                <w:b w:val="false"/>
                <w:bCs w:val="false"/>
                <w:sz w:val="15"/>
                <w:szCs w:val="15"/>
              </w:rPr>
              <w:t xml:space="preserve"> in STI firms, banks, MNC HQs and grant-funded SMEs.</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Strong and broadening:</w:t>
            </w:r>
            <w:r>
              <w:rPr>
                <w:b w:val="false"/>
                <w:bCs w:val="false"/>
                <w:sz w:val="15"/>
                <w:szCs w:val="15"/>
              </w:rPr>
              <w:t xml:space="preserve"> Group 1 in year two, Group 2 in year one, Group 3 preparing.</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 today;</w:t>
            </w:r>
            <w:r>
              <w:rPr>
                <w:b w:val="false"/>
                <w:bCs w:val="false"/>
                <w:sz w:val="15"/>
                <w:szCs w:val="15"/>
              </w:rPr>
              <w:t xml:space="preserve"> driven by POJK 51 reports, SIINas GHG and exporters.</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Strong, recurring:</w:t>
            </w:r>
            <w:r>
              <w:rPr>
                <w:b w:val="false"/>
                <w:bCs w:val="false"/>
                <w:sz w:val="15"/>
                <w:szCs w:val="15"/>
              </w:rPr>
              <w:t xml:space="preserve"> annual ESG reports for all issuers; LargeCap Scope 3 new in FY2026.</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Regulatory momentum</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Slowed for most companies</w:t>
            </w:r>
            <w:r>
              <w:rPr>
                <w:b w:val="false"/>
                <w:bCs w:val="false"/>
                <w:sz w:val="15"/>
                <w:szCs w:val="15"/>
              </w:rPr>
              <w:t xml:space="preserve"> after Aug 2025 deferrals; picks up again toward FY2028-30.</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Highest.</w:t>
            </w:r>
            <w:r>
              <w:rPr>
                <w:b w:val="false"/>
                <w:bCs w:val="false"/>
                <w:sz w:val="15"/>
                <w:szCs w:val="15"/>
              </w:rPr>
              <w:t xml:space="preserve"> Three reporting waves (FY2025-27), reasonable assurance FY2027-29, Scope 3 FY2027-30.</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 but pending.</w:t>
            </w:r>
            <w:r>
              <w:rPr>
                <w:b w:val="false"/>
                <w:bCs w:val="false"/>
                <w:sz w:val="15"/>
                <w:szCs w:val="15"/>
              </w:rPr>
              <w:t xml:space="preserve"> PSPK effective 2027; OJK assurance and transition plans proposed.</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Steady.</w:t>
            </w:r>
            <w:r>
              <w:rPr>
                <w:b w:val="false"/>
                <w:bCs w:val="false"/>
                <w:sz w:val="15"/>
                <w:szCs w:val="15"/>
              </w:rPr>
              <w:t xml:space="preserve"> LargeCap 2026, assurance proposed, full ISSB by 2028.</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accounting demand</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Moderate-high:</w:t>
            </w:r>
            <w:r>
              <w:rPr>
                <w:b w:val="false"/>
                <w:bCs w:val="false"/>
                <w:sz w:val="15"/>
                <w:szCs w:val="15"/>
              </w:rPr>
              <w:t xml:space="preserve"> carbon tax facilities, Scope 1-2 for all listed, MNC supplier data.</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Very high:</w:t>
            </w:r>
            <w:r>
              <w:rPr>
                <w:b w:val="false"/>
                <w:bCs w:val="false"/>
                <w:sz w:val="15"/>
                <w:szCs w:val="15"/>
              </w:rPr>
              <w:t xml:space="preserve"> NSRF, reasonable assurance, CBAM, data centres, E&amp;E supply chain.</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 and rising:</w:t>
            </w:r>
            <w:r>
              <w:rPr>
                <w:b w:val="false"/>
                <w:bCs w:val="false"/>
                <w:sz w:val="15"/>
                <w:szCs w:val="15"/>
              </w:rPr>
              <w:t xml:space="preserve"> SIINas, power ETS expansion, CBAM, nickel, palm oil.</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Moderate-high:</w:t>
            </w:r>
            <w:r>
              <w:rPr>
                <w:b w:val="false"/>
                <w:bCs w:val="false"/>
                <w:sz w:val="15"/>
                <w:szCs w:val="15"/>
              </w:rPr>
              <w:t xml:space="preserve"> Scope 1-2 for all issuers, Scope 3 for LargeCap.</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reporting demand</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 near term;</w:t>
            </w:r>
            <w:r>
              <w:rPr>
                <w:b w:val="false"/>
                <w:bCs w:val="false"/>
                <w:sz w:val="15"/>
                <w:szCs w:val="15"/>
              </w:rPr>
              <w:t xml:space="preserve"> larger from FY2028.</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high 2026-28</w:t>
            </w:r>
            <w:r>
              <w:rPr>
                <w:b w:val="false"/>
                <w:bCs w:val="false"/>
                <w:sz w:val="15"/>
                <w:szCs w:val="15"/>
              </w:rPr>
              <w:t xml:space="preserve"> for first IFRS S2 reports.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high 2027-29</w:t>
            </w:r>
            <w:r>
              <w:rPr>
                <w:b w:val="false"/>
                <w:bCs w:val="false"/>
                <w:sz w:val="15"/>
                <w:szCs w:val="15"/>
              </w:rPr>
              <w:t xml:space="preserve"> if OJK finalises.</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high in volume;</w:t>
            </w:r>
            <w:r>
              <w:rPr>
                <w:b w:val="false"/>
                <w:bCs w:val="false"/>
                <w:sz w:val="15"/>
                <w:szCs w:val="15"/>
              </w:rPr>
              <w:t xml:space="preserve"> low price at the bottom.</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SME opportunity</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 value per client</w:t>
            </w:r>
            <w:r>
              <w:rPr>
                <w:b w:val="false"/>
                <w:bCs w:val="false"/>
                <w:sz w:val="15"/>
                <w:szCs w:val="15"/>
              </w:rPr>
              <w:t xml:space="preserve"> thanks to 50-70% co-funding; small pool, crowded.</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Best overall:</w:t>
            </w:r>
            <w:r>
              <w:rPr>
                <w:b w:val="false"/>
                <w:bCs w:val="false"/>
                <w:sz w:val="15"/>
                <w:szCs w:val="15"/>
              </w:rPr>
              <w:t xml:space="preserve"> standard formats, tax deduction, bank programmes, export pressure.</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Largest in number, weakest in ability to pay;</w:t>
            </w:r>
            <w:r>
              <w:rPr>
                <w:b w:val="false"/>
                <w:bCs w:val="false"/>
                <w:sz w:val="15"/>
                <w:szCs w:val="15"/>
              </w:rPr>
              <w:t xml:space="preserve"> exporters and industrial SMEs are the exception.</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bank questionnaires and large-customer requests.</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Scope 3 opportunity</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 for programme design</w:t>
            </w:r>
            <w:r>
              <w:rPr>
                <w:b w:val="false"/>
                <w:bCs w:val="false"/>
                <w:sz w:val="15"/>
                <w:szCs w:val="15"/>
              </w:rPr>
              <w:t xml:space="preserve"> (MNC HQs, STI FY2026).</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 on both sides:</w:t>
            </w:r>
            <w:r>
              <w:rPr>
                <w:b w:val="false"/>
                <w:bCs w:val="false"/>
                <w:sz w:val="15"/>
                <w:szCs w:val="15"/>
              </w:rPr>
              <w:t xml:space="preserve"> buyers (G1 FY2027, G2 FY2028) and suppliers (E&amp;E, palm).</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 on the supplier side</w:t>
            </w:r>
            <w:r>
              <w:rPr>
                <w:b w:val="false"/>
                <w:bCs w:val="false"/>
                <w:sz w:val="15"/>
                <w:szCs w:val="15"/>
              </w:rPr>
              <w:t xml:space="preserve"> (palm, textiles, nickel); regulatory Scope 3 later.</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 for LargeCap</w:t>
            </w:r>
            <w:r>
              <w:rPr>
                <w:b w:val="false"/>
                <w:bCs w:val="false"/>
                <w:sz w:val="15"/>
                <w:szCs w:val="15"/>
              </w:rPr>
              <w:t xml:space="preserve"> (FY2026) and retail and property groups.</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software opportunity</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Best for vendor partnerships;</w:t>
            </w:r>
            <w:r>
              <w:rPr>
                <w:b w:val="false"/>
                <w:bCs w:val="false"/>
                <w:sz w:val="15"/>
                <w:szCs w:val="15"/>
              </w:rPr>
              <w:t xml:space="preserve"> many platforms headquartered here.</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Best for implementation:</w:t>
            </w:r>
            <w:r>
              <w:rPr>
                <w:b w:val="false"/>
                <w:bCs w:val="false"/>
                <w:sz w:val="15"/>
                <w:szCs w:val="15"/>
              </w:rPr>
              <w:t xml:space="preserve"> tax deduction covers software; Bursa CSI; tight vendor capacity.</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Emerging;</w:t>
            </w:r>
            <w:r>
              <w:rPr>
                <w:b w:val="false"/>
                <w:bCs w:val="false"/>
                <w:sz w:val="15"/>
                <w:szCs w:val="15"/>
              </w:rPr>
              <w:t xml:space="preserve"> implementation in Bahasa needed.</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issuers rely on consultants and spreadsheets.</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Sustainability training demand</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w:t>
            </w:r>
            <w:r>
              <w:rPr>
                <w:b w:val="false"/>
                <w:bCs w:val="false"/>
                <w:sz w:val="15"/>
                <w:szCs w:val="15"/>
              </w:rPr>
              <w:t xml:space="preserve"> SkillsFuture-style funding and professional bodies.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w:t>
            </w:r>
            <w:r>
              <w:rPr>
                <w:b w:val="false"/>
                <w:bCs w:val="false"/>
                <w:sz w:val="15"/>
                <w:szCs w:val="15"/>
              </w:rPr>
              <w:t xml:space="preserve"> HRD Corp-claimable training and director programmes.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high</w:t>
            </w:r>
            <w:r>
              <w:rPr>
                <w:b w:val="false"/>
                <w:bCs w:val="false"/>
                <w:sz w:val="15"/>
                <w:szCs w:val="15"/>
              </w:rPr>
              <w:t xml:space="preserve"> for PSPK, in Bahasa.</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Moderate-high;</w:t>
            </w:r>
            <w:r>
              <w:rPr>
                <w:b w:val="false"/>
                <w:bCs w:val="false"/>
                <w:sz w:val="15"/>
                <w:szCs w:val="15"/>
              </w:rPr>
              <w:t xml:space="preserve"> director and CPA-firm training.</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Competition level</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Very high</w:t>
            </w:r>
            <w:r>
              <w:rPr>
                <w:b w:val="false"/>
                <w:bCs w:val="false"/>
                <w:sz w:val="15"/>
                <w:szCs w:val="15"/>
              </w:rPr>
              <w:t xml:space="preserve"> at all levels.</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Big Four stretched, mid-tier still building capability.</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Low for technical work, high for narrative reports.</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Very high</w:t>
            </w:r>
            <w:r>
              <w:rPr>
                <w:b w:val="false"/>
                <w:bCs w:val="false"/>
                <w:sz w:val="15"/>
                <w:szCs w:val="15"/>
              </w:rPr>
              <w:t xml:space="preserve"> at the low end; moderate for Scope 3 and assurance-readiness.</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Ease of market entry</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Easy to enter, hard to stand out.</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Easy;</w:t>
            </w:r>
            <w:r>
              <w:rPr>
                <w:b w:val="false"/>
                <w:bCs w:val="false"/>
                <w:sz w:val="15"/>
                <w:szCs w:val="15"/>
              </w:rPr>
              <w:t xml:space="preserve"> English, receptive to outsiders.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Hard;</w:t>
            </w:r>
            <w:r>
              <w:rPr>
                <w:b w:val="false"/>
                <w:bCs w:val="false"/>
                <w:sz w:val="15"/>
                <w:szCs w:val="15"/>
              </w:rPr>
              <w:t xml:space="preserve"> partner and language required.</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relationships through CPA firms.</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Remote consulting potential</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workshops in person.</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 for technical work.</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Partnership potential</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High</w:t>
            </w:r>
            <w:r>
              <w:rPr>
                <w:b w:val="false"/>
                <w:bCs w:val="false"/>
                <w:sz w:val="15"/>
                <w:szCs w:val="15"/>
              </w:rPr>
              <w:t xml:space="preserve"> with software vendors and mid-tier firms.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high</w:t>
            </w:r>
            <w:r>
              <w:rPr>
                <w:b w:val="false"/>
                <w:bCs w:val="false"/>
                <w:sz w:val="15"/>
                <w:szCs w:val="15"/>
              </w:rPr>
              <w:t xml:space="preserve"> with mid-tier audit, secretarial firms and banks.</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Moderate-high</w:t>
            </w:r>
            <w:r>
              <w:rPr>
                <w:b w:val="false"/>
                <w:bCs w:val="false"/>
                <w:sz w:val="15"/>
                <w:szCs w:val="15"/>
              </w:rPr>
              <w:t xml:space="preserve"> with network audit firms and report agencies.</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high</w:t>
            </w:r>
            <w:r>
              <w:rPr>
                <w:b w:val="false"/>
                <w:bCs w:val="false"/>
                <w:sz w:val="15"/>
                <w:szCs w:val="15"/>
              </w:rPr>
              <w:t xml:space="preserve"> with CPA firms facing the assurance regime.</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Pricing potential</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Highest</w:t>
            </w:r>
            <w:r>
              <w:rPr>
                <w:b w:val="false"/>
                <w:bCs w:val="false"/>
                <w:sz w:val="15"/>
                <w:szCs w:val="15"/>
              </w:rPr>
              <w:t xml:space="preserve"> fees in the region.</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offset by volume and incentives.</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Lowest in USD terms;</w:t>
            </w:r>
            <w:r>
              <w:rPr>
                <w:b w:val="false"/>
                <w:bCs w:val="false"/>
                <w:sz w:val="15"/>
                <w:szCs w:val="15"/>
              </w:rPr>
              <w:t xml:space="preserve"> large ticket sizes for top issuers.</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 at the top, compressed at the bottom.</w:t>
            </w:r>
          </w:p>
        </w:tc>
      </w:tr>
      <w:tr>
        <w:trPr>
          <w:cantSplit/>
        </w:trPr>
        <w:tc>
          <w:tcPr>
            <w:tcW w:type="dxa" w:w="180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Market growth momentum</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 now, rising toward 2028.</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Fastest.</w:t>
            </w:r>
          </w:p>
        </w:tc>
        <w:tc>
          <w:tcPr>
            <w:tcW w:type="dxa" w:w="321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Second-fastest, back-loaded to 2027-29.</w:t>
            </w:r>
          </w:p>
        </w:tc>
        <w:tc>
          <w:tcPr>
            <w:tcW w:type="dxa" w:w="321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 and steady.</w:t>
            </w:r>
          </w:p>
        </w:tc>
      </w:tr>
      <w:tr>
        <w:trPr>
          <w:cantSplit/>
        </w:trPr>
        <w:tc>
          <w:tcPr>
            <w:tcW w:type="dxa" w:w="180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3-5 year opportunity</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w:t>
            </w:r>
            <w:r>
              <w:rPr>
                <w:b w:val="false"/>
                <w:bCs w:val="false"/>
                <w:sz w:val="15"/>
                <w:szCs w:val="15"/>
              </w:rPr>
              <w:t xml:space="preserve"> FY2028-30 waves plus assurance; easy access.</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w:t>
            </w:r>
            <w:r>
              <w:rPr>
                <w:b w:val="false"/>
                <w:bCs w:val="false"/>
                <w:sz w:val="15"/>
                <w:szCs w:val="15"/>
              </w:rPr>
              <w:t xml:space="preserve"> continued assurance and Scope 3 work after the reporting waves.</w:t>
            </w:r>
          </w:p>
        </w:tc>
        <w:tc>
          <w:tcPr>
            <w:tcW w:type="dxa" w:w="321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High upside, execution risk:</w:t>
            </w:r>
            <w:r>
              <w:rPr>
                <w:b w:val="false"/>
                <w:bCs w:val="false"/>
                <w:sz w:val="15"/>
                <w:szCs w:val="15"/>
              </w:rPr>
              <w:t xml:space="preserve"> depends on OJK and on building local capability.</w:t>
            </w:r>
          </w:p>
        </w:tc>
        <w:tc>
          <w:tcPr>
            <w:tcW w:type="dxa" w:w="321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Moderate-high:</w:t>
            </w:r>
            <w:r>
              <w:rPr>
                <w:b w:val="false"/>
                <w:bCs w:val="false"/>
                <w:sz w:val="15"/>
                <w:szCs w:val="15"/>
              </w:rPr>
              <w:t xml:space="preserve"> full ISSB and assurance by 2028-30, through partners.</w:t>
            </w:r>
          </w:p>
        </w:tc>
      </w:tr>
    </w:tbl>
    <w:p>
      <w:pPr>
        <w:spacing w:after="120"/>
      </w:pP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14678"/>
      </w:tblGrid>
      <w:tr>
        <w:tc>
          <w:tcPr>
            <w:tcW w:type="dxa" w:w="14678"/>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How to use this comparison</w:t>
            </w:r>
          </w:p>
          <w:p>
            <w:pPr>
              <w:spacing w:after="40" w:line="240"/>
            </w:pPr>
            <w:r>
              <w:rPr>
                <w:sz w:val="19"/>
                <w:szCs w:val="19"/>
              </w:rPr>
              <w:t xml:space="preserve">If you can only work one market hard, it is Malaysia. If you can work two, add Singapore as a channel (partners and premium niches). If you have the patience to build, Indonesia is the largest new opportunity of 2027-29. Hong Kong suits partner-led technical subcontracting. </w:t>
            </w:r>
            <w:r>
              <w:rPr>
                <w:b/>
                <w:bCs/>
                <w:color w:val="0F7A55"/>
                <w:sz w:val="15"/>
                <w:szCs w:val="15"/>
              </w:rPr>
              <w:t xml:space="preserve">[Inference]</w:t>
            </w:r>
          </w:p>
        </w:tc>
      </w:tr>
    </w:tbl>
    <w:p>
      <w:pPr>
        <w:pStyle w:val="Heading1"/>
        <w:pageBreakBefore/>
      </w:pPr>
      <w:r>
        <w:t xml:space="preserve">Part 10: Opportunity matrix</w:t>
      </w:r>
    </w:p>
    <w:p>
      <w:pPr>
        <w:spacing w:after="120" w:before="0" w:line="276"/>
      </w:pPr>
      <w:r>
        <w:t xml:space="preserve">The 44 opportunities below are those where the evidence supports paid demand. Project values are estimates for an independent or boutique provider </w:t>
      </w:r>
      <w:r>
        <w:rPr>
          <w:b/>
          <w:bCs/>
          <w:color w:val="A35200"/>
          <w:sz w:val="16"/>
          <w:szCs w:val="16"/>
        </w:rPr>
        <w:t xml:space="preserve">[Estimate]</w:t>
      </w:r>
      <w:r>
        <w:t xml:space="preserve">; Big Four fees are typically higher. Competition ratings reflect how crowded each service is for a small provider. </w:t>
      </w:r>
      <w:r>
        <w:rPr>
          <w:b/>
          <w:bCs/>
          <w:color w:val="6B4FA0"/>
          <w:sz w:val="16"/>
          <w:szCs w:val="16"/>
        </w:rPr>
        <w:t xml:space="preserve">[Analyst view]</w:t>
      </w:r>
    </w:p>
    <w:p>
      <w:pPr>
        <w:pStyle w:val="Heading2"/>
      </w:pPr>
      <w:r>
        <w:t xml:space="preserve">10.1 Singapore</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82"/>
        <w:gridCol w:w="1900"/>
        <w:gridCol w:w="1965"/>
        <w:gridCol w:w="1507"/>
        <w:gridCol w:w="2621"/>
        <w:gridCol w:w="1376"/>
        <w:gridCol w:w="1900"/>
        <w:gridCol w:w="2427"/>
      </w:tblGrid>
      <w:tr>
        <w:trPr>
          <w:cantSplit/>
          <w:tblHeader/>
        </w:trPr>
        <w:tc>
          <w:tcPr>
            <w:tcW w:type="dxa" w:w="98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Country</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ESG service</w:t>
            </w:r>
          </w:p>
        </w:tc>
        <w:tc>
          <w:tcPr>
            <w:tcW w:type="dxa" w:w="196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industry</w:t>
            </w:r>
          </w:p>
        </w:tc>
        <w:tc>
          <w:tcPr>
            <w:tcW w:type="dxa" w:w="15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company size</w:t>
            </w:r>
          </w:p>
        </w:tc>
        <w:tc>
          <w:tcPr>
            <w:tcW w:type="dxa" w:w="262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Why demand exists</w:t>
            </w:r>
          </w:p>
        </w:tc>
        <w:tc>
          <w:tcPr>
            <w:tcW w:type="dxa" w:w="137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Competition</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Estimated project value</w:t>
            </w:r>
          </w:p>
        </w:tc>
        <w:tc>
          <w:tcPr>
            <w:tcW w:type="dxa" w:w="242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development approach</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Scope 3 supplier-programme delivery</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Consumer goods, electronics, logistics MNCs with regional HQs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 (S$1bn+ revenue)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STI Scope 3 from FY2026 </w:t>
            </w:r>
            <w:r>
              <w:rPr>
                <w:color w:val="57606A"/>
                <w:sz w:val="14"/>
                <w:szCs w:val="14"/>
                <w:vertAlign w:val="superscript"/>
              </w:rPr>
              <w:t xml:space="preserve">[1]</w:t>
            </w:r>
            <w:r>
              <w:rPr>
                <w:b w:val="false"/>
                <w:bCs w:val="false"/>
                <w:sz w:val="14"/>
                <w:szCs w:val="14"/>
              </w:rPr>
              <w:t xml:space="preserve">; MNCs set supplier targets </w:t>
            </w:r>
            <w:r>
              <w:rPr>
                <w:color w:val="57606A"/>
                <w:sz w:val="14"/>
                <w:szCs w:val="14"/>
                <w:vertAlign w:val="superscript"/>
              </w:rPr>
              <w:t xml:space="preserve">[11]</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High at strategy level; moderate for supplier-side execution</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S$40k–150k (≈US$31k–117k)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Subcontract to global consultancies and software vendors; LinkedIn to Heads of Sustainability and Procurement</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ISSB climate readiness (FY2028 tier)</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REITs, industrials, property, consumer</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Listed, market cap ≥S$1bn, non-STI</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Full climate disclosures from FY2028; FY2027 dry run needed </w:t>
            </w:r>
            <w:r>
              <w:rPr>
                <w:color w:val="57606A"/>
                <w:sz w:val="14"/>
                <w:szCs w:val="14"/>
                <w:vertAlign w:val="superscript"/>
              </w:rPr>
              <w:t xml:space="preserve">[1]</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S$50k–150k (≈US$39k–117k) before 30% SRG</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"FY2028 countdown" webinar; CFO outreach; mid-tier audit partners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Scope 1-2 assurance readiness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All sectors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Listed small and mid caps</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Limited assurance from FY2029 </w:t>
            </w:r>
            <w:r>
              <w:rPr>
                <w:color w:val="57606A"/>
                <w:sz w:val="14"/>
                <w:szCs w:val="14"/>
                <w:vertAlign w:val="superscript"/>
              </w:rPr>
              <w:t xml:space="preserve">[1]</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S$15k–50k (≈US$12k–39k)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Bundle with annual inventory refresh; referrals from verifiers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Grant-funded SME carbon footprint and plan</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Precision engineering, F&amp;B manufacturing, logistics, construction trades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SMEs, S$5-100m revenue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ESP and EDGE co-funding of up to 70% </w:t>
            </w:r>
            <w:r>
              <w:rPr>
                <w:color w:val="57606A"/>
                <w:sz w:val="14"/>
                <w:szCs w:val="14"/>
                <w:vertAlign w:val="superscript"/>
              </w:rPr>
              <w:t xml:space="preserve">[7,8]</w:t>
            </w:r>
            <w:r>
              <w:rPr>
                <w:b w:val="false"/>
                <w:bCs w:val="false"/>
                <w:sz w:val="14"/>
                <w:szCs w:val="14"/>
              </w:rPr>
              <w:t xml:space="preserve">; MNC customer requests</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High (many boutiques)</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S$8k–30k (≈US$6.3k–23k)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Trade association cohorts (SMF, SBF, SCCCI)</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First sustainability report for private groups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Family groups, MNC subsidiaries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Revenue S$100m-1bn</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SRG funding for non-listed firms with S$100m+ revenue </w:t>
            </w:r>
            <w:r>
              <w:rPr>
                <w:color w:val="57606A"/>
                <w:sz w:val="14"/>
                <w:szCs w:val="14"/>
                <w:vertAlign w:val="superscript"/>
              </w:rPr>
              <w:t xml:space="preserve">[6]</w:t>
            </w:r>
            <w:r>
              <w:rPr>
                <w:b w:val="false"/>
                <w:bCs w:val="false"/>
                <w:sz w:val="14"/>
                <w:szCs w:val="14"/>
              </w:rPr>
              <w:t xml:space="preserve">; lender and customer requests</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S$30k–80k (≈US$23k–63k)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Bank relationship managers; CFO outreach</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Transition plans for bank borrowers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Real estate, shipping, manufacturing, commodities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 and large borrowers</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MAS Transition Planning Guidelines (Mar 2026) </w:t>
            </w:r>
            <w:r>
              <w:rPr>
                <w:color w:val="57606A"/>
                <w:sz w:val="14"/>
                <w:szCs w:val="14"/>
                <w:vertAlign w:val="superscript"/>
              </w:rPr>
              <w:t xml:space="preserve">[10]</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S$30k–100k (≈US$23k–78k)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Partner with banks' sustainable finance teams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Maritime emissions reporting</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Ship owners and managers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Mid-size fleets</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EU ETS and FuelEU for EU voyages; IMO vote Oct 2026 </w:t>
            </w:r>
            <w:r>
              <w:rPr>
                <w:color w:val="57606A"/>
                <w:sz w:val="14"/>
                <w:szCs w:val="14"/>
                <w:vertAlign w:val="superscript"/>
              </w:rPr>
              <w:t xml:space="preserve">[19]</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 (specialists)</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S$20k–80k (≈US$16k–63k)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Shipping association and MPA events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Data centre Scope 2 and renewable sourcing</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Colocation and enterprise data centres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 and 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Green data centre requirements; hyperscaler demands</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S$30k–100k (≈US$23k–78k)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SIEW (Oct 2026) </w:t>
            </w:r>
            <w:r>
              <w:rPr>
                <w:color w:val="57606A"/>
                <w:sz w:val="14"/>
                <w:szCs w:val="14"/>
                <w:vertAlign w:val="superscript"/>
              </w:rPr>
              <w:t xml:space="preserve">[87]</w:t>
            </w:r>
            <w:r>
              <w:rPr>
                <w:b w:val="false"/>
                <w:bCs w:val="false"/>
                <w:sz w:val="14"/>
                <w:szCs w:val="14"/>
              </w:rPr>
              <w:t xml:space="preserve">; industry associations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REIT GRESB and climate risk</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S-REITs and property managers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Listed</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Investor benchmarking; FY2028 disclosures</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Moderate-high</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S$25k–80k (≈US$20k–63k) a year</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REIT association events; LinkedIn</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Carbon software implementation partner</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Vendor clients across SEA</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Mid-market</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Vendors short of implementation capacity </w:t>
            </w:r>
            <w:r>
              <w:rPr>
                <w:color w:val="57606A"/>
                <w:sz w:val="14"/>
                <w:szCs w:val="14"/>
                <w:vertAlign w:val="superscript"/>
              </w:rPr>
              <w:t xml:space="preserve">[16]</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S$10k–40k (≈US$7.8k–31k) per client</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Approach vendors directly with a partner proposal</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SG</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ISSB and GHG training</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Listed companies, accounting firms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All</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SFRS S1/S2 consultation 2026 </w:t>
            </w:r>
            <w:r>
              <w:rPr>
                <w:color w:val="57606A"/>
                <w:sz w:val="14"/>
                <w:szCs w:val="14"/>
                <w:vertAlign w:val="superscript"/>
              </w:rPr>
              <w:t xml:space="preserve">[4]</w:t>
            </w:r>
            <w:r>
              <w:rPr>
                <w:b w:val="false"/>
                <w:bCs w:val="false"/>
                <w:sz w:val="14"/>
                <w:szCs w:val="14"/>
              </w:rPr>
              <w:t xml:space="preserve">; FY2029 assurance</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S$3k–8k (≈US$2.3k–6.3k) per session</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ISCA, SID, SMU Academy; in-house sessions</w:t>
            </w:r>
          </w:p>
        </w:tc>
      </w:tr>
    </w:tbl>
    <w:p>
      <w:pPr>
        <w:pStyle w:val="Heading2"/>
      </w:pPr>
      <w:r>
        <w:t xml:space="preserve">10.2 Malaysia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82"/>
        <w:gridCol w:w="1900"/>
        <w:gridCol w:w="1965"/>
        <w:gridCol w:w="1507"/>
        <w:gridCol w:w="2621"/>
        <w:gridCol w:w="1376"/>
        <w:gridCol w:w="1900"/>
        <w:gridCol w:w="2427"/>
      </w:tblGrid>
      <w:tr>
        <w:trPr>
          <w:cantSplit/>
          <w:tblHeader/>
        </w:trPr>
        <w:tc>
          <w:tcPr>
            <w:tcW w:type="dxa" w:w="98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Country</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ESG service</w:t>
            </w:r>
          </w:p>
        </w:tc>
        <w:tc>
          <w:tcPr>
            <w:tcW w:type="dxa" w:w="196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industry</w:t>
            </w:r>
          </w:p>
        </w:tc>
        <w:tc>
          <w:tcPr>
            <w:tcW w:type="dxa" w:w="15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company size</w:t>
            </w:r>
          </w:p>
        </w:tc>
        <w:tc>
          <w:tcPr>
            <w:tcW w:type="dxa" w:w="262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Why demand exists</w:t>
            </w:r>
          </w:p>
        </w:tc>
        <w:tc>
          <w:tcPr>
            <w:tcW w:type="dxa" w:w="137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Competition</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Estimated project value</w:t>
            </w:r>
          </w:p>
        </w:tc>
        <w:tc>
          <w:tcPr>
            <w:tcW w:type="dxa" w:w="242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development approach</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First IFRS S2 report (Group 2)</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Property, construction, manufacturing, consumer, tech</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Main Market, market cap below RM2bn</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NSRF from FY2026, first reports in 2027 </w:t>
            </w:r>
            <w:r>
              <w:rPr>
                <w:color w:val="57606A"/>
                <w:sz w:val="14"/>
                <w:szCs w:val="14"/>
                <w:vertAlign w:val="superscript"/>
              </w:rPr>
              <w:t xml:space="preserve">[20]</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RM100k–350k (≈US$25k–86k)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Mid-tier audit partners; CFO outreach; "lessons from Group 1" webinars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NSRF readiness (Group 3)</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ACE issuers; family conglomerates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ACE issuers; non-listed with revenue ≥RM2bn</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Reporting from FY2027 </w:t>
            </w:r>
            <w:r>
              <w:rPr>
                <w:color w:val="57606A"/>
                <w:sz w:val="14"/>
                <w:szCs w:val="14"/>
                <w:vertAlign w:val="superscript"/>
              </w:rPr>
              <w:t xml:space="preserve">[20,89]</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Low-moderate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RM60k–200k (≈US$15k–49k)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Company secretarial firms; "FY2027 is your baseline year" campaign</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Reasonable-assurance readiness (Scope 1-2)</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Group 1 (FY2027) then Group 2 (FY2028)</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 and mid caps</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Reasonable assurance targeted FY2027-29 </w:t>
            </w:r>
            <w:r>
              <w:rPr>
                <w:color w:val="57606A"/>
                <w:sz w:val="14"/>
                <w:szCs w:val="14"/>
                <w:vertAlign w:val="superscript"/>
              </w:rPr>
              <w:t xml:space="preserve">[20]</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RM30k–120k (≈US$7.4k–29k)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Referrals from assurance providers; Head of Sustainability</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Scope 3 inventories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Plantations, telcos, banks, consumer, then Group 2</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Scope 3 from FY2027 (G1) and FY2028 (G2) </w:t>
            </w:r>
            <w:r>
              <w:rPr>
                <w:color w:val="57606A"/>
                <w:sz w:val="14"/>
                <w:szCs w:val="14"/>
                <w:vertAlign w:val="superscript"/>
              </w:rPr>
              <w:t xml:space="preserve">[90]</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RM60k–200k (≈US$15k–49k)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Direct, or subcontract to Big Four</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Climate scenario analysis and physical risk</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Plantations, property, manufacturing, utilities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Mid and 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IFRS S2 strategy and resilience requirements</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RM50k–150k (≈US$12k–37k)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Bundle with reports; Risk Managers and CFOs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E&amp;E supplier carbon accounting</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Semiconductor and E&amp;E suppliers in Penang, Kulim, Johor</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SMEs and mid caps</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MNC supplier targets; Scope 2 heavy sector </w:t>
            </w:r>
            <w:r>
              <w:rPr>
                <w:color w:val="57606A"/>
                <w:sz w:val="14"/>
                <w:szCs w:val="14"/>
                <w:vertAlign w:val="superscript"/>
              </w:rPr>
              <w:t xml:space="preserve">[37]</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Low-moderate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RM15k–60k (≈US$3.7k–15k)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MSIA, InvestPenang, MNC supplier days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CBAM embedded-emissions data</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Steel, aluminium, wire, fasteners, fertiliser exporters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SME to 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CBAM definitive 2026; certificates 2027 </w:t>
            </w:r>
            <w:r>
              <w:rPr>
                <w:color w:val="57606A"/>
                <w:sz w:val="14"/>
                <w:szCs w:val="14"/>
                <w:vertAlign w:val="superscript"/>
              </w:rPr>
              <w:t xml:space="preserve">[81]</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RM30k–100k (≈US$7.4k–25k)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MISIF; MATRADE exporter events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EUDR and GHG for palm, rubber and wood</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Mills, refiners, aggregators, furniture makers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EUDR from Dec 2026 and Jun 2027 </w:t>
            </w:r>
            <w:r>
              <w:rPr>
                <w:color w:val="57606A"/>
                <w:sz w:val="14"/>
                <w:szCs w:val="14"/>
                <w:vertAlign w:val="superscript"/>
              </w:rPr>
              <w:t xml:space="preserve">[82]</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RM40k–150k (≈US$9.8k–37k)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MPOA and MPOB events; MSPO auditors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Data centre sustainability reporting</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Data centre operators and developers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Mid and 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Johor boom, CRESS, water stress </w:t>
            </w:r>
            <w:r>
              <w:rPr>
                <w:color w:val="57606A"/>
                <w:sz w:val="14"/>
                <w:szCs w:val="14"/>
                <w:vertAlign w:val="superscript"/>
              </w:rPr>
              <w:t xml:space="preserve">[36]</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RM60k–200k (≈US$15k–49k)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Johor and MDEC events; LinkedIn</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SME ESG starter (SEDG Basic + Scope 1-2 + policies)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Manufacturing SMEs, suppliers to listed companies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SMEs, RM5-100m revenue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SEDG, bank programmes, RM50k tax deduction </w:t>
            </w:r>
            <w:r>
              <w:rPr>
                <w:color w:val="57606A"/>
                <w:sz w:val="14"/>
                <w:szCs w:val="14"/>
                <w:vertAlign w:val="superscript"/>
              </w:rPr>
              <w:t xml:space="preserve">[28,30,34]</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RM8k–25k (≈US$2k–6.1k)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Bank Greening Value Chain programmes; FMM; SME Corp</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Outsourced ESG function</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Family conglomerates, GLC and MNC subsidiaries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Revenue ≥RM2bn, non-listed</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Reporting from FY2027; lender requests</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RM5k–15k (≈US$1.2k–3.7k) a month plus projects</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Introductions through auditors and bankers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MY</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HRD Corp-claimable ISSB and GHG training</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Listed and large companies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All</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Capability gaps across Groups 2 and 3</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RM3k–10k (≈US$0.7k–2.5k) per day</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Register as HRD Corp provider; MIA and ICDM</w:t>
            </w:r>
          </w:p>
        </w:tc>
      </w:tr>
    </w:tbl>
    <w:p>
      <w:pPr>
        <w:pStyle w:val="Heading2"/>
      </w:pPr>
      <w:r>
        <w:t xml:space="preserve">10.3 Indonesia</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82"/>
        <w:gridCol w:w="1900"/>
        <w:gridCol w:w="1965"/>
        <w:gridCol w:w="1507"/>
        <w:gridCol w:w="2621"/>
        <w:gridCol w:w="1376"/>
        <w:gridCol w:w="1900"/>
        <w:gridCol w:w="2427"/>
      </w:tblGrid>
      <w:tr>
        <w:trPr>
          <w:cantSplit/>
          <w:tblHeader/>
        </w:trPr>
        <w:tc>
          <w:tcPr>
            <w:tcW w:type="dxa" w:w="98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Country</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ESG service</w:t>
            </w:r>
          </w:p>
        </w:tc>
        <w:tc>
          <w:tcPr>
            <w:tcW w:type="dxa" w:w="196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industry</w:t>
            </w:r>
          </w:p>
        </w:tc>
        <w:tc>
          <w:tcPr>
            <w:tcW w:type="dxa" w:w="15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company size</w:t>
            </w:r>
          </w:p>
        </w:tc>
        <w:tc>
          <w:tcPr>
            <w:tcW w:type="dxa" w:w="262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Why demand exists</w:t>
            </w:r>
          </w:p>
        </w:tc>
        <w:tc>
          <w:tcPr>
            <w:tcW w:type="dxa" w:w="137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Competition</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Estimated project value</w:t>
            </w:r>
          </w:p>
        </w:tc>
        <w:tc>
          <w:tcPr>
            <w:tcW w:type="dxa" w:w="242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development approach</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PSPK gap assessment and roadmap</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Main Board issuers, all sectors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 listed</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PSPK from 2027 </w:t>
            </w:r>
            <w:r>
              <w:rPr>
                <w:color w:val="57606A"/>
                <w:sz w:val="14"/>
                <w:szCs w:val="14"/>
                <w:vertAlign w:val="superscript"/>
              </w:rPr>
              <w:t xml:space="preserve">[40]</w:t>
            </w:r>
            <w:r>
              <w:rPr>
                <w:b w:val="false"/>
                <w:bCs w:val="false"/>
                <w:sz w:val="14"/>
                <w:szCs w:val="14"/>
              </w:rPr>
              <w:t xml:space="preserve">; OJK wave 1 from FY2027 </w:t>
            </w:r>
            <w:r>
              <w:rPr>
                <w:color w:val="57606A"/>
                <w:sz w:val="14"/>
                <w:szCs w:val="14"/>
                <w:vertAlign w:val="superscript"/>
              </w:rPr>
              <w:t xml:space="preserve">[41,42]</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IDR 250m–750m (≈US$14k–42k)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Local partner; IAI events; CFO and Corporate Secretary</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Bank PSPK and financed emissions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 banks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 banks in OJK wave 1 </w:t>
            </w:r>
            <w:r>
              <w:rPr>
                <w:color w:val="57606A"/>
                <w:sz w:val="14"/>
                <w:szCs w:val="14"/>
                <w:vertAlign w:val="superscript"/>
              </w:rPr>
              <w:t xml:space="preserve">[42]</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High (Big Four)</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IDR 500m–2bn (≈US$28k–112k)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Subcontract to Big Four or network firms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GHG inventory for SIINas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Cement, steel, chemicals, textiles, F&amp;B, pulp and paper</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Mid and large manufacturers</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Circular 2/2025 </w:t>
            </w:r>
            <w:r>
              <w:rPr>
                <w:color w:val="57606A"/>
                <w:sz w:val="14"/>
                <w:szCs w:val="14"/>
                <w:vertAlign w:val="superscript"/>
              </w:rPr>
              <w:t xml:space="preserve">[49]</w:t>
            </w:r>
            <w:r>
              <w:rPr>
                <w:b w:val="false"/>
                <w:bCs w:val="false"/>
                <w:sz w:val="14"/>
                <w:szCs w:val="14"/>
              </w:rPr>
              <w:t xml:space="preserve">; decarbonisation roadmap </w:t>
            </w:r>
            <w:r>
              <w:rPr>
                <w:color w:val="57606A"/>
                <w:sz w:val="14"/>
                <w:szCs w:val="14"/>
                <w:vertAlign w:val="superscript"/>
              </w:rPr>
              <w:t xml:space="preserve">[50]</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IDR 60m–200m (≈US$3.4k–11k)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Industry associations; local partner; Kemenperin events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Palm oil EUDR and GHG</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Plantation groups, mills, refiners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EUDR from 30 Dec 2026 </w:t>
            </w:r>
            <w:r>
              <w:rPr>
                <w:color w:val="57606A"/>
                <w:sz w:val="14"/>
                <w:szCs w:val="14"/>
                <w:vertAlign w:val="superscript"/>
              </w:rPr>
              <w:t xml:space="preserve">[82]</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IDR 200m–800m (≈US$11k–45k)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GAPKI; RSPO and ISPO events; buyer referrals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Nickel and battery product carbon footprints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Smelters, precursor producers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EU battery thresholds; non-compliant EV batteries barred from Feb 2028 </w:t>
            </w:r>
            <w:r>
              <w:rPr>
                <w:color w:val="57606A"/>
                <w:sz w:val="14"/>
                <w:szCs w:val="14"/>
                <w:vertAlign w:val="superscript"/>
              </w:rPr>
              <w:t xml:space="preserve">[60]</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 (specialist LCA)</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IDR 500m–2bn (≈US$28k–112k)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Team up with LCA specialists; offtakers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Textile and apparel supplier decarbonisation</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Garment and footwear factories in Java</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Brand supplier targets; EU VSME requests </w:t>
            </w:r>
            <w:r>
              <w:rPr>
                <w:color w:val="57606A"/>
                <w:sz w:val="14"/>
                <w:szCs w:val="14"/>
                <w:vertAlign w:val="superscript"/>
              </w:rPr>
              <w:t xml:space="preserve">[83]</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IDR 50m–200m (≈US$2.8k–11k) per facility</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Brand-sponsored programmes; textile association</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Assurance readiness for PSPK</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Main Board issuers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Mandatory assurance proposed </w:t>
            </w:r>
            <w:r>
              <w:rPr>
                <w:color w:val="57606A"/>
                <w:sz w:val="14"/>
                <w:szCs w:val="14"/>
                <w:vertAlign w:val="superscript"/>
              </w:rPr>
              <w:t xml:space="preserve">[42]</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IDR 100m–400m (≈US$5.6k–22k)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Upsell after gap assessments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Scenario analysis and transition plans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Coal, energy, mining, banks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PSPK 2; OJK transition plan proposal </w:t>
            </w:r>
            <w:r>
              <w:rPr>
                <w:color w:val="57606A"/>
                <w:sz w:val="14"/>
                <w:szCs w:val="14"/>
                <w:vertAlign w:val="superscript"/>
              </w:rPr>
              <w:t xml:space="preserve">[41]</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IDR 300m–1bn (≈US$17k–56k)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Local partner; Heads of Risk and Strategy</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PSPK training in Bahasa</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Issuers, accountants, banks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All</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Capability gap ahead of 2027</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IDR 15m–50m (≈US$0.8k–2.8k) per day</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IAI, IDX and corporate secretary association partnerships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White-label technical support for report agencies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Local sustainability report writers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Small firms</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Agencies need PSPK capability to keep clients</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IDR 50m–200m (≈US$2.8k–11k) per engagement</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Direct approach to agencies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ID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Captive power ETS MRV</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Smelters and industrial parks with captive coal</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ETS covers captive plants from 2027 </w:t>
            </w:r>
            <w:r>
              <w:rPr>
                <w:color w:val="57606A"/>
                <w:sz w:val="14"/>
                <w:szCs w:val="14"/>
                <w:vertAlign w:val="superscript"/>
              </w:rPr>
              <w:t xml:space="preserve">[45]</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IDR 200m–600m (≈US$11k–34k)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Industrial park operators</w:t>
            </w:r>
          </w:p>
        </w:tc>
      </w:tr>
    </w:tbl>
    <w:p>
      <w:pPr>
        <w:pStyle w:val="Heading2"/>
      </w:pPr>
      <w:r>
        <w:t xml:space="preserve">10.4 Hong Kong</w:t>
      </w:r>
    </w:p>
    <w:tbl>
      <w:tblPr>
        <w:tblW w:type="dxa" w:w="14678"/>
        <w:tblBorders>
          <w:top w:val="single" w:color="auto" w:sz="4"/>
          <w:left w:val="single" w:color="auto" w:sz="4"/>
          <w:bottom w:val="single" w:color="auto" w:sz="4"/>
          <w:right w:val="single" w:color="auto" w:sz="4"/>
          <w:insideH w:val="single" w:color="auto" w:sz="4"/>
          <w:insideV w:val="single" w:color="auto" w:sz="4"/>
        </w:tblBorders>
      </w:tblPr>
      <w:tblGrid>
        <w:gridCol w:w="982"/>
        <w:gridCol w:w="1900"/>
        <w:gridCol w:w="1965"/>
        <w:gridCol w:w="1507"/>
        <w:gridCol w:w="2621"/>
        <w:gridCol w:w="1376"/>
        <w:gridCol w:w="1900"/>
        <w:gridCol w:w="2427"/>
      </w:tblGrid>
      <w:tr>
        <w:trPr>
          <w:cantSplit/>
          <w:tblHeader/>
        </w:trPr>
        <w:tc>
          <w:tcPr>
            <w:tcW w:type="dxa" w:w="98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Country</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ESG service</w:t>
            </w:r>
          </w:p>
        </w:tc>
        <w:tc>
          <w:tcPr>
            <w:tcW w:type="dxa" w:w="196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industry</w:t>
            </w:r>
          </w:p>
        </w:tc>
        <w:tc>
          <w:tcPr>
            <w:tcW w:type="dxa" w:w="15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Target company size</w:t>
            </w:r>
          </w:p>
        </w:tc>
        <w:tc>
          <w:tcPr>
            <w:tcW w:type="dxa" w:w="262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Why demand exists</w:t>
            </w:r>
          </w:p>
        </w:tc>
        <w:tc>
          <w:tcPr>
            <w:tcW w:type="dxa" w:w="137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Competition</w:t>
            </w:r>
          </w:p>
        </w:tc>
        <w:tc>
          <w:tcPr>
            <w:tcW w:type="dxa" w:w="19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Estimated project value</w:t>
            </w:r>
          </w:p>
        </w:tc>
        <w:tc>
          <w:tcPr>
            <w:tcW w:type="dxa" w:w="242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Business development approach</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LargeCap Scope 3 inventories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Property, retail, consumer, logistics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LargeCap</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Mandatory from FY2026 </w:t>
            </w:r>
            <w:r>
              <w:rPr>
                <w:color w:val="57606A"/>
                <w:sz w:val="14"/>
                <w:szCs w:val="14"/>
                <w:vertAlign w:val="superscript"/>
              </w:rPr>
              <w:t xml:space="preserve">[66]</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High at the top; data work often outsourced</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HK$200k–800k (≈US$26k–103k)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Subcontract; direct to Heads of Sustainability</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Part D quality upgrade for MidCap</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Main Board mid caps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MidCap</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Comply-or-explain today; mandatory expected later </w:t>
            </w:r>
            <w:r>
              <w:rPr>
                <w:color w:val="57606A"/>
                <w:sz w:val="14"/>
                <w:szCs w:val="14"/>
                <w:vertAlign w:val="superscript"/>
              </w:rPr>
              <w:t xml:space="preserve">[62]</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High at the low end</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HK$80k–250k (≈US$10k–32k)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CPA firm partners; CFO outreach</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Scope 1-2 assurance readiness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All Main Board sectors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Listed</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AFRC proposal for mandatory assurance </w:t>
            </w:r>
            <w:r>
              <w:rPr>
                <w:color w:val="57606A"/>
                <w:sz w:val="14"/>
                <w:szCs w:val="14"/>
                <w:vertAlign w:val="superscript"/>
              </w:rPr>
              <w:t xml:space="preserve">[63]</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HK$60k–200k (≈US$7.7k–26k)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CPA firms and non-CPA assurance providers</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Transition plans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LargeCap; banks' corporate clients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CASG 2026-28 priorities </w:t>
            </w:r>
            <w:r>
              <w:rPr>
                <w:color w:val="57606A"/>
                <w:sz w:val="14"/>
                <w:szCs w:val="14"/>
                <w:vertAlign w:val="superscript"/>
              </w:rPr>
              <w:t xml:space="preserve">[67]</w:t>
            </w:r>
            <w:r>
              <w:rPr>
                <w:b w:val="false"/>
                <w:bCs w:val="false"/>
                <w:sz w:val="14"/>
                <w:szCs w:val="14"/>
              </w:rPr>
              <w:t xml:space="preserve">; transition finance guide </w:t>
            </w:r>
            <w:r>
              <w:rPr>
                <w:color w:val="57606A"/>
                <w:sz w:val="14"/>
                <w:szCs w:val="14"/>
                <w:vertAlign w:val="superscript"/>
              </w:rPr>
              <w:t xml:space="preserve">[68]</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HK$150k–500k (≈US$19k–64k)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HKGFA and bank networks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A+H dual-framework reporting</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Mainland-linked issuers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Mainland mandatory reports from 2026; climate standard expected 2027 </w:t>
            </w:r>
            <w:r>
              <w:rPr>
                <w:color w:val="57606A"/>
                <w:sz w:val="14"/>
                <w:szCs w:val="14"/>
                <w:vertAlign w:val="superscript"/>
              </w:rPr>
              <w:t xml:space="preserve">[78]</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HK$150k–500k (≈US$19k–64k)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Mandarin-capable partner</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Building energy-to-carbon roadmaps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Landlords, property managers, data centres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 and 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Amended BEEO fully in force 20 Sep 2026 </w:t>
            </w:r>
            <w:r>
              <w:rPr>
                <w:color w:val="57606A"/>
                <w:sz w:val="14"/>
                <w:szCs w:val="14"/>
                <w:vertAlign w:val="superscript"/>
              </w:rPr>
              <w:t xml:space="preserve">[74]</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HK$80k–300k (≈US$10k–38k)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Registered energy assessors</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CASG questionnaire packages for SMEs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Bank borrowers</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SMEs</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Banks collect climate data from non-listed clients </w:t>
            </w:r>
            <w:r>
              <w:rPr>
                <w:color w:val="57606A"/>
                <w:sz w:val="14"/>
                <w:szCs w:val="14"/>
                <w:vertAlign w:val="superscript"/>
              </w:rPr>
              <w:t xml:space="preserve">[71]</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HK$15k–50k (≈US$1.9k–6.4k)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Banks, HKSMEA, HKPC</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Green and transition finance frameworks</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Issuers using the GSF grant</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Mid and large</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GSF Grant Scheme to 2027 </w:t>
            </w:r>
            <w:r>
              <w:rPr>
                <w:color w:val="57606A"/>
                <w:sz w:val="14"/>
                <w:szCs w:val="14"/>
                <w:vertAlign w:val="superscript"/>
              </w:rPr>
              <w:t xml:space="preserve">[70]</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High</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HK$100k–300k (≈US$13k–38k)</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Arrangers; HKGFA</w:t>
            </w:r>
          </w:p>
        </w:tc>
      </w:tr>
      <w:tr>
        <w:trPr>
          <w:cantSplit/>
        </w:trPr>
        <w:tc>
          <w:tcPr>
            <w:tcW w:type="dxa" w:w="98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HKFRS S1 readiness</w:t>
            </w:r>
          </w:p>
        </w:tc>
        <w:tc>
          <w:tcPr>
            <w:tcW w:type="dxa" w:w="196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LargeCap and MidCap</w:t>
            </w:r>
          </w:p>
        </w:tc>
        <w:tc>
          <w:tcPr>
            <w:tcW w:type="dxa" w:w="15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Large</w:t>
            </w:r>
          </w:p>
        </w:tc>
        <w:tc>
          <w:tcPr>
            <w:tcW w:type="dxa" w:w="262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HKEX consultation 2027; full adoption by 2028 </w:t>
            </w:r>
            <w:r>
              <w:rPr>
                <w:color w:val="57606A"/>
                <w:sz w:val="14"/>
                <w:szCs w:val="14"/>
                <w:vertAlign w:val="superscript"/>
              </w:rPr>
              <w:t xml:space="preserve">[62]</w:t>
            </w:r>
          </w:p>
        </w:tc>
        <w:tc>
          <w:tcPr>
            <w:tcW w:type="dxa" w:w="137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Low (early)</w:t>
            </w:r>
          </w:p>
        </w:tc>
        <w:tc>
          <w:tcPr>
            <w:tcW w:type="dxa" w:w="19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HK$150k–500k (≈US$19k–64k)</w:t>
            </w:r>
          </w:p>
        </w:tc>
        <w:tc>
          <w:tcPr>
            <w:tcW w:type="dxa" w:w="242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4"/>
                <w:szCs w:val="14"/>
              </w:rPr>
              <w:t xml:space="preserve">Thought leadership from 2027</w:t>
            </w:r>
          </w:p>
        </w:tc>
      </w:tr>
      <w:tr>
        <w:trPr>
          <w:cantSplit/>
        </w:trPr>
        <w:tc>
          <w:tcPr>
            <w:tcW w:type="dxa" w:w="98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4"/>
                <w:szCs w:val="14"/>
              </w:rPr>
              <w:t xml:space="preserve">HK</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Director and finance team training</w:t>
            </w:r>
          </w:p>
        </w:tc>
        <w:tc>
          <w:tcPr>
            <w:tcW w:type="dxa" w:w="196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Listed boards, CPA firms</w:t>
            </w:r>
          </w:p>
        </w:tc>
        <w:tc>
          <w:tcPr>
            <w:tcW w:type="dxa" w:w="15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All</w:t>
            </w:r>
          </w:p>
        </w:tc>
        <w:tc>
          <w:tcPr>
            <w:tcW w:type="dxa" w:w="262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Board competence expectations under the climate rules</w:t>
            </w:r>
          </w:p>
        </w:tc>
        <w:tc>
          <w:tcPr>
            <w:tcW w:type="dxa" w:w="137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Moderate</w:t>
            </w:r>
          </w:p>
        </w:tc>
        <w:tc>
          <w:tcPr>
            <w:tcW w:type="dxa" w:w="19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HK$15k–40k (≈US$1.9k–5.1k) per session</w:t>
            </w:r>
          </w:p>
        </w:tc>
        <w:tc>
          <w:tcPr>
            <w:tcW w:type="dxa" w:w="242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4"/>
                <w:szCs w:val="14"/>
              </w:rPr>
              <w:t xml:space="preserve">Directors' institute and HKICPA CPD</w:t>
            </w:r>
          </w:p>
        </w:tc>
      </w:tr>
    </w:tbl>
    <w:p>
      <w:pPr>
        <w:sectPr>
          <w:headerReference w:type="default" r:id="rId19"/>
          <w:footerReference w:type="default" r:id="rId20"/>
          <w:pgSz w:w="16838" w:h="11906" w:orient="landscape"/>
          <w:pgMar w:top="1080" w:right="1080" w:bottom="1080" w:left="1080" w:header="500" w:footer="500" w:gutter="0"/>
          <w:pgNumType/>
          <w:titlePg w:val="false"/>
          <w:docGrid w:linePitch="360"/>
        </w:sectPr>
      </w:pPr>
    </w:p>
    <w:p>
      <w:pPr>
        <w:pStyle w:val="Heading1"/>
      </w:pPr>
      <w:r>
        <w:t xml:space="preserve">Part 11: Market entry strategy</w:t>
      </w:r>
    </w:p>
    <w:p>
      <w:pPr>
        <w:spacing w:after="120" w:before="0" w:line="276"/>
      </w:pPr>
      <w:r>
        <w:t xml:space="preserve">All four markets can be entered without a local office. The question is which channel produces paying clients fastest in each one. The table rates each channel by market; the sections below set out the recommended route.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3"/>
        <w:gridCol w:w="1975"/>
        <w:gridCol w:w="1975"/>
        <w:gridCol w:w="1975"/>
        <w:gridCol w:w="1978"/>
      </w:tblGrid>
      <w:tr>
        <w:trPr>
          <w:cantSplit/>
          <w:tblHeader/>
        </w:trPr>
        <w:tc>
          <w:tcPr>
            <w:tcW w:type="dxa" w:w="184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Channel</w:t>
            </w:r>
          </w:p>
        </w:tc>
        <w:tc>
          <w:tcPr>
            <w:tcW w:type="dxa" w:w="197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197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197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197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Accounting and audit firms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w:t>
            </w:r>
            <w:r>
              <w:rPr>
                <w:b w:val="false"/>
                <w:bCs w:val="false"/>
                <w:sz w:val="15"/>
                <w:szCs w:val="15"/>
              </w:rPr>
              <w:t xml:space="preserve"> Mid-tier firms selling SRG-funded reports need specialists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Strongest channel.</w:t>
            </w:r>
            <w:r>
              <w:rPr>
                <w:b w:val="false"/>
                <w:bCs w:val="false"/>
                <w:sz w:val="15"/>
                <w:szCs w:val="15"/>
              </w:rPr>
              <w:t xml:space="preserve"> Mid-tier and secretarial firms bundle NSRF work</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Network firms (Crowe, RSM, BDO affiliates) building PSPK teams</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Strongest channel.</w:t>
            </w:r>
            <w:r>
              <w:rPr>
                <w:b w:val="false"/>
                <w:bCs w:val="false"/>
                <w:sz w:val="15"/>
                <w:szCs w:val="15"/>
              </w:rPr>
              <w:t xml:space="preserve"> Small CPA firms need ESG depth before assurance</w:t>
            </w:r>
          </w:p>
        </w:tc>
      </w:tr>
      <w:tr>
        <w:trPr>
          <w:cantSplit/>
        </w:trPr>
        <w:tc>
          <w:tcPr>
            <w:tcW w:type="dxa" w:w="18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Sustainability consultancies (subcontract)</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with global firms on Scope 3 and supplier work</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Big Four overflow on Group 1 and 2</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 from 2027</w:t>
            </w:r>
            <w:r>
              <w:rPr>
                <w:b w:val="false"/>
                <w:bCs w:val="false"/>
                <w:sz w:val="15"/>
                <w:szCs w:val="15"/>
              </w:rPr>
              <w:t xml:space="preserve"> when PSPK work peaks</w:t>
            </w:r>
          </w:p>
        </w:tc>
        <w:tc>
          <w:tcPr>
            <w:tcW w:type="dxa" w:w="197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with Big Four for Scope 3 data</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Carbon and ESG software vendors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w:t>
            </w:r>
            <w:r>
              <w:rPr>
                <w:b w:val="false"/>
                <w:bCs w:val="false"/>
                <w:sz w:val="15"/>
                <w:szCs w:val="15"/>
              </w:rPr>
              <w:t xml:space="preserve"> many vendors need implementation partners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w:t>
            </w:r>
            <w:r>
              <w:rPr>
                <w:b w:val="false"/>
                <w:bCs w:val="false"/>
                <w:sz w:val="15"/>
                <w:szCs w:val="15"/>
              </w:rPr>
              <w:t xml:space="preserve"> tax deduction covers subscriptions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Jejakin and regional vendors</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w:t>
            </w:r>
          </w:p>
        </w:tc>
      </w:tr>
      <w:tr>
        <w:trPr>
          <w:cantSplit/>
        </w:trPr>
        <w:tc>
          <w:tcPr>
            <w:tcW w:type="dxa" w:w="18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ISO and environmental consultancies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ISO 14064 and energy audits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EIA and ISO firms have industrial clients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AMDAL and PROPER consultants have client access</w:t>
            </w:r>
          </w:p>
        </w:tc>
        <w:tc>
          <w:tcPr>
            <w:tcW w:type="dxa" w:w="197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energy assessors under BEEO</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Certification bodies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only</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only (SIRIM QAS, TIC firms)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only (Sucofindo, TIC firms)</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Referral; possible future accredited assurance partners</w:t>
            </w:r>
          </w:p>
        </w:tc>
      </w:tr>
      <w:tr>
        <w:trPr>
          <w:cantSplit/>
        </w:trPr>
        <w:tc>
          <w:tcPr>
            <w:tcW w:type="dxa" w:w="18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Banks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transition-plan referrals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Strong;</w:t>
            </w:r>
            <w:r>
              <w:rPr>
                <w:b w:val="false"/>
                <w:bCs w:val="false"/>
                <w:sz w:val="15"/>
                <w:szCs w:val="15"/>
              </w:rPr>
              <w:t xml:space="preserve"> Greening Value Chain and CGC programmes need delivery partners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grows with OJK rules</w:t>
            </w:r>
          </w:p>
        </w:tc>
        <w:tc>
          <w:tcPr>
            <w:tcW w:type="dxa" w:w="197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SME questionnaire packages</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Chambers and industry associations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w:t>
            </w:r>
            <w:r>
              <w:rPr>
                <w:b w:val="false"/>
                <w:bCs w:val="false"/>
                <w:sz w:val="15"/>
                <w:szCs w:val="15"/>
              </w:rPr>
              <w:t xml:space="preserve"> Enterprise SG-funded sector cohorts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Strong;</w:t>
            </w:r>
            <w:r>
              <w:rPr>
                <w:b w:val="false"/>
                <w:bCs w:val="false"/>
                <w:sz w:val="15"/>
                <w:szCs w:val="15"/>
              </w:rPr>
              <w:t xml:space="preserve"> FMM, MSIA, MISIF, MPOA</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Critical</w:t>
            </w:r>
            <w:r>
              <w:rPr>
                <w:b w:val="false"/>
                <w:bCs w:val="false"/>
                <w:sz w:val="15"/>
                <w:szCs w:val="15"/>
              </w:rPr>
              <w:t xml:space="preserve"> for credibility (Kadin, APINDO, GAPKI)</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HKGCC, FHKI, HKSMEA</w:t>
            </w:r>
          </w:p>
        </w:tc>
      </w:tr>
      <w:tr>
        <w:trPr>
          <w:cantSplit/>
        </w:trPr>
        <w:tc>
          <w:tcPr>
            <w:tcW w:type="dxa" w:w="18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LinkedIn outreach</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Effective</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Effective</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pair with WhatsApp and introductions</w:t>
            </w:r>
          </w:p>
        </w:tc>
        <w:tc>
          <w:tcPr>
            <w:tcW w:type="dxa" w:w="197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 to effective</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Cold email</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Weak</w:t>
            </w:r>
            <w:r>
              <w:rPr>
                <w:b w:val="false"/>
                <w:bCs w:val="false"/>
                <w:sz w:val="15"/>
                <w:szCs w:val="15"/>
              </w:rPr>
              <w:t xml:space="preserve"> unless tied to a grant or deadline</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when tied to NSRF group dates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Weak</w:t>
            </w:r>
            <w:r>
              <w:rPr>
                <w:b w:val="false"/>
                <w:bCs w:val="false"/>
                <w:sz w:val="15"/>
                <w:szCs w:val="15"/>
              </w:rPr>
              <w:t xml:space="preserve"> unless in Bahasa via a partner</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Weak</w:t>
            </w:r>
          </w:p>
        </w:tc>
      </w:tr>
      <w:tr>
        <w:trPr>
          <w:cantSplit/>
        </w:trPr>
        <w:tc>
          <w:tcPr>
            <w:tcW w:type="dxa" w:w="18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Webinars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FY2028 tier</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Very good</w:t>
            </w:r>
            <w:r>
              <w:rPr>
                <w:b w:val="false"/>
                <w:bCs w:val="false"/>
                <w:sz w:val="15"/>
                <w:szCs w:val="15"/>
              </w:rPr>
              <w:t xml:space="preserve"> for Group 2 and 3 audiences</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in Bahasa with a partner</w:t>
            </w:r>
          </w:p>
        </w:tc>
        <w:tc>
          <w:tcPr>
            <w:tcW w:type="dxa" w:w="197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Training (paid or partner-hosted)</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via ISCA, SID</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good</w:t>
            </w:r>
            <w:r>
              <w:rPr>
                <w:b w:val="false"/>
                <w:bCs w:val="false"/>
                <w:sz w:val="15"/>
                <w:szCs w:val="15"/>
              </w:rPr>
              <w:t xml:space="preserve"> (HRD Corp-claimable)</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good</w:t>
            </w:r>
            <w:r>
              <w:rPr>
                <w:b w:val="false"/>
                <w:bCs w:val="false"/>
                <w:sz w:val="15"/>
                <w:szCs w:val="15"/>
              </w:rPr>
              <w:t xml:space="preserve"> (PSPK in Bahasa)</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directors and CPA firms</w:t>
            </w:r>
          </w:p>
        </w:tc>
      </w:tr>
      <w:tr>
        <w:trPr>
          <w:cantSplit/>
        </w:trPr>
        <w:tc>
          <w:tcPr>
            <w:tcW w:type="dxa" w:w="184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Free ESG assessment or checklist</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r>
              <w:rPr>
                <w:b w:val="false"/>
                <w:bCs w:val="false"/>
                <w:sz w:val="15"/>
                <w:szCs w:val="15"/>
              </w:rPr>
              <w:t xml:space="preserve"> many offer it</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NSRF readiness checklist by group</w:t>
            </w:r>
          </w:p>
        </w:tc>
        <w:tc>
          <w:tcPr>
            <w:tcW w:type="dxa" w:w="197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PSPK readiness checklist in Bahasa</w:t>
            </w:r>
          </w:p>
        </w:tc>
        <w:tc>
          <w:tcPr>
            <w:tcW w:type="dxa" w:w="197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Moderate</w:t>
            </w:r>
          </w:p>
        </w:tc>
      </w:tr>
      <w:tr>
        <w:trPr>
          <w:cantSplit/>
        </w:trPr>
        <w:tc>
          <w:tcPr>
            <w:tcW w:type="dxa" w:w="184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White-label carbon accounting</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boutiques and vendors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secretarial and audit firms</w:t>
            </w:r>
          </w:p>
        </w:tc>
        <w:tc>
          <w:tcPr>
            <w:tcW w:type="dxa" w:w="197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Very good</w:t>
            </w:r>
            <w:r>
              <w:rPr>
                <w:b w:val="false"/>
                <w:bCs w:val="false"/>
                <w:sz w:val="15"/>
                <w:szCs w:val="15"/>
              </w:rPr>
              <w:t xml:space="preserve"> for report agencies</w:t>
            </w:r>
          </w:p>
        </w:tc>
        <w:tc>
          <w:tcPr>
            <w:tcW w:type="dxa" w:w="197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Good</w:t>
            </w:r>
            <w:r>
              <w:rPr>
                <w:b w:val="false"/>
                <w:bCs w:val="false"/>
                <w:sz w:val="15"/>
                <w:szCs w:val="15"/>
              </w:rPr>
              <w:t xml:space="preserve"> for CPA firms</w:t>
            </w:r>
          </w:p>
        </w:tc>
      </w:tr>
    </w:tbl>
    <w:p>
      <w:pPr>
        <w:pStyle w:val="Heading2"/>
      </w:pPr>
      <w:r>
        <w:t xml:space="preserve">11.1 Malaysia: partner-led plus direct outreach to Group 2 and 3</w:t>
      </w:r>
    </w:p>
    <w:p>
      <w:pPr>
        <w:pStyle w:val="ListParagraph"/>
        <w:numPr>
          <w:ilvl w:val="0"/>
          <w:numId w:val="5"/>
        </w:numPr>
        <w:spacing w:after="60" w:line="264"/>
      </w:pPr>
      <w:r>
        <w:t xml:space="preserve">Sign two or three referral or subcontract agreements with mid-tier audit or company secretarial firms in KL, offering IFRS S2, Scope 3 and assurance-readiness capacity under their brand or yours.</w:t>
      </w:r>
    </w:p>
    <w:p>
      <w:pPr>
        <w:pStyle w:val="ListParagraph"/>
        <w:numPr>
          <w:ilvl w:val="0"/>
          <w:numId w:val="5"/>
        </w:numPr>
        <w:spacing w:after="60" w:line="264"/>
      </w:pPr>
      <w:r>
        <w:t xml:space="preserve">Run a monthly webinar series built on the NSRF calendar ("Group 2: what your first IFRS S2 report must contain", "Group 3: FY2027 is your baseline year", "Reasonable assurance: what auditors will test").</w:t>
      </w:r>
    </w:p>
    <w:p>
      <w:pPr>
        <w:pStyle w:val="ListParagraph"/>
        <w:numPr>
          <w:ilvl w:val="0"/>
          <w:numId w:val="5"/>
        </w:numPr>
        <w:spacing w:after="60" w:line="264"/>
      </w:pPr>
      <w:r>
        <w:t xml:space="preserve">Publish a free NSRF readiness checklist by group and use it as the entry offer, followed by a fixed-price gap assessment.</w:t>
      </w:r>
    </w:p>
    <w:p>
      <w:pPr>
        <w:pStyle w:val="ListParagraph"/>
        <w:numPr>
          <w:ilvl w:val="0"/>
          <w:numId w:val="5"/>
        </w:numPr>
        <w:spacing w:after="60" w:line="264"/>
      </w:pPr>
      <w:r>
        <w:t xml:space="preserve">Register as an HRD Corp training provider (directly or through a partner) so clients can claim training costs.</w:t>
      </w:r>
    </w:p>
    <w:p>
      <w:pPr>
        <w:pStyle w:val="ListParagraph"/>
        <w:numPr>
          <w:ilvl w:val="0"/>
          <w:numId w:val="5"/>
        </w:numPr>
        <w:spacing w:after="60" w:line="264"/>
      </w:pPr>
      <w:r>
        <w:t xml:space="preserve">Approach one or two banks running Greening Value Chain programmes and offer a fixed-price SME package.</w:t>
      </w:r>
    </w:p>
    <w:p>
      <w:pPr>
        <w:pStyle w:val="ListParagraph"/>
        <w:numPr>
          <w:ilvl w:val="0"/>
          <w:numId w:val="5"/>
        </w:numPr>
        <w:spacing w:after="60" w:line="264"/>
      </w:pPr>
      <w:r>
        <w:t xml:space="preserve">Visit KL and Penang quarterly once the pipeline justifies it.</w:t>
      </w:r>
    </w:p>
    <w:p>
      <w:pPr>
        <w:pStyle w:val="Heading2"/>
      </w:pPr>
      <w:r>
        <w:t xml:space="preserve">11.2 Singapore: channel and premium niche</w:t>
      </w:r>
    </w:p>
    <w:p>
      <w:pPr>
        <w:pStyle w:val="ListParagraph"/>
        <w:numPr>
          <w:ilvl w:val="0"/>
          <w:numId w:val="6"/>
        </w:numPr>
        <w:spacing w:after="60" w:line="264"/>
      </w:pPr>
      <w:r>
        <w:t xml:space="preserve">Partner with two or three carbon software vendors as an implementation partner, which also gives you regional leads in Malaysia and Indonesia.</w:t>
      </w:r>
    </w:p>
    <w:p>
      <w:pPr>
        <w:pStyle w:val="ListParagraph"/>
        <w:numPr>
          <w:ilvl w:val="0"/>
          <w:numId w:val="6"/>
        </w:numPr>
        <w:spacing w:after="60" w:line="264"/>
      </w:pPr>
      <w:r>
        <w:t xml:space="preserve">Offer grant-funded SME carbon footprint and first-report packages through one or two trade associations.</w:t>
      </w:r>
    </w:p>
    <w:p>
      <w:pPr>
        <w:pStyle w:val="ListParagraph"/>
        <w:numPr>
          <w:ilvl w:val="0"/>
          <w:numId w:val="6"/>
        </w:numPr>
        <w:spacing w:after="60" w:line="264"/>
      </w:pPr>
      <w:r>
        <w:t xml:space="preserve">Target the non-STI ≥S$1bn tier with a "FY2028 countdown" readiness offer from Q1 2027.</w:t>
      </w:r>
    </w:p>
    <w:p>
      <w:pPr>
        <w:pStyle w:val="ListParagraph"/>
        <w:numPr>
          <w:ilvl w:val="0"/>
          <w:numId w:val="6"/>
        </w:numPr>
        <w:spacing w:after="60" w:line="264"/>
      </w:pPr>
      <w:r>
        <w:t xml:space="preserve">Build a Scope 3 supplier-programme offer that MNC HQs can deploy across their Southeast Asian suppliers.</w:t>
      </w:r>
    </w:p>
    <w:p>
      <w:pPr>
        <w:pStyle w:val="Heading2"/>
      </w:pPr>
      <w:r>
        <w:t xml:space="preserve">11.3 Indonesia: partner first, then training-led entry</w:t>
      </w:r>
    </w:p>
    <w:p>
      <w:pPr>
        <w:pStyle w:val="ListParagraph"/>
        <w:numPr>
          <w:ilvl w:val="0"/>
          <w:numId w:val="7"/>
        </w:numPr>
        <w:spacing w:after="60" w:line="264"/>
      </w:pPr>
      <w:r>
        <w:t xml:space="preserve">Find a local partner: a network audit firm, an environmental consultancy or a sustainability report agency that lacks PSPK technical depth. Agree a white-label or co-delivery model.</w:t>
      </w:r>
    </w:p>
    <w:p>
      <w:pPr>
        <w:pStyle w:val="ListParagraph"/>
        <w:numPr>
          <w:ilvl w:val="0"/>
          <w:numId w:val="7"/>
        </w:numPr>
        <w:spacing w:after="60" w:line="264"/>
      </w:pPr>
      <w:r>
        <w:t xml:space="preserve">Lead with PSPK training in Bahasa, co-hosted with an association or institute, to build credibility and a contact list.</w:t>
      </w:r>
    </w:p>
    <w:p>
      <w:pPr>
        <w:pStyle w:val="ListParagraph"/>
        <w:numPr>
          <w:ilvl w:val="0"/>
          <w:numId w:val="7"/>
        </w:numPr>
        <w:spacing w:after="60" w:line="264"/>
      </w:pPr>
      <w:r>
        <w:t xml:space="preserve">Convert training attendees into gap assessments and GHG inventories (SIINas-ready).</w:t>
      </w:r>
    </w:p>
    <w:p>
      <w:pPr>
        <w:pStyle w:val="ListParagraph"/>
        <w:numPr>
          <w:ilvl w:val="0"/>
          <w:numId w:val="7"/>
        </w:numPr>
        <w:spacing w:after="60" w:line="264"/>
      </w:pPr>
      <w:r>
        <w:t xml:space="preserve">Add export-driven offers (EUDR, CBAM) through palm oil and industry associations.</w:t>
      </w:r>
    </w:p>
    <w:p>
      <w:pPr>
        <w:pStyle w:val="ListParagraph"/>
        <w:numPr>
          <w:ilvl w:val="0"/>
          <w:numId w:val="7"/>
        </w:numPr>
        <w:spacing w:after="60" w:line="264"/>
      </w:pPr>
      <w:r>
        <w:t xml:space="preserve">Plan in-person visits for workshops; keep analysis remote.</w:t>
      </w:r>
    </w:p>
    <w:p>
      <w:pPr>
        <w:pStyle w:val="Heading2"/>
      </w:pPr>
      <w:r>
        <w:t xml:space="preserve">11.4 Hong Kong: CPA-firm subcontracting</w:t>
      </w:r>
    </w:p>
    <w:p>
      <w:pPr>
        <w:pStyle w:val="ListParagraph"/>
        <w:numPr>
          <w:ilvl w:val="0"/>
          <w:numId w:val="8"/>
        </w:numPr>
        <w:spacing w:after="60" w:line="264"/>
      </w:pPr>
      <w:r>
        <w:t xml:space="preserve">Offer small and mid-sized CPA firms a technical bench for Scope 3, scenario analysis and assurance-readiness work.</w:t>
      </w:r>
    </w:p>
    <w:p>
      <w:pPr>
        <w:pStyle w:val="ListParagraph"/>
        <w:numPr>
          <w:ilvl w:val="0"/>
          <w:numId w:val="8"/>
        </w:numPr>
        <w:spacing w:after="60" w:line="264"/>
      </w:pPr>
      <w:r>
        <w:t xml:space="preserve">Position for the AFRC assurance regime: readiness reviews in the year before the third mandatory reporting year.</w:t>
      </w:r>
    </w:p>
    <w:p>
      <w:pPr>
        <w:pStyle w:val="ListParagraph"/>
        <w:numPr>
          <w:ilvl w:val="0"/>
          <w:numId w:val="8"/>
        </w:numPr>
        <w:spacing w:after="60" w:line="264"/>
      </w:pPr>
      <w:r>
        <w:t xml:space="preserve">Use LinkedIn to reach Heads of Sustainability at LargeCap issuers for Scope 3 and transition-plan work.</w:t>
      </w:r>
    </w:p>
    <w:p>
      <w:pPr>
        <w:pStyle w:val="ListParagraph"/>
        <w:numPr>
          <w:ilvl w:val="0"/>
          <w:numId w:val="8"/>
        </w:numPr>
        <w:spacing w:after="60" w:line="264"/>
      </w:pPr>
      <w:r>
        <w:t xml:space="preserve">Find a Mandarin-capable partner if you want A+H issuers.</w:t>
      </w:r>
    </w:p>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Most realistic approach by market</w:t>
            </w:r>
          </w:p>
          <w:p>
            <w:pPr>
              <w:pStyle w:val="ListParagraph"/>
              <w:numPr>
                <w:ilvl w:val="0"/>
                <w:numId w:val="4"/>
              </w:numPr>
              <w:spacing w:after="30" w:line="240"/>
            </w:pPr>
            <w:r>
              <w:rPr>
                <w:b/>
                <w:bCs/>
                <w:sz w:val="19"/>
                <w:szCs w:val="19"/>
              </w:rPr>
              <w:t xml:space="preserve">Malaysia:</w:t>
            </w:r>
            <w:r>
              <w:rPr>
                <w:sz w:val="19"/>
                <w:szCs w:val="19"/>
              </w:rPr>
              <w:t xml:space="preserve"> mid-tier audit and secretarial partners plus NSRF-calendar webinars.</w:t>
            </w:r>
          </w:p>
          <w:p>
            <w:pPr>
              <w:pStyle w:val="ListParagraph"/>
              <w:numPr>
                <w:ilvl w:val="0"/>
                <w:numId w:val="4"/>
              </w:numPr>
              <w:spacing w:after="30" w:line="240"/>
            </w:pPr>
            <w:r>
              <w:rPr>
                <w:b/>
                <w:bCs/>
                <w:sz w:val="19"/>
                <w:szCs w:val="19"/>
              </w:rPr>
              <w:t xml:space="preserve">Singapore:</w:t>
            </w:r>
            <w:r>
              <w:rPr>
                <w:sz w:val="19"/>
                <w:szCs w:val="19"/>
              </w:rPr>
              <w:t xml:space="preserve"> software vendor partnerships plus grant-funded SME cohorts.</w:t>
            </w:r>
          </w:p>
          <w:p>
            <w:pPr>
              <w:pStyle w:val="ListParagraph"/>
              <w:numPr>
                <w:ilvl w:val="0"/>
                <w:numId w:val="4"/>
              </w:numPr>
              <w:spacing w:after="30" w:line="240"/>
            </w:pPr>
            <w:r>
              <w:rPr>
                <w:b/>
                <w:bCs/>
                <w:sz w:val="19"/>
                <w:szCs w:val="19"/>
              </w:rPr>
              <w:t xml:space="preserve">Indonesia:</w:t>
            </w:r>
            <w:r>
              <w:rPr>
                <w:sz w:val="19"/>
                <w:szCs w:val="19"/>
              </w:rPr>
              <w:t xml:space="preserve"> a local delivery partner plus Bahasa training.</w:t>
            </w:r>
          </w:p>
          <w:p>
            <w:pPr>
              <w:pStyle w:val="ListParagraph"/>
              <w:numPr>
                <w:ilvl w:val="0"/>
                <w:numId w:val="4"/>
              </w:numPr>
              <w:spacing w:after="30" w:line="240"/>
            </w:pPr>
            <w:r>
              <w:rPr>
                <w:b/>
                <w:bCs/>
                <w:sz w:val="19"/>
                <w:szCs w:val="19"/>
              </w:rPr>
              <w:t xml:space="preserve">Hong Kong:</w:t>
            </w:r>
            <w:r>
              <w:rPr>
                <w:sz w:val="19"/>
                <w:szCs w:val="19"/>
              </w:rPr>
              <w:t xml:space="preserve"> subcontracting to CPA firms. </w:t>
            </w:r>
            <w:r>
              <w:rPr>
                <w:b/>
                <w:bCs/>
                <w:color w:val="0F7A55"/>
                <w:sz w:val="15"/>
                <w:szCs w:val="15"/>
              </w:rPr>
              <w:t xml:space="preserve">[Inference]</w:t>
            </w:r>
          </w:p>
        </w:tc>
      </w:tr>
    </w:tbl>
    <w:p>
      <w:pPr>
        <w:pStyle w:val="Heading1"/>
        <w:pageBreakBefore/>
      </w:pPr>
      <w:r>
        <w:t xml:space="preserve">Part 12: Target client profiles and outreach angles</w:t>
      </w:r>
    </w:p>
    <w:p>
      <w:pPr>
        <w:spacing w:after="120" w:before="0" w:line="276"/>
      </w:pPr>
      <w:r>
        <w:t xml:space="preserve">Each market has one primary and one secondary ideal client profile. The primary profile is where the regulatory deadline creates budget; the secondary is a volume play driven by customers or export rules.</w:t>
      </w:r>
    </w:p>
    <w:p>
      <w:pPr>
        <w:pStyle w:val="Heading2"/>
      </w:pPr>
      <w:r>
        <w:t xml:space="preserve">12.1 Singapore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4013"/>
        <w:gridCol w:w="4014"/>
      </w:tblGrid>
      <w:tr>
        <w:trPr>
          <w:cantSplit/>
          <w:tblHeader/>
        </w:trPr>
        <w:tc>
          <w:tcPr>
            <w:tcW w:type="dxa" w:w="171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Profile field</w:t>
            </w:r>
          </w:p>
        </w:tc>
        <w:tc>
          <w:tcPr>
            <w:tcW w:type="dxa" w:w="401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Primary ideal client</w:t>
            </w:r>
          </w:p>
        </w:tc>
        <w:tc>
          <w:tcPr>
            <w:tcW w:type="dxa" w:w="401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Secondary ideal client</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Industry</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Non-STI SGX issuer: REITs, industrials, consumer, property</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SME supplier to MNCs: precision engineering, F&amp;B, logistics, packaging</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Revenue / size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Market cap ≥S$1bn; revenue S$300m-3bn</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S$10-100m</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Employees</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500-10,000</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50-200</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maturity</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Reports under SGX rules; Scope 1-2 done in spreadsheets; no scenario analysis or transition plan</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owner or finance manager handles customer requests</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Regulatory exposure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Full ISSB climate disclosures FY2028; limited assurance FY2029 </w:t>
            </w:r>
            <w:r>
              <w:rPr>
                <w:color w:val="57606A"/>
                <w:sz w:val="15"/>
                <w:szCs w:val="15"/>
                <w:vertAlign w:val="superscript"/>
              </w:rPr>
              <w:t xml:space="preserve">[1]</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None directly; customers' Scope 3</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Export exposure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Indirect, via MNC customers</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Main pain point</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FY2028 report needs FY2027 data, financial-effects analysis and assurance-ready controls, without new headcount</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Customer questionnaires and supplier targets they cannot answer</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Decision makers</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Economic buyer: CFO. User: Head of Sustainability, IR or Company Secretary. Approver: Board sustainability or audit committee</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Owner or Managing Director; Finance Manager</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Best message angle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"Your FY2028 report starts with FY2027 data. A six-week readiness review now, with 30% SRG funding."</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"Answer your customers' carbon requests with a baseline that is up to 70% grant-funded."</w:t>
            </w:r>
          </w:p>
        </w:tc>
      </w:tr>
    </w:tbl>
    <w:p>
      <w:pPr>
        <w:pStyle w:val="Heading2"/>
      </w:pPr>
      <w:r>
        <w:t xml:space="preserve">12.2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4013"/>
        <w:gridCol w:w="4014"/>
      </w:tblGrid>
      <w:tr>
        <w:trPr>
          <w:cantSplit/>
          <w:tblHeader/>
        </w:trPr>
        <w:tc>
          <w:tcPr>
            <w:tcW w:type="dxa" w:w="171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Profile field</w:t>
            </w:r>
          </w:p>
        </w:tc>
        <w:tc>
          <w:tcPr>
            <w:tcW w:type="dxa" w:w="401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Primary ideal client</w:t>
            </w:r>
          </w:p>
        </w:tc>
        <w:tc>
          <w:tcPr>
            <w:tcW w:type="dxa" w:w="401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Secondary ideal client</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Industry</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2 Main Market issuer: property, construction, industrial products, consumer, tech</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E&amp;E and semiconductor suppliers; also palm oil mills and steel fabricators</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Revenue / size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RM200m-2bn; market cap below RM2bn</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RM20-500m</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Employees</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300-5,000</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100-2,000</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maturity</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Bursa sustainability statement with common indicators; basic Scope 1-2; no IFRS S2 experience</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 to moderate; HSE manager owns environmental data</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Regulatory exposure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NSRF from FY2026; Scope 3 FY2028; reasonable assurance FY2028 </w:t>
            </w:r>
            <w:r>
              <w:rPr>
                <w:color w:val="57606A"/>
                <w:sz w:val="15"/>
                <w:szCs w:val="15"/>
                <w:vertAlign w:val="superscript"/>
              </w:rPr>
              <w:t xml:space="preserve">[20,90]</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Indirect (customers' Scope 3); CBAM or EUDR for some</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Export exposure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Varies; high for manufacturers</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Very high</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Main pain point</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First IFRS S2 report due in the 2027 annual report; data in spreadsheets; board needs to understand climate risk; limited budget</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MNC or EU customers want Scope 1-2, renewable plans and product footprints within months</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Decision makers</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Economic buyer: CFO or Group Finance Director. User: Company Secretary or Sustainability Manager. Approver: Board sustainability committee</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General Manager or Operations Director; HSE Manager; Finance Director</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Best message angle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"Your first IFRS S2 report: fixed price, assurance-ready, tax-deductible up to RM50k."</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"Keep your customer: carbon data in six weeks, SEDG-aligned and tax-deductible."</w:t>
            </w:r>
          </w:p>
        </w:tc>
      </w:tr>
    </w:tbl>
    <w:p>
      <w:pPr>
        <w:pStyle w:val="Heading2"/>
      </w:pPr>
      <w:r>
        <w:t xml:space="preserve">12.3 Indonesia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4013"/>
        <w:gridCol w:w="4014"/>
      </w:tblGrid>
      <w:tr>
        <w:trPr>
          <w:cantSplit/>
          <w:tblHeader/>
        </w:trPr>
        <w:tc>
          <w:tcPr>
            <w:tcW w:type="dxa" w:w="171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Profile field</w:t>
            </w:r>
          </w:p>
        </w:tc>
        <w:tc>
          <w:tcPr>
            <w:tcW w:type="dxa" w:w="401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Primary ideal client</w:t>
            </w:r>
          </w:p>
        </w:tc>
        <w:tc>
          <w:tcPr>
            <w:tcW w:type="dxa" w:w="401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Secondary ideal client</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Industry</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IDX Main Board issuer: resources, manufacturing, consumer, property</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Export manufacturers: palm oil, textiles, pulp and paper, nickel supply chain</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Revenue / size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IDR 2-30 trillion</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IDR 500bn-5 trillion</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Employees</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1,000-20,000</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300-5,000</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maturity</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POJK 51 narrative report from an agency; partial GHG data</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Low</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Regulatory exposure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PSPK from 2027; OJK wave 1 FY2027 with assurance and transition plan (proposed) </w:t>
            </w:r>
            <w:r>
              <w:rPr>
                <w:color w:val="57606A"/>
                <w:sz w:val="15"/>
                <w:szCs w:val="15"/>
                <w:vertAlign w:val="superscript"/>
              </w:rPr>
              <w:t xml:space="preserve">[41,42]</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SIINas GHG reporting </w:t>
            </w:r>
            <w:r>
              <w:rPr>
                <w:color w:val="57606A"/>
                <w:sz w:val="15"/>
                <w:szCs w:val="15"/>
                <w:vertAlign w:val="superscript"/>
              </w:rPr>
              <w:t xml:space="preserve">[49]</w:t>
            </w:r>
            <w:r>
              <w:rPr>
                <w:b w:val="false"/>
                <w:bCs w:val="false"/>
                <w:sz w:val="15"/>
                <w:szCs w:val="15"/>
              </w:rPr>
              <w:t xml:space="preserve">; EUDR, CBAM or battery rules</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Export exposure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 to high</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High</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Main pain point</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Current report agency cannot deliver PSPK-level climate analysis or assurance-ready data</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EU buyers require traceability, embedded emissions or GHG data before late 2026 and 2027</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Decision makers</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Economic buyer: Director of Finance. User: Corporate Secretary (owns the report), Head of Sustainability or HSE. Approver: Board of Directors</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President Director or owner; Plant or HSE Manager; Export Manager</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Best message angle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"PSPK 2027: data ready, assurance ready. We fill the technical gap your current report partner cannot." (deliver in Bahasa)</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"Keep your EU buyers: EUDR, CBAM and GHG data ready before the deadlines."</w:t>
            </w:r>
          </w:p>
        </w:tc>
      </w:tr>
    </w:tbl>
    <w:p>
      <w:pPr>
        <w:pStyle w:val="Heading2"/>
      </w:pPr>
      <w:r>
        <w:t xml:space="preserve">12.4 Hong Kong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719"/>
        <w:gridCol w:w="4013"/>
        <w:gridCol w:w="4014"/>
      </w:tblGrid>
      <w:tr>
        <w:trPr>
          <w:cantSplit/>
          <w:tblHeader/>
        </w:trPr>
        <w:tc>
          <w:tcPr>
            <w:tcW w:type="dxa" w:w="171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Profile field</w:t>
            </w:r>
          </w:p>
        </w:tc>
        <w:tc>
          <w:tcPr>
            <w:tcW w:type="dxa" w:w="401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Primary ideal client</w:t>
            </w:r>
          </w:p>
        </w:tc>
        <w:tc>
          <w:tcPr>
            <w:tcW w:type="dxa" w:w="401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Secondary ideal client</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Industry</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LargeCap and MidCap issuers: property, retail, logistics, consumer</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Small and mid-sized CPA firms (as partner-clients)</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Revenue / size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Revenue HK$5-50bn</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20-200 ESG report clients</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Employees</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2,000-30,000</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20-300 staff</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 maturity</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Established ESG reporting; Scope 3 and scenario analysis new</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Can write ESG reports; thin on climate scenarios, Scope 3 and assurance standards</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Regulatory exposure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LargeCap Scope 3 FY2026 </w:t>
            </w:r>
            <w:r>
              <w:rPr>
                <w:color w:val="57606A"/>
                <w:sz w:val="15"/>
                <w:szCs w:val="15"/>
                <w:vertAlign w:val="superscript"/>
              </w:rPr>
              <w:t xml:space="preserve">[66]</w:t>
            </w:r>
            <w:r>
              <w:rPr>
                <w:b w:val="false"/>
                <w:bCs w:val="false"/>
                <w:sz w:val="15"/>
                <w:szCs w:val="15"/>
              </w:rPr>
              <w:t xml:space="preserve">; assurance proposed </w:t>
            </w:r>
            <w:r>
              <w:rPr>
                <w:color w:val="57606A"/>
                <w:sz w:val="15"/>
                <w:szCs w:val="15"/>
                <w:vertAlign w:val="superscript"/>
              </w:rPr>
              <w:t xml:space="preserve">[63]</w:t>
            </w:r>
            <w:r>
              <w:rPr>
                <w:b w:val="false"/>
                <w:bCs w:val="false"/>
                <w:sz w:val="15"/>
                <w:szCs w:val="15"/>
              </w:rPr>
              <w:t xml:space="preserve">; HKFRS S1 by 2028 </w:t>
            </w:r>
            <w:r>
              <w:rPr>
                <w:color w:val="57606A"/>
                <w:sz w:val="15"/>
                <w:szCs w:val="15"/>
                <w:vertAlign w:val="superscript"/>
              </w:rPr>
              <w:t xml:space="preserve">[62]</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Their clients face Part D; the firm may seek to become a registered assurance provider</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Export exposure</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Moderate</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n/a</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Main pain point</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3 data across suppliers and tenants; preparing for assurance</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Need technical depth and seasonal capacity without hiring</w:t>
            </w:r>
          </w:p>
        </w:tc>
      </w:tr>
      <w:tr>
        <w:trPr>
          <w:cantSplit/>
        </w:trPr>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Decision makers</w:t>
            </w:r>
          </w:p>
        </w:tc>
        <w:tc>
          <w:tcPr>
            <w:tcW w:type="dxa" w:w="401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Head of Sustainability; CFO; Company Secretary</w:t>
            </w:r>
          </w:p>
        </w:tc>
        <w:tc>
          <w:tcPr>
            <w:tcW w:type="dxa" w:w="401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Partner in charge of ESG or advisory</w:t>
            </w:r>
          </w:p>
        </w:tc>
      </w:tr>
      <w:tr>
        <w:trPr>
          <w:cantSplit/>
        </w:trPr>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Best message angle</w:t>
            </w:r>
          </w:p>
        </w:tc>
        <w:tc>
          <w:tcPr>
            <w:tcW w:type="dxa" w:w="401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3 numbers that will stand up to assurance."</w:t>
            </w:r>
          </w:p>
        </w:tc>
        <w:tc>
          <w:tcPr>
            <w:tcW w:type="dxa" w:w="401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"Your technical bench for Part D, Scope 3 and assurance readiness, under your brand."</w:t>
            </w:r>
          </w:p>
        </w:tc>
      </w:tr>
    </w:tbl>
    <w:p>
      <w:pPr>
        <w:pStyle w:val="Heading2"/>
      </w:pPr>
      <w:r>
        <w:t xml:space="preserve">12.5 Outreach message angles by company type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949"/>
        <w:gridCol w:w="1689"/>
        <w:gridCol w:w="4159"/>
      </w:tblGrid>
      <w:tr>
        <w:trPr>
          <w:cantSplit/>
          <w:tblHeader/>
        </w:trPr>
        <w:tc>
          <w:tcPr>
            <w:tcW w:type="dxa" w:w="194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Company type</w:t>
            </w:r>
          </w:p>
        </w:tc>
        <w:tc>
          <w:tcPr>
            <w:tcW w:type="dxa" w:w="194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Angle that works</w:t>
            </w:r>
          </w:p>
        </w:tc>
        <w:tc>
          <w:tcPr>
            <w:tcW w:type="dxa" w:w="16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Who to address</w:t>
            </w:r>
          </w:p>
        </w:tc>
        <w:tc>
          <w:tcPr>
            <w:tcW w:type="dxa" w:w="415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Example opening line</w:t>
            </w:r>
          </w:p>
        </w:tc>
      </w:tr>
      <w:tr>
        <w:trPr>
          <w:cantSplit/>
        </w:trPr>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Listed company facing its first ISSB report</w:t>
            </w:r>
          </w:p>
        </w:tc>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Deadline, fixed scope, co-funding</w:t>
            </w:r>
          </w:p>
        </w:tc>
        <w:tc>
          <w:tcPr>
            <w:tcW w:type="dxa" w:w="16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CFO, Company Secretary</w:t>
            </w:r>
          </w:p>
        </w:tc>
        <w:tc>
          <w:tcPr>
            <w:tcW w:type="dxa" w:w="415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2 companies report under IFRS S2 for FY2026. Here is what the first Group 1 reports got wrong, and a fixed-price plan to avoid it."</w:t>
            </w:r>
          </w:p>
        </w:tc>
      </w:tr>
      <w:tr>
        <w:trPr>
          <w:cantSplit/>
        </w:trPr>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Listed company facing assurance</w:t>
            </w:r>
          </w:p>
        </w:tc>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Risk of a qualified or modified assurance conclusion; data controls</w:t>
            </w:r>
          </w:p>
        </w:tc>
        <w:tc>
          <w:tcPr>
            <w:tcW w:type="dxa" w:w="16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CFO, Head of Sustainability, Audit Committee chair</w:t>
            </w:r>
          </w:p>
        </w:tc>
        <w:tc>
          <w:tcPr>
            <w:tcW w:type="dxa" w:w="415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"Reasonable assurance tests evidence, not narrative. A readiness review shows what your assurer will find before they find it."</w:t>
            </w:r>
          </w:p>
        </w:tc>
      </w:tr>
      <w:tr>
        <w:trPr>
          <w:cantSplit/>
        </w:trPr>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SME supplier to an MNC</w:t>
            </w:r>
          </w:p>
        </w:tc>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Keep the customer; answer requests fast</w:t>
            </w:r>
          </w:p>
        </w:tc>
        <w:tc>
          <w:tcPr>
            <w:tcW w:type="dxa" w:w="16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Owner, Managing Director</w:t>
            </w:r>
          </w:p>
        </w:tc>
        <w:tc>
          <w:tcPr>
            <w:tcW w:type="dxa" w:w="415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"Your customer has a supplier target. We can give you the numbers and a credible plan in six weeks."</w:t>
            </w:r>
          </w:p>
        </w:tc>
      </w:tr>
      <w:tr>
        <w:trPr>
          <w:cantSplit/>
        </w:trPr>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Exporter to the EU</w:t>
            </w:r>
          </w:p>
        </w:tc>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Market access and border cost</w:t>
            </w:r>
          </w:p>
        </w:tc>
        <w:tc>
          <w:tcPr>
            <w:tcW w:type="dxa" w:w="16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Owner, Export Manager, Plant Manager</w:t>
            </w:r>
          </w:p>
        </w:tc>
        <w:tc>
          <w:tcPr>
            <w:tcW w:type="dxa" w:w="415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"From 2027 your EU importer pays for embedded carbon. Accurate installation data lowers that cost."</w:t>
            </w:r>
          </w:p>
        </w:tc>
      </w:tr>
      <w:tr>
        <w:trPr>
          <w:cantSplit/>
        </w:trPr>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Bank borrower</w:t>
            </w:r>
          </w:p>
        </w:tc>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Access to and price of finance</w:t>
            </w:r>
          </w:p>
        </w:tc>
        <w:tc>
          <w:tcPr>
            <w:tcW w:type="dxa" w:w="16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CFO, Treasurer</w:t>
            </w:r>
          </w:p>
        </w:tc>
        <w:tc>
          <w:tcPr>
            <w:tcW w:type="dxa" w:w="415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"Your bank will ask for a transition plan. Having one ready strengthens your next refinancing."</w:t>
            </w:r>
          </w:p>
        </w:tc>
      </w:tr>
      <w:tr>
        <w:trPr>
          <w:cantSplit/>
        </w:trPr>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Large private group</w:t>
            </w:r>
          </w:p>
        </w:tc>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Coming mandate; lender and investor expectations</w:t>
            </w:r>
          </w:p>
        </w:tc>
        <w:tc>
          <w:tcPr>
            <w:tcW w:type="dxa" w:w="16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Group CFO, Executive Director</w:t>
            </w:r>
          </w:p>
        </w:tc>
        <w:tc>
          <w:tcPr>
            <w:tcW w:type="dxa" w:w="415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"Non-listed groups with RM2bn revenue report from FY2027. Build the system once, properly."</w:t>
            </w:r>
          </w:p>
        </w:tc>
      </w:tr>
      <w:tr>
        <w:trPr>
          <w:cantSplit/>
        </w:trPr>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Audit, secretarial or CPA firm (partner)</w:t>
            </w:r>
          </w:p>
        </w:tc>
        <w:tc>
          <w:tcPr>
            <w:tcW w:type="dxa" w:w="194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Revenue without hiring; client retention</w:t>
            </w:r>
          </w:p>
        </w:tc>
        <w:tc>
          <w:tcPr>
            <w:tcW w:type="dxa" w:w="16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Managing Partner, Advisory Partner</w:t>
            </w:r>
          </w:p>
        </w:tc>
        <w:tc>
          <w:tcPr>
            <w:tcW w:type="dxa" w:w="415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"Keep your ESG clients through the ISSB transition. We provide the technical bench under your brand."</w:t>
            </w:r>
          </w:p>
        </w:tc>
      </w:tr>
      <w:tr>
        <w:trPr>
          <w:cantSplit/>
        </w:trPr>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software vendor (partner)</w:t>
            </w:r>
          </w:p>
        </w:tc>
        <w:tc>
          <w:tcPr>
            <w:tcW w:type="dxa" w:w="194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Implementation capacity and regional reach</w:t>
            </w:r>
          </w:p>
        </w:tc>
        <w:tc>
          <w:tcPr>
            <w:tcW w:type="dxa" w:w="16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Head of Partnerships, Country Manager</w:t>
            </w:r>
          </w:p>
        </w:tc>
        <w:tc>
          <w:tcPr>
            <w:tcW w:type="dxa" w:w="415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"We onboard your mid-market clients in Malaysia and Indonesia and turn data into compliant reports."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Messaging rules</w:t>
            </w:r>
          </w:p>
          <w:p>
            <w:pPr>
              <w:pStyle w:val="ListParagraph"/>
              <w:numPr>
                <w:ilvl w:val="0"/>
                <w:numId w:val="4"/>
              </w:numPr>
              <w:spacing w:after="30" w:line="240"/>
            </w:pPr>
            <w:r>
              <w:rPr>
                <w:sz w:val="19"/>
                <w:szCs w:val="19"/>
              </w:rPr>
              <w:t xml:space="preserve">Lead with their deadline or their customer, never with ESG in general.</w:t>
            </w:r>
          </w:p>
          <w:p>
            <w:pPr>
              <w:pStyle w:val="ListParagraph"/>
              <w:numPr>
                <w:ilvl w:val="0"/>
                <w:numId w:val="4"/>
              </w:numPr>
              <w:spacing w:after="30" w:line="240"/>
            </w:pPr>
            <w:r>
              <w:rPr>
                <w:sz w:val="19"/>
                <w:szCs w:val="19"/>
              </w:rPr>
              <w:t xml:space="preserve">Name the regulation, the group or tier, and the year.</w:t>
            </w:r>
          </w:p>
          <w:p>
            <w:pPr>
              <w:pStyle w:val="ListParagraph"/>
              <w:numPr>
                <w:ilvl w:val="0"/>
                <w:numId w:val="4"/>
              </w:numPr>
              <w:spacing w:after="30" w:line="240"/>
            </w:pPr>
            <w:r>
              <w:rPr>
                <w:sz w:val="19"/>
                <w:szCs w:val="19"/>
              </w:rPr>
              <w:t xml:space="preserve">Offer one fixed-price first step (checklist review, gap assessment or baseline).</w:t>
            </w:r>
          </w:p>
          <w:p>
            <w:pPr>
              <w:pStyle w:val="ListParagraph"/>
              <w:numPr>
                <w:ilvl w:val="0"/>
                <w:numId w:val="4"/>
              </w:numPr>
              <w:spacing w:after="30" w:line="240"/>
            </w:pPr>
            <w:r>
              <w:rPr>
                <w:sz w:val="19"/>
                <w:szCs w:val="19"/>
              </w:rPr>
              <w:t xml:space="preserve">In Indonesia, send messages in Bahasa through a partner's name where possible. </w:t>
            </w:r>
            <w:r>
              <w:rPr>
                <w:b/>
                <w:bCs/>
                <w:color w:val="0F7A55"/>
                <w:sz w:val="15"/>
                <w:szCs w:val="15"/>
              </w:rPr>
              <w:t xml:space="preserve">[Inference]</w:t>
            </w:r>
          </w:p>
        </w:tc>
      </w:tr>
    </w:tbl>
    <w:p>
      <w:pPr>
        <w:pStyle w:val="Heading1"/>
        <w:pageBreakBefore/>
      </w:pPr>
      <w:r>
        <w:t xml:space="preserve">Part 13: Near-term opportunities, 2026 to 2028</w:t>
      </w:r>
    </w:p>
    <w:p>
      <w:pPr>
        <w:spacing w:after="120" w:before="0" w:line="276"/>
      </w:pPr>
      <w:r>
        <w:t xml:space="preserve">The aim is to reach companies before demand becomes crowded. As a rule, companies need to start 9 to 15 months before the first financial year that a new requirement covers, because the data for that year must be collected as it happens. Assurance readiness needs a full year of dry-run data before the first assured year. </w:t>
      </w:r>
      <w:r>
        <w:rPr>
          <w:b/>
          <w:bCs/>
          <w:color w:val="6B4FA0"/>
          <w:sz w:val="16"/>
          <w:szCs w:val="16"/>
        </w:rPr>
        <w:t xml:space="preserve">[Analyst view]</w:t>
      </w:r>
    </w:p>
    <w:p>
      <w:pPr>
        <w:pStyle w:val="Heading2"/>
      </w:pPr>
      <w:r>
        <w:t xml:space="preserve">13.1 2026</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9"/>
        <w:gridCol w:w="3389"/>
        <w:gridCol w:w="3389"/>
        <w:gridCol w:w="1839"/>
      </w:tblGrid>
      <w:tr>
        <w:trPr>
          <w:cantSplit/>
          <w:tblHeader/>
        </w:trPr>
        <w:tc>
          <w:tcPr>
            <w:tcW w:type="dxa" w:w="112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Market</w:t>
            </w:r>
          </w:p>
        </w:tc>
        <w:tc>
          <w:tcPr>
            <w:tcW w:type="dxa" w:w="33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Development and status</w:t>
            </w:r>
          </w:p>
        </w:tc>
        <w:tc>
          <w:tcPr>
            <w:tcW w:type="dxa" w:w="33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companies must prepare</w:t>
            </w:r>
          </w:p>
        </w:tc>
        <w:tc>
          <w:tcPr>
            <w:tcW w:type="dxa" w:w="183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Start approaching</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MY</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2 issuers in their first NSRF year (FY2026) </w:t>
            </w:r>
            <w:r>
              <w:rPr>
                <w:b/>
                <w:bCs/>
                <w:color w:val="1A7F37"/>
                <w:sz w:val="12"/>
                <w:szCs w:val="12"/>
              </w:rPr>
              <w:t xml:space="preserve">[In force]</w:t>
            </w:r>
            <w:r>
              <w:rPr>
                <w:b w:val="false"/>
                <w:bCs w:val="false"/>
                <w:sz w:val="15"/>
                <w:szCs w:val="15"/>
              </w:rPr>
              <w:t xml:space="preserve">; Group 1 in year two, relief ends after FY2026 </w:t>
            </w:r>
            <w:r>
              <w:rPr>
                <w:color w:val="57606A"/>
                <w:sz w:val="15"/>
                <w:szCs w:val="15"/>
                <w:vertAlign w:val="superscript"/>
              </w:rPr>
              <w:t xml:space="preserve">[20]</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FY2026 IFRS S2 report (published 2027); Group 1 must add full S1 and Scope 3 from FY2027</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 (Q4 2026). Crowding will build through H1 2027</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MY</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National Carbon Market Policy launched; Climate Change Bill pending </w:t>
            </w:r>
            <w:r>
              <w:rPr>
                <w:b/>
                <w:bCs/>
                <w:color w:val="1A7F37"/>
                <w:sz w:val="12"/>
                <w:szCs w:val="12"/>
              </w:rPr>
              <w:t xml:space="preserve">[In force]</w:t>
            </w:r>
            <w:r>
              <w:rPr>
                <w:b w:val="false"/>
                <w:bCs w:val="false"/>
                <w:sz w:val="15"/>
                <w:szCs w:val="15"/>
              </w:rPr>
              <w:t xml:space="preserve">/</w:t>
            </w:r>
            <w:r>
              <w:rPr>
                <w:b/>
                <w:bCs/>
                <w:color w:val="B42318"/>
                <w:sz w:val="12"/>
                <w:szCs w:val="12"/>
              </w:rPr>
              <w:t xml:space="preserve">[Proposed]</w:t>
            </w:r>
            <w:r>
              <w:rPr>
                <w:b w:val="false"/>
                <w:bCs w:val="false"/>
                <w:sz w:val="15"/>
                <w:szCs w:val="15"/>
              </w:rPr>
              <w:t xml:space="preserve"> </w:t>
            </w:r>
            <w:r>
              <w:rPr>
                <w:color w:val="57606A"/>
                <w:sz w:val="15"/>
                <w:szCs w:val="15"/>
                <w:vertAlign w:val="superscript"/>
              </w:rPr>
              <w:t xml:space="preserve">[25,26]</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Large emitters: MRV baseline for a future ETS</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Q1 2027 for steel, cement, energy</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SG</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Carbon tax S$45/t </w:t>
            </w:r>
            <w:r>
              <w:rPr>
                <w:b/>
                <w:bCs/>
                <w:color w:val="1A7F37"/>
                <w:sz w:val="12"/>
                <w:szCs w:val="12"/>
              </w:rPr>
              <w:t xml:space="preserve">[In force]</w:t>
            </w:r>
            <w:r>
              <w:rPr>
                <w:b w:val="false"/>
                <w:bCs w:val="false"/>
                <w:sz w:val="15"/>
                <w:szCs w:val="15"/>
              </w:rPr>
              <w:t xml:space="preserve">; STI Scope 3 first year </w:t>
            </w:r>
            <w:r>
              <w:rPr>
                <w:b/>
                <w:bCs/>
                <w:color w:val="1A7F37"/>
                <w:sz w:val="12"/>
                <w:szCs w:val="12"/>
              </w:rPr>
              <w:t xml:space="preserve">[In force]</w:t>
            </w:r>
            <w:r>
              <w:rPr>
                <w:b w:val="false"/>
                <w:bCs w:val="false"/>
                <w:sz w:val="15"/>
                <w:szCs w:val="15"/>
              </w:rPr>
              <w:t xml:space="preserve">; EDGE grant from 30 Sep </w:t>
            </w:r>
            <w:r>
              <w:rPr>
                <w:b/>
                <w:bCs/>
                <w:color w:val="1A7F37"/>
                <w:sz w:val="12"/>
                <w:szCs w:val="12"/>
              </w:rPr>
              <w:t xml:space="preserve">[In force]</w:t>
            </w:r>
            <w:r>
              <w:rPr>
                <w:b w:val="false"/>
                <w:bCs w:val="false"/>
                <w:sz w:val="15"/>
                <w:szCs w:val="15"/>
              </w:rPr>
              <w:t xml:space="preserve">; SAF levy on tickets sold from 1 Oct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[5,8,9]</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STI: Scope 3 inventory. SMEs: grant-funded baselines. Aviation and logistics: emissions pass-through data</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 for SMEs (grants); STI work is mostly Big Four</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SG</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SFRS S1/S2 consultation closes 25 Oct 2026 </w:t>
            </w:r>
            <w:r>
              <w:rPr>
                <w:b/>
                <w:bCs/>
                <w:color w:val="B42318"/>
                <w:sz w:val="12"/>
                <w:szCs w:val="12"/>
              </w:rPr>
              <w:t xml:space="preserve">[Proposed]</w:t>
            </w:r>
            <w:r>
              <w:rPr>
                <w:b w:val="false"/>
                <w:bCs w:val="false"/>
                <w:sz w:val="15"/>
                <w:szCs w:val="15"/>
              </w:rPr>
              <w:t xml:space="preserve"> </w:t>
            </w:r>
            <w:r>
              <w:rPr>
                <w:color w:val="57606A"/>
                <w:sz w:val="15"/>
                <w:szCs w:val="15"/>
                <w:vertAlign w:val="superscript"/>
              </w:rPr>
              <w:t xml:space="preserve">[4]</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Track final standards; plan FY2027 dry runs for the FY2028 tier</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Q1 2027</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ID</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OJK draft regulation expected to be finalised </w:t>
            </w:r>
            <w:r>
              <w:rPr>
                <w:b/>
                <w:bCs/>
                <w:color w:val="B42318"/>
                <w:sz w:val="12"/>
                <w:szCs w:val="12"/>
              </w:rPr>
              <w:t xml:space="preserve">[Proposed]</w:t>
            </w:r>
            <w:r>
              <w:rPr>
                <w:b w:val="false"/>
                <w:bCs w:val="false"/>
                <w:sz w:val="15"/>
                <w:szCs w:val="15"/>
              </w:rPr>
              <w:t xml:space="preserve">; SIINas GHG reporting </w:t>
            </w:r>
            <w:r>
              <w:rPr>
                <w:b/>
                <w:bCs/>
                <w:color w:val="1A7F37"/>
                <w:sz w:val="12"/>
                <w:szCs w:val="12"/>
              </w:rPr>
              <w:t xml:space="preserve">[In force]</w:t>
            </w:r>
            <w:r>
              <w:rPr>
                <w:b w:val="false"/>
                <w:bCs w:val="false"/>
                <w:sz w:val="15"/>
                <w:szCs w:val="15"/>
              </w:rPr>
              <w:t xml:space="preserve">; Perpres 110/2025 rollout </w:t>
            </w:r>
            <w:r>
              <w:rPr>
                <w:b/>
                <w:bCs/>
                <w:color w:val="1A7F37"/>
                <w:sz w:val="12"/>
                <w:szCs w:val="12"/>
              </w:rPr>
              <w:t xml:space="preserve">[In force]</w:t>
            </w:r>
            <w:r>
              <w:rPr>
                <w:b w:val="false"/>
                <w:bCs w:val="false"/>
                <w:sz w:val="15"/>
                <w:szCs w:val="15"/>
              </w:rPr>
              <w:t xml:space="preserve"> </w:t>
            </w:r>
            <w:r>
              <w:rPr>
                <w:color w:val="57606A"/>
                <w:sz w:val="15"/>
                <w:szCs w:val="15"/>
                <w:vertAlign w:val="superscript"/>
              </w:rPr>
              <w:t xml:space="preserve">[41,44,49]</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Main Board issuers and large banks: PSPK gap assessment, FY2027 data systems, climate risk approach</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 This is the window before demand crowds in 2027</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ID, MY</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EUDR applies from 30 Dec 2026 for large and medium operators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[82]</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Geolocation, traceability, due diligence statements for palm oil, rubber, wood</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 late movers will pay premium rates in Q4 2026</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HK</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LargeCap full climate disclosure incl. Scope 3 (FY2026) </w:t>
            </w:r>
            <w:r>
              <w:rPr>
                <w:b/>
                <w:bCs/>
                <w:color w:val="1A7F37"/>
                <w:sz w:val="12"/>
                <w:szCs w:val="12"/>
              </w:rPr>
              <w:t xml:space="preserve">[In force]</w:t>
            </w:r>
            <w:r>
              <w:rPr>
                <w:b w:val="false"/>
                <w:bCs w:val="false"/>
                <w:sz w:val="15"/>
                <w:szCs w:val="15"/>
              </w:rPr>
              <w:t xml:space="preserve">; BEEO fully in force 20 Sep </w:t>
            </w:r>
            <w:r>
              <w:rPr>
                <w:b/>
                <w:bCs/>
                <w:color w:val="1A7F37"/>
                <w:sz w:val="12"/>
                <w:szCs w:val="12"/>
              </w:rPr>
              <w:t xml:space="preserve">[In force]</w:t>
            </w:r>
            <w:r>
              <w:rPr>
                <w:b w:val="false"/>
                <w:bCs w:val="false"/>
                <w:sz w:val="15"/>
                <w:szCs w:val="15"/>
              </w:rPr>
              <w:t xml:space="preserve">; AFRC assurance conclusions awaited </w:t>
            </w:r>
            <w:r>
              <w:rPr>
                <w:b/>
                <w:bCs/>
                <w:color w:val="B42318"/>
                <w:sz w:val="12"/>
                <w:szCs w:val="12"/>
              </w:rPr>
              <w:t xml:space="preserve">[Proposed]</w:t>
            </w:r>
            <w:r>
              <w:rPr>
                <w:b w:val="false"/>
                <w:bCs w:val="false"/>
                <w:sz w:val="15"/>
                <w:szCs w:val="15"/>
              </w:rPr>
              <w:t xml:space="preserve"> </w:t>
            </w:r>
            <w:r>
              <w:rPr>
                <w:color w:val="57606A"/>
                <w:sz w:val="15"/>
                <w:szCs w:val="15"/>
                <w:vertAlign w:val="superscript"/>
              </w:rPr>
              <w:t xml:space="preserve">[63,66,74]</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Scope 3 inventories; building energy audits feeding carbon roadmaps; assurance planning</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Now for Scope 3; 2027 for assurance-readiness</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All</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 CBAM definitive phase (2026 imports) </w:t>
            </w:r>
            <w:r>
              <w:rPr>
                <w:b/>
                <w:bCs/>
                <w:color w:val="1A7F37"/>
                <w:sz w:val="12"/>
                <w:szCs w:val="12"/>
              </w:rPr>
              <w:t xml:space="preserve">[In force]</w:t>
            </w:r>
            <w:r>
              <w:rPr>
                <w:b w:val="false"/>
                <w:bCs w:val="false"/>
                <w:sz w:val="15"/>
                <w:szCs w:val="15"/>
              </w:rPr>
              <w:t xml:space="preserve"> </w:t>
            </w:r>
            <w:r>
              <w:rPr>
                <w:color w:val="57606A"/>
                <w:sz w:val="15"/>
                <w:szCs w:val="15"/>
                <w:vertAlign w:val="superscript"/>
              </w:rPr>
              <w:t xml:space="preserve">[81]</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Exporters of steel, aluminium, fertiliser supply verified embedded-emissions data to EU importers</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Now, ahead of the first declaration in Sep 2027</w:t>
            </w:r>
          </w:p>
        </w:tc>
      </w:tr>
    </w:tbl>
    <w:p>
      <w:pPr>
        <w:pStyle w:val="Heading2"/>
      </w:pPr>
      <w:r>
        <w:t xml:space="preserve">13.2 2027</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9"/>
        <w:gridCol w:w="3389"/>
        <w:gridCol w:w="3389"/>
        <w:gridCol w:w="1839"/>
      </w:tblGrid>
      <w:tr>
        <w:trPr>
          <w:cantSplit/>
          <w:tblHeader/>
        </w:trPr>
        <w:tc>
          <w:tcPr>
            <w:tcW w:type="dxa" w:w="112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Market</w:t>
            </w:r>
          </w:p>
        </w:tc>
        <w:tc>
          <w:tcPr>
            <w:tcW w:type="dxa" w:w="33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Development and status</w:t>
            </w:r>
          </w:p>
        </w:tc>
        <w:tc>
          <w:tcPr>
            <w:tcW w:type="dxa" w:w="33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companies must prepare</w:t>
            </w:r>
          </w:p>
        </w:tc>
        <w:tc>
          <w:tcPr>
            <w:tcW w:type="dxa" w:w="183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Start approaching</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MY</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3 (ACE and large non-listed) starts NSRF </w:t>
            </w:r>
            <w:r>
              <w:rPr>
                <w:b/>
                <w:bCs/>
                <w:color w:val="9A6700"/>
                <w:sz w:val="12"/>
                <w:szCs w:val="12"/>
              </w:rPr>
              <w:t xml:space="preserve">[Announced]</w:t>
            </w:r>
            <w:r>
              <w:rPr>
                <w:b w:val="false"/>
                <w:bCs w:val="false"/>
                <w:sz w:val="15"/>
                <w:szCs w:val="15"/>
              </w:rPr>
              <w:t xml:space="preserve">; Group 1 reasonable assurance and Scope 3 begin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[20,90]</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3: baseline year and first IFRS S2 report. Group 1: assured Scope 1-2, Scope 3 inventory</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Group 3: Q4 2026 to Q1 2027. Assurance readiness: now</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MY</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i-ESG Phase 2 (2027-2030) </w:t>
            </w:r>
            <w:r>
              <w:rPr>
                <w:b/>
                <w:bCs/>
                <w:color w:val="9A6700"/>
                <w:sz w:val="12"/>
                <w:szCs w:val="12"/>
              </w:rPr>
              <w:t xml:space="preserve">[Announced]</w:t>
            </w:r>
            <w:r>
              <w:rPr>
                <w:b w:val="false"/>
                <w:bCs w:val="false"/>
                <w:sz w:val="15"/>
                <w:szCs w:val="15"/>
              </w:rPr>
              <w:t xml:space="preserve">; ESG tax deduction final year (YA2027) </w:t>
            </w:r>
            <w:r>
              <w:rPr>
                <w:b/>
                <w:bCs/>
                <w:color w:val="1A7F37"/>
                <w:sz w:val="12"/>
                <w:szCs w:val="12"/>
              </w:rPr>
              <w:t xml:space="preserve">[In force]</w:t>
            </w:r>
            <w:r>
              <w:rPr>
                <w:b w:val="false"/>
                <w:bCs w:val="false"/>
                <w:sz w:val="15"/>
                <w:szCs w:val="15"/>
              </w:rPr>
              <w:t xml:space="preserve"> </w:t>
            </w:r>
            <w:r>
              <w:rPr>
                <w:color w:val="57606A"/>
                <w:sz w:val="15"/>
                <w:szCs w:val="15"/>
                <w:vertAlign w:val="superscript"/>
              </w:rPr>
              <w:t xml:space="preserve">[30,31]</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Manufacturers: move from readiness to practice; use the tax deduction before it expires</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Q1-Q3 2027 (deduction deadline)</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ID</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PSPK effective 1 Jan 2027 </w:t>
            </w:r>
            <w:r>
              <w:rPr>
                <w:b/>
                <w:bCs/>
                <w:color w:val="9A6700"/>
                <w:sz w:val="12"/>
                <w:szCs w:val="12"/>
              </w:rPr>
              <w:t xml:space="preserve">[Announced]</w:t>
            </w:r>
            <w:r>
              <w:rPr>
                <w:b w:val="false"/>
                <w:bCs w:val="false"/>
                <w:sz w:val="15"/>
                <w:szCs w:val="15"/>
              </w:rPr>
              <w:t xml:space="preserve">; OJK wave 1 FY2027 </w:t>
            </w:r>
            <w:r>
              <w:rPr>
                <w:b/>
                <w:bCs/>
                <w:color w:val="B42318"/>
                <w:sz w:val="12"/>
                <w:szCs w:val="12"/>
              </w:rPr>
              <w:t xml:space="preserve">[Proposed]</w:t>
            </w:r>
            <w:r>
              <w:rPr>
                <w:b w:val="false"/>
                <w:bCs w:val="false"/>
                <w:sz w:val="15"/>
                <w:szCs w:val="15"/>
              </w:rPr>
              <w:t xml:space="preserve">; ETS covers all fossil plants incl. captive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[40,42,45]</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FY2027 data under PSPK; first reports in 2028; assurance planning; captive power MRV</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Q4 2026 to Q2 2027</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ID, MY</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EUDR for micro and small operators from 30 Jun 2027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[82]</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Smallholder and SME supply-chain traceability</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Q1 2027</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SG</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Carbon tax S$45/t (final year at this rate); SRG SME rate closes 31 Oct 2027; 1% SAF target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[5,6,9]</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SMEs: use the 50% SRG rate before it closes. FY2028 tier: dry run of FY2027 data</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Q1 2027 for FY2028 tier; through Q3 2027 for SRG</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HK</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HKEX consults on full HKFRS S1/S2 for listed PAEs </w:t>
            </w:r>
            <w:r>
              <w:rPr>
                <w:b/>
                <w:bCs/>
                <w:color w:val="9A6700"/>
                <w:sz w:val="12"/>
                <w:szCs w:val="12"/>
              </w:rPr>
              <w:t xml:space="preserve">[Announced]</w:t>
            </w:r>
            <w:r>
              <w:rPr>
                <w:b w:val="false"/>
                <w:bCs w:val="false"/>
                <w:sz w:val="15"/>
                <w:szCs w:val="15"/>
              </w:rPr>
              <w:t xml:space="preserve">; assurance framework likely finalised </w:t>
            </w:r>
            <w:r>
              <w:rPr>
                <w:b/>
                <w:bCs/>
                <w:color w:val="B42318"/>
                <w:sz w:val="12"/>
                <w:szCs w:val="12"/>
              </w:rPr>
              <w:t xml:space="preserve">[Proposed]</w:t>
            </w:r>
            <w:r>
              <w:rPr>
                <w:b w:val="false"/>
                <w:bCs w:val="false"/>
                <w:sz w:val="15"/>
                <w:szCs w:val="15"/>
              </w:rPr>
              <w:t xml:space="preserve"> </w:t>
            </w:r>
            <w:r>
              <w:rPr>
                <w:color w:val="57606A"/>
                <w:sz w:val="15"/>
                <w:szCs w:val="15"/>
                <w:vertAlign w:val="superscript"/>
              </w:rPr>
              <w:t xml:space="preserve">[62,63]</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S1 readiness; assurance-readiness reviews</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Mid-2027</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HK</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Mainland climate disclosure standard expected mandatory for listed companies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[78]</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A+H issuers align HKEX and mainland frameworks</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Q1 2027 (Mandarin partner needed)</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All</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CBAM certificates on sale from 1 Feb 2027; first annual declaration 30 Sep 2027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[81]</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Importers will press exporters for verified data</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Q4 2026 to Q2 2027</w:t>
            </w:r>
          </w:p>
        </w:tc>
      </w:tr>
    </w:tbl>
    <w:p>
      <w:pPr>
        <w:pStyle w:val="Heading2"/>
      </w:pPr>
      <w:r>
        <w:t xml:space="preserve">13.3 2028 and the next wave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9"/>
        <w:gridCol w:w="3389"/>
        <w:gridCol w:w="3389"/>
        <w:gridCol w:w="1839"/>
      </w:tblGrid>
      <w:tr>
        <w:trPr>
          <w:cantSplit/>
          <w:tblHeader/>
        </w:trPr>
        <w:tc>
          <w:tcPr>
            <w:tcW w:type="dxa" w:w="112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Market</w:t>
            </w:r>
          </w:p>
        </w:tc>
        <w:tc>
          <w:tcPr>
            <w:tcW w:type="dxa" w:w="33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Development and status</w:t>
            </w:r>
          </w:p>
        </w:tc>
        <w:tc>
          <w:tcPr>
            <w:tcW w:type="dxa" w:w="338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companies must prepare</w:t>
            </w:r>
          </w:p>
        </w:tc>
        <w:tc>
          <w:tcPr>
            <w:tcW w:type="dxa" w:w="183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Start approaching</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SG</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Non-STI issuers ≥S$1bn report full ISSB climate disclosures (FY2028)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[1]</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Scenario analysis, financial effects, transition plans; assurance planning for FY2029</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Q1 2027 (dry run in FY2027)</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MY</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Group 2 reasonable assurance and Scope 3 (FY2028)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[20,90]</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Assured Scope 1-2; Scope 3 inventory</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Q2 2027</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ID</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First PSPK-based reports published (FY2027); OJK wave 2 begins (FY2028) </w:t>
            </w:r>
            <w:r>
              <w:rPr>
                <w:b/>
                <w:bCs/>
                <w:color w:val="B42318"/>
                <w:sz w:val="12"/>
                <w:szCs w:val="12"/>
              </w:rPr>
              <w:t xml:space="preserve">[Proposed]</w:t>
            </w:r>
            <w:r>
              <w:rPr>
                <w:b w:val="false"/>
                <w:bCs w:val="false"/>
                <w:sz w:val="15"/>
                <w:szCs w:val="15"/>
              </w:rPr>
              <w:t xml:space="preserve"> </w:t>
            </w:r>
            <w:r>
              <w:rPr>
                <w:color w:val="57606A"/>
                <w:sz w:val="15"/>
                <w:szCs w:val="15"/>
                <w:vertAlign w:val="superscript"/>
              </w:rPr>
              <w:t xml:space="preserve">[42]</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Wave 2 issuers, debt issuers and smaller banks start PSPK</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Q3 2027</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HK</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Full ISSB adoption for large PAEs no later than 2028 </w:t>
            </w:r>
            <w:r>
              <w:rPr>
                <w:b/>
                <w:bCs/>
                <w:color w:val="9A6700"/>
                <w:sz w:val="12"/>
                <w:szCs w:val="12"/>
              </w:rPr>
              <w:t xml:space="preserve">[Announced]</w:t>
            </w:r>
            <w:r>
              <w:rPr>
                <w:b w:val="false"/>
                <w:bCs w:val="false"/>
                <w:sz w:val="15"/>
                <w:szCs w:val="15"/>
              </w:rPr>
              <w:t xml:space="preserve">; assurance phase 1 approaches for early reporters </w:t>
            </w:r>
            <w:r>
              <w:rPr>
                <w:b/>
                <w:bCs/>
                <w:color w:val="B42318"/>
                <w:sz w:val="12"/>
                <w:szCs w:val="12"/>
              </w:rPr>
              <w:t xml:space="preserve">[Proposed]</w:t>
            </w:r>
            <w:r>
              <w:rPr>
                <w:b w:val="false"/>
                <w:bCs w:val="false"/>
                <w:sz w:val="15"/>
                <w:szCs w:val="15"/>
              </w:rPr>
              <w:t xml:space="preserve"> </w:t>
            </w:r>
            <w:r>
              <w:rPr>
                <w:color w:val="57606A"/>
                <w:sz w:val="15"/>
                <w:szCs w:val="15"/>
                <w:vertAlign w:val="superscript"/>
              </w:rPr>
              <w:t xml:space="preserve">[62,63]</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HKFRS S1 reporting; assurance</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Q3 2027</w:t>
            </w:r>
          </w:p>
        </w:tc>
      </w:tr>
      <w:tr>
        <w:trPr>
          <w:cantSplit/>
        </w:trPr>
        <w:tc>
          <w:tcPr>
            <w:tcW w:type="dxa" w:w="112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ID</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EU battery carbon-footprint thresholds bite (Feb 2028)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[60]</w:t>
            </w:r>
          </w:p>
        </w:tc>
        <w:tc>
          <w:tcPr>
            <w:tcW w:type="dxa" w:w="338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Nickel and precursor producers need verified product footprints</w:t>
            </w:r>
          </w:p>
        </w:tc>
        <w:tc>
          <w:tcPr>
            <w:tcW w:type="dxa" w:w="183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Already late; act in 2026-27</w:t>
            </w:r>
          </w:p>
        </w:tc>
      </w:tr>
      <w:tr>
        <w:trPr>
          <w:cantSplit/>
        </w:trPr>
        <w:tc>
          <w:tcPr>
            <w:tcW w:type="dxa" w:w="112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Later</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SG: limited assurance FY2029; non-STI &lt;S$1bn and large non-listed FY2030; carbon tax S$50-80 by 2030. MY: Group 3 assurance FY2029, Scope 3 FY2030 </w:t>
            </w:r>
            <w:r>
              <w:rPr>
                <w:b/>
                <w:bCs/>
                <w:color w:val="9A6700"/>
                <w:sz w:val="12"/>
                <w:szCs w:val="12"/>
              </w:rPr>
              <w:t xml:space="preserve">[Announced]</w:t>
            </w:r>
            <w:r>
              <w:rPr>
                <w:b w:val="false"/>
                <w:bCs w:val="false"/>
                <w:sz w:val="15"/>
                <w:szCs w:val="15"/>
              </w:rPr>
              <w:t xml:space="preserve"> </w:t>
            </w:r>
            <w:r>
              <w:rPr>
                <w:color w:val="57606A"/>
                <w:sz w:val="15"/>
                <w:szCs w:val="15"/>
                <w:vertAlign w:val="superscript"/>
              </w:rPr>
              <w:t xml:space="preserve">[1,5,20]</w:t>
            </w:r>
          </w:p>
        </w:tc>
        <w:tc>
          <w:tcPr>
            <w:tcW w:type="dxa" w:w="338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Second-wave readiness work</w:t>
            </w:r>
          </w:p>
        </w:tc>
        <w:tc>
          <w:tcPr>
            <w:tcW w:type="dxa" w:w="183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From 2028</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Timing rules of thumb</w:t>
            </w:r>
          </w:p>
          <w:p>
            <w:pPr>
              <w:pStyle w:val="ListParagraph"/>
              <w:numPr>
                <w:ilvl w:val="0"/>
                <w:numId w:val="4"/>
              </w:numPr>
              <w:spacing w:after="30" w:line="240"/>
            </w:pPr>
            <w:r>
              <w:rPr>
                <w:b/>
                <w:bCs/>
                <w:sz w:val="19"/>
                <w:szCs w:val="19"/>
              </w:rPr>
              <w:t xml:space="preserve">First-time reporting:</w:t>
            </w:r>
            <w:r>
              <w:rPr>
                <w:sz w:val="19"/>
                <w:szCs w:val="19"/>
              </w:rPr>
              <w:t xml:space="preserve"> approach 12 to 15 months before the first covered financial year begins.</w:t>
            </w:r>
          </w:p>
          <w:p>
            <w:pPr>
              <w:pStyle w:val="ListParagraph"/>
              <w:numPr>
                <w:ilvl w:val="0"/>
                <w:numId w:val="4"/>
              </w:numPr>
              <w:spacing w:after="30" w:line="240"/>
            </w:pPr>
            <w:r>
              <w:rPr>
                <w:b/>
                <w:bCs/>
                <w:sz w:val="19"/>
                <w:szCs w:val="19"/>
              </w:rPr>
              <w:t xml:space="preserve">Assurance readiness:</w:t>
            </w:r>
            <w:r>
              <w:rPr>
                <w:sz w:val="19"/>
                <w:szCs w:val="19"/>
              </w:rPr>
              <w:t xml:space="preserve"> approach 18 months before the first assured year, so one full year can be dry-run.</w:t>
            </w:r>
          </w:p>
          <w:p>
            <w:pPr>
              <w:pStyle w:val="ListParagraph"/>
              <w:numPr>
                <w:ilvl w:val="0"/>
                <w:numId w:val="4"/>
              </w:numPr>
              <w:spacing w:after="30" w:line="240"/>
            </w:pPr>
            <w:r>
              <w:rPr>
                <w:b/>
                <w:bCs/>
                <w:sz w:val="19"/>
                <w:szCs w:val="19"/>
              </w:rPr>
              <w:t xml:space="preserve">Export rules:</w:t>
            </w:r>
            <w:r>
              <w:rPr>
                <w:sz w:val="19"/>
                <w:szCs w:val="19"/>
              </w:rPr>
              <w:t xml:space="preserve"> approach 9 to 12 months before the application date; demand spikes in the last quarter before it.</w:t>
            </w:r>
          </w:p>
          <w:p>
            <w:pPr>
              <w:pStyle w:val="ListParagraph"/>
              <w:numPr>
                <w:ilvl w:val="0"/>
                <w:numId w:val="4"/>
              </w:numPr>
              <w:spacing w:after="30" w:line="240"/>
            </w:pPr>
            <w:r>
              <w:rPr>
                <w:b/>
                <w:bCs/>
                <w:sz w:val="19"/>
                <w:szCs w:val="19"/>
              </w:rPr>
              <w:t xml:space="preserve">Grant or tax windows:</w:t>
            </w:r>
            <w:r>
              <w:rPr>
                <w:sz w:val="19"/>
                <w:szCs w:val="19"/>
              </w:rPr>
              <w:t xml:space="preserve"> approach two to three quarters before the window closes. </w:t>
            </w:r>
            <w:r>
              <w:rPr>
                <w:b/>
                <w:bCs/>
                <w:color w:val="6B4FA0"/>
                <w:sz w:val="15"/>
                <w:szCs w:val="15"/>
              </w:rPr>
              <w:t xml:space="preserve">[Analyst view]</w:t>
            </w:r>
          </w:p>
        </w:tc>
      </w:tr>
    </w:tbl>
    <w:p>
      <w:pPr>
        <w:pStyle w:val="Heading1"/>
        <w:pageBreakBefore/>
      </w:pPr>
      <w:r>
        <w:t xml:space="preserve">Part 14: Sources of leads</w:t>
      </w:r>
    </w:p>
    <w:p>
      <w:pPr>
        <w:spacing w:after="120" w:before="0" w:line="276"/>
      </w:pPr>
      <w:r>
        <w:t xml:space="preserve">Build one database per market with segment tags (regulatory group or tier, sector, export exposure, ESG maturity score). The sources below are public or low-cost.</w:t>
      </w:r>
    </w:p>
    <w:p>
      <w:pPr>
        <w:pStyle w:val="Heading2"/>
      </w:pPr>
      <w:r>
        <w:t xml:space="preserve">14.1 Singapore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3"/>
        <w:gridCol w:w="3153"/>
        <w:gridCol w:w="4300"/>
      </w:tblGrid>
      <w:tr>
        <w:trPr>
          <w:cantSplit/>
          <w:tblHeader/>
        </w:trPr>
        <w:tc>
          <w:tcPr>
            <w:tcW w:type="dxa" w:w="229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Lead source</w:t>
            </w:r>
          </w:p>
        </w:tc>
        <w:tc>
          <w:tcPr>
            <w:tcW w:type="dxa" w:w="315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gives you</w:t>
            </w:r>
          </w:p>
        </w:tc>
        <w:tc>
          <w:tcPr>
            <w:tcW w:type="dxa" w:w="43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How to use it</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SGX company list and STI constituents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All 643 issuers with market cap, sector, index membership</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Segment into STI, non-STI ≥S$1bn (FY2028) and below S$1bn (FY2030). Pull sustainability reports to see who lacks scenario analysis or Scope 3</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ESGenome (SGX, powered by Gprnt) </w:t>
            </w:r>
            <w:r>
              <w:rPr>
                <w:color w:val="57606A"/>
                <w:sz w:val="15"/>
                <w:szCs w:val="15"/>
                <w:vertAlign w:val="superscript"/>
              </w:rPr>
              <w:t xml:space="preserve">[12]</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Structured ESG disclosures of listed companies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Identify issuers with gaps in core metrics and climate data</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Enterprise Singapore ESP partners and trade association cohorts </w:t>
            </w:r>
            <w:r>
              <w:rPr>
                <w:color w:val="57606A"/>
                <w:sz w:val="15"/>
                <w:szCs w:val="15"/>
                <w:vertAlign w:val="superscript"/>
              </w:rPr>
              <w:t xml:space="preserve">[7]</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SMEs already engaged in sustainability programmes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Partner with associations (SMF, SBF, SCCCI) to deliver cohort projects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SBTi target dashboard and CDP responders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Singapore companies with targets or CDP disclosures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Those with targets need delivery (supplier engagement, Scope 3); those without targets but with MNC customers need baselines</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Job postings (MyCareersFuture, LinkedIn)</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Companies hiring sustainability managers or analysts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 hiring company has budget and a gap; offer interim support or set-up work</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Event exhibitors and speakers (Ecosperity </w:t>
            </w:r>
            <w:r>
              <w:rPr>
                <w:color w:val="57606A"/>
                <w:sz w:val="15"/>
                <w:szCs w:val="15"/>
                <w:vertAlign w:val="superscript"/>
              </w:rPr>
              <w:t xml:space="preserve">[86]</w:t>
            </w:r>
            <w:r>
              <w:rPr>
                <w:b/>
                <w:bCs/>
                <w:sz w:val="15"/>
                <w:szCs w:val="15"/>
              </w:rPr>
              <w:t xml:space="preserve">, SIEW </w:t>
            </w:r>
            <w:r>
              <w:rPr>
                <w:color w:val="57606A"/>
                <w:sz w:val="15"/>
                <w:szCs w:val="15"/>
                <w:vertAlign w:val="superscript"/>
              </w:rPr>
              <w:t xml:space="preserve">[87]</w:t>
            </w:r>
            <w:r>
              <w:rPr>
                <w:b/>
                <w:bCs/>
                <w:sz w:val="15"/>
                <w:szCs w:val="15"/>
              </w:rPr>
              <w:t xml:space="preserve">)</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Active companies and solution providers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Prospect lists for clients and partners; follow up within a week</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Green Mark building directory and REIT association members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Property owners with sustainability programmes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GRESB, Scope 3 and climate-risk offers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Carbon software vendor partner programmes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Vendor client pipelines needing implementation</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Join as implementation partner; ask for regional referrals</w:t>
            </w:r>
          </w:p>
        </w:tc>
      </w:tr>
    </w:tbl>
    <w:p>
      <w:pPr>
        <w:pStyle w:val="Heading2"/>
      </w:pPr>
      <w:r>
        <w:t xml:space="preserve">14.2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3"/>
        <w:gridCol w:w="3153"/>
        <w:gridCol w:w="4300"/>
      </w:tblGrid>
      <w:tr>
        <w:trPr>
          <w:cantSplit/>
          <w:tblHeader/>
        </w:trPr>
        <w:tc>
          <w:tcPr>
            <w:tcW w:type="dxa" w:w="229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Lead source</w:t>
            </w:r>
          </w:p>
        </w:tc>
        <w:tc>
          <w:tcPr>
            <w:tcW w:type="dxa" w:w="315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gives you</w:t>
            </w:r>
          </w:p>
        </w:tc>
        <w:tc>
          <w:tcPr>
            <w:tcW w:type="dxa" w:w="43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How to use it</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Bursa Malaysia listed company list (Main and ACE)</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About 980 companies with market cap and sector</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Segment into Group 1, 2 and 3 by market cap and market. Group 2 and ACE are the priority lists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Bursa announcements and annual reports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Each issuer's sustainability statement</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Score readiness: IFRS S2 elements present, Scope 1-2 quality, Scope 3 status, assurance. Use findings in outreach</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FTSE4Good Bursa Malaysia constituents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Better-rated ESG reporters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Targets for Scope 3 and assurance-readiness; non-constituents need basics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Companies Commission (SSM) data and credit bureaus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Large non-listed companies by revenue</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Build a list of groups with revenue ≥RM2bn for Group 3 outreach</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FMM directory, MSIA, MISIF, MPOA, MARGMA members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Manufacturers and exporters by sector</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E&amp;E supplier, steel CBAM, palm EUDR and glove programmes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MSPO certificate holders and MPOB licensees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Palm oil mills, refiners and estates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EUDR and GHG outreach</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JC3 and bank Greening Value Chain programmes, CGC </w:t>
            </w:r>
            <w:r>
              <w:rPr>
                <w:color w:val="57606A"/>
                <w:sz w:val="15"/>
                <w:szCs w:val="15"/>
                <w:vertAlign w:val="superscript"/>
              </w:rPr>
              <w:t xml:space="preserve">[33,34]</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SMEs engaged by banks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Become a delivery partner</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IGEM exhibitors and visitors </w:t>
            </w:r>
            <w:r>
              <w:rPr>
                <w:color w:val="57606A"/>
                <w:sz w:val="15"/>
                <w:szCs w:val="15"/>
                <w:vertAlign w:val="superscript"/>
              </w:rPr>
              <w:t xml:space="preserve">[39]</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Green-tech companies and buyers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Partner and prospect lists</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and sustainability award entrants (e.g., NACRA sustainability categories, The Edge ESG awards)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Companies investing in reporting</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Upsell assurance-readiness and Scope 3</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Job postings (JobStreet, LinkedIn)</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Companies hiring ESG roles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Offer interim or set-up support</w:t>
            </w:r>
          </w:p>
        </w:tc>
      </w:tr>
    </w:tbl>
    <w:p>
      <w:pPr>
        <w:pStyle w:val="Heading2"/>
      </w:pPr>
      <w:r>
        <w:t xml:space="preserve">14.3 Indonesia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3"/>
        <w:gridCol w:w="3153"/>
        <w:gridCol w:w="4300"/>
      </w:tblGrid>
      <w:tr>
        <w:trPr>
          <w:cantSplit/>
          <w:tblHeader/>
        </w:trPr>
        <w:tc>
          <w:tcPr>
            <w:tcW w:type="dxa" w:w="229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Lead source</w:t>
            </w:r>
          </w:p>
        </w:tc>
        <w:tc>
          <w:tcPr>
            <w:tcW w:type="dxa" w:w="315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gives you</w:t>
            </w:r>
          </w:p>
        </w:tc>
        <w:tc>
          <w:tcPr>
            <w:tcW w:type="dxa" w:w="43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How to use it</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IDX listed company list and board segment </w:t>
            </w:r>
            <w:r>
              <w:rPr>
                <w:color w:val="57606A"/>
                <w:sz w:val="15"/>
                <w:szCs w:val="15"/>
                <w:vertAlign w:val="superscript"/>
              </w:rPr>
              <w:t xml:space="preserve">[55]</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About 960 issuers by board and sector</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Prioritise Main Board issuers for OJK wave 1</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Sustainability reports on IDX and company websites </w:t>
            </w:r>
            <w:r>
              <w:rPr>
                <w:color w:val="57606A"/>
                <w:sz w:val="15"/>
                <w:szCs w:val="15"/>
                <w:vertAlign w:val="superscript"/>
              </w:rPr>
              <w:t xml:space="preserve">[54]</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Current POJK 51 reports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Assess PSPK readiness; identify which agency wrote them (partner or competitor)</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OJK list of banks by core capital group</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 and smaller banks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Large banks for wave 1 (subcontract); smaller banks for later waves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ASRRAT participants </w:t>
            </w:r>
            <w:r>
              <w:rPr>
                <w:color w:val="57606A"/>
                <w:sz w:val="15"/>
                <w:szCs w:val="15"/>
                <w:vertAlign w:val="superscript"/>
              </w:rPr>
              <w:t xml:space="preserve">[56]</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Companies investing in report quality</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Warm targets for PSPK upgrades</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PROPER results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Companies rated by environmental performance</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Green and Gold aspirants need decarbonisation evidence; Red and Black need compliance help</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GAPKI members; RSPO and ISPO certificate holders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Palm oil companies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EUDR and GHG outreach</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Industry associations (API textiles, cement, steel), Kadin, APINDO</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Manufacturers by sector</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SIINas GHG and export compliance programmes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Exporter directories (trade ministry)</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Exporters by product and destination</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Filter EU exporters for CBAM, EUDR and supplier requests</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ESG indices (IDX ESG Leaders, SRI-KEHATI)</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Leading reporters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Assurance-readiness and Scope 3 targets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Sustainability forums (ISF </w:t>
            </w:r>
            <w:r>
              <w:rPr>
                <w:color w:val="57606A"/>
                <w:sz w:val="15"/>
                <w:szCs w:val="15"/>
                <w:vertAlign w:val="superscript"/>
              </w:rPr>
              <w:t xml:space="preserve">[61]</w:t>
            </w:r>
            <w:r>
              <w:rPr>
                <w:b/>
                <w:bCs/>
                <w:sz w:val="15"/>
                <w:szCs w:val="15"/>
              </w:rPr>
              <w:t xml:space="preserve">, Indonesia International Sustainability Forum)</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Active companies and partners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Partner search and prospect lists</w:t>
            </w:r>
          </w:p>
        </w:tc>
      </w:tr>
    </w:tbl>
    <w:p>
      <w:pPr>
        <w:pStyle w:val="Heading2"/>
      </w:pPr>
      <w:r>
        <w:t xml:space="preserve">14.4 Hong Kong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293"/>
        <w:gridCol w:w="3153"/>
        <w:gridCol w:w="4300"/>
      </w:tblGrid>
      <w:tr>
        <w:trPr>
          <w:cantSplit/>
          <w:tblHeader/>
        </w:trPr>
        <w:tc>
          <w:tcPr>
            <w:tcW w:type="dxa" w:w="229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Lead source</w:t>
            </w:r>
          </w:p>
        </w:tc>
        <w:tc>
          <w:tcPr>
            <w:tcW w:type="dxa" w:w="315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What it gives you</w:t>
            </w:r>
          </w:p>
        </w:tc>
        <w:tc>
          <w:tcPr>
            <w:tcW w:type="dxa" w:w="4300"/>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How to use it</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HKEX issuer list and HKEXnews ESG reports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2,700+ issuers and their ESG reports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Segment by Hang Seng Composite LargeCap, MidCap and SmallCap. LargeCap: Scope 3 and S1. MidCap: Part D upgrades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HKEX ESG Academy and annual review findings </w:t>
            </w:r>
            <w:r>
              <w:rPr>
                <w:color w:val="57606A"/>
                <w:sz w:val="15"/>
                <w:szCs w:val="15"/>
                <w:vertAlign w:val="superscript"/>
              </w:rPr>
              <w:t xml:space="preserve">[65]</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Common disclosure weaknesses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Use to frame outreach ("the review found ...")</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GSF Grant Scheme recipients and green bond issuers </w:t>
            </w:r>
            <w:r>
              <w:rPr>
                <w:color w:val="57606A"/>
                <w:sz w:val="15"/>
                <w:szCs w:val="15"/>
                <w:vertAlign w:val="superscript"/>
              </w:rPr>
              <w:t xml:space="preserve">[70]</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Issuers active in sustainable finance</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Post-issuance reporting, transition plans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HKICPA member firm lists</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CPA firms with ESG practices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Partner prospects for subcontracting</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BEC, HKGFA, HKQAA and HKSMEA ESG Charter members</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Companies engaged in sustainability</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Partners and prospects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Buildings under the amended BEEO; property management firms </w:t>
            </w:r>
            <w:r>
              <w:rPr>
                <w:color w:val="57606A"/>
                <w:sz w:val="15"/>
                <w:szCs w:val="15"/>
                <w:vertAlign w:val="superscript"/>
              </w:rPr>
              <w:t xml:space="preserve">[74]</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Owners facing energy audits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Energy-to-carbon roadmaps with energy assessors</w:t>
            </w:r>
          </w:p>
        </w:tc>
      </w:tr>
      <w:tr>
        <w:trPr>
          <w:cantSplit/>
        </w:trPr>
        <w:tc>
          <w:tcPr>
            <w:tcW w:type="dxa" w:w="229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Eco Expo Asia exhibitors (26-29 Oct 2026) </w:t>
            </w:r>
            <w:r>
              <w:rPr>
                <w:color w:val="57606A"/>
                <w:sz w:val="15"/>
                <w:szCs w:val="15"/>
                <w:vertAlign w:val="superscript"/>
              </w:rPr>
              <w:t xml:space="preserve">[79]</w:t>
            </w:r>
          </w:p>
        </w:tc>
        <w:tc>
          <w:tcPr>
            <w:tcW w:type="dxa" w:w="315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Solution providers and buyers</w:t>
            </w:r>
          </w:p>
        </w:tc>
        <w:tc>
          <w:tcPr>
            <w:tcW w:type="dxa" w:w="4300"/>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Partner and prospect lists</w:t>
            </w:r>
          </w:p>
        </w:tc>
      </w:tr>
      <w:tr>
        <w:trPr>
          <w:cantSplit/>
        </w:trPr>
        <w:tc>
          <w:tcPr>
            <w:tcW w:type="dxa" w:w="229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Job postings (JobsDB, LinkedIn)</w:t>
            </w:r>
          </w:p>
        </w:tc>
        <w:tc>
          <w:tcPr>
            <w:tcW w:type="dxa" w:w="315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Companies hiring ESG roles</w:t>
            </w:r>
          </w:p>
        </w:tc>
        <w:tc>
          <w:tcPr>
            <w:tcW w:type="dxa" w:w="4300"/>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Offer interim or set-up support</w:t>
            </w:r>
          </w:p>
        </w:tc>
      </w:tr>
    </w:tbl>
    <w:p>
      <w:pPr>
        <w:pStyle w:val="Heading2"/>
      </w:pPr>
      <w:r>
        <w:t xml:space="preserve">14.5 Trigger events that work in every market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866"/>
        <w:gridCol w:w="1719"/>
        <w:gridCol w:w="5161"/>
      </w:tblGrid>
      <w:tr>
        <w:trPr>
          <w:cantSplit/>
          <w:tblHeader/>
        </w:trPr>
        <w:tc>
          <w:tcPr>
            <w:tcW w:type="dxa" w:w="286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Trigger</w:t>
            </w:r>
          </w:p>
        </w:tc>
        <w:tc>
          <w:tcPr>
            <w:tcW w:type="dxa" w:w="1719"/>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Markets</w:t>
            </w:r>
          </w:p>
        </w:tc>
        <w:tc>
          <w:tcPr>
            <w:tcW w:type="dxa" w:w="516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Why it signals budget</w:t>
            </w:r>
          </w:p>
        </w:tc>
      </w:tr>
      <w:tr>
        <w:trPr>
          <w:cantSplit/>
        </w:trPr>
        <w:tc>
          <w:tcPr>
            <w:tcW w:type="dxa" w:w="28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Companies publishing their first sustainability or climate report</w:t>
            </w:r>
          </w:p>
        </w:tc>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Every market</w:t>
            </w:r>
          </w:p>
        </w:tc>
        <w:tc>
          <w:tcPr>
            <w:tcW w:type="dxa" w:w="516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They have just discovered how hard it is. Offer data systems and assurance-readiness for year two.</w:t>
            </w:r>
          </w:p>
        </w:tc>
      </w:tr>
      <w:tr>
        <w:trPr>
          <w:cantSplit/>
        </w:trPr>
        <w:tc>
          <w:tcPr>
            <w:tcW w:type="dxa" w:w="286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Companies announcing net-zero targets</w:t>
            </w:r>
          </w:p>
        </w:tc>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Every market</w:t>
            </w:r>
          </w:p>
        </w:tc>
        <w:tc>
          <w:tcPr>
            <w:tcW w:type="dxa" w:w="516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Targets need roadmaps, Scope 3 baselines and supplier programmes.</w:t>
            </w:r>
          </w:p>
        </w:tc>
      </w:tr>
      <w:tr>
        <w:trPr>
          <w:cantSplit/>
        </w:trPr>
        <w:tc>
          <w:tcPr>
            <w:tcW w:type="dxa" w:w="28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Companies hiring ESG roles</w:t>
            </w:r>
          </w:p>
        </w:tc>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Every market</w:t>
            </w:r>
          </w:p>
        </w:tc>
        <w:tc>
          <w:tcPr>
            <w:tcW w:type="dxa" w:w="516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Budget exists; the new hire often needs outside capacity in year one.</w:t>
            </w:r>
          </w:p>
        </w:tc>
      </w:tr>
      <w:tr>
        <w:trPr>
          <w:cantSplit/>
        </w:trPr>
        <w:tc>
          <w:tcPr>
            <w:tcW w:type="dxa" w:w="286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Companies issuing green or sustainability-linked bonds and loans</w:t>
            </w:r>
          </w:p>
        </w:tc>
        <w:tc>
          <w:tcPr>
            <w:tcW w:type="dxa" w:w="1719"/>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Singapore, Hong Kong, Malaysia</w:t>
            </w:r>
          </w:p>
        </w:tc>
        <w:tc>
          <w:tcPr>
            <w:tcW w:type="dxa" w:w="516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They need KPI baselines, reporting and verification-ready data.</w:t>
            </w:r>
          </w:p>
        </w:tc>
      </w:tr>
      <w:tr>
        <w:trPr>
          <w:cantSplit/>
        </w:trPr>
        <w:tc>
          <w:tcPr>
            <w:tcW w:type="dxa" w:w="286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Suppliers named in MNC supplier programmes</w:t>
            </w:r>
          </w:p>
        </w:tc>
        <w:tc>
          <w:tcPr>
            <w:tcW w:type="dxa" w:w="1719"/>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Malaysia, Indonesia, Singapore</w:t>
            </w:r>
          </w:p>
        </w:tc>
        <w:tc>
          <w:tcPr>
            <w:tcW w:type="dxa" w:w="516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Ask the MNC or the software vendor running the programme for introductions.</w:t>
            </w:r>
          </w:p>
        </w:tc>
      </w:tr>
    </w:tbl>
    <w:p>
      <w:pPr>
        <w:spacing w:after="120"/>
      </w:pP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Database discipline</w:t>
            </w:r>
          </w:p>
          <w:p>
            <w:pPr>
              <w:spacing w:after="40" w:line="240"/>
            </w:pPr>
            <w:r>
              <w:rPr>
                <w:sz w:val="19"/>
                <w:szCs w:val="19"/>
              </w:rPr>
              <w:t xml:space="preserve">Score each company on four fields before outreach: regulatory deadline (year), current report quality (1-5), export or MNC exposure (yes or no) and named decision maker (yes or no). Contact the high scorers first. Re-score after each reporting season. </w:t>
            </w:r>
            <w:r>
              <w:rPr>
                <w:b/>
                <w:bCs/>
                <w:color w:val="0F7A55"/>
                <w:sz w:val="15"/>
                <w:szCs w:val="15"/>
              </w:rPr>
              <w:t xml:space="preserve">[Inference]</w:t>
            </w:r>
          </w:p>
        </w:tc>
      </w:tr>
    </w:tbl>
    <w:p>
      <w:pPr>
        <w:pStyle w:val="Heading1"/>
        <w:pageBreakBefore/>
      </w:pPr>
      <w:r>
        <w:t xml:space="preserve">Part 15: Final strategic assessment</w:t>
      </w:r>
    </w:p>
    <w:p>
      <w:pPr>
        <w:pStyle w:val="Heading2"/>
      </w:pPr>
      <w:r>
        <w:t xml:space="preserve">15.1 Answers to the fourteen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83"/>
        <w:gridCol w:w="7063"/>
      </w:tblGrid>
      <w:tr>
        <w:trPr>
          <w:cantSplit/>
          <w:tblHeader/>
        </w:trPr>
        <w:tc>
          <w:tcPr>
            <w:tcW w:type="dxa" w:w="268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Question</w:t>
            </w:r>
          </w:p>
        </w:tc>
        <w:tc>
          <w:tcPr>
            <w:tcW w:type="dxa" w:w="706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Answer and reasoning</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1. Most developed ESG business ecosystem?</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Singapore.</w:t>
            </w:r>
            <w:r>
              <w:rPr>
                <w:b w:val="false"/>
                <w:bCs w:val="false"/>
                <w:sz w:val="15"/>
                <w:szCs w:val="15"/>
              </w:rPr>
              <w:t xml:space="preserve"> Highest concentration of regional HQs, consultancies, carbon-software vendors, assurance providers and carbon-market firms; the only market with a rising carbon tax on a published path; the deepest grant support. Hong Kong is a close second and leads on listed-company reporting volume and green bond arranging </w:t>
            </w:r>
            <w:r>
              <w:rPr>
                <w:color w:val="57606A"/>
                <w:sz w:val="15"/>
                <w:szCs w:val="15"/>
                <w:vertAlign w:val="superscript"/>
              </w:rPr>
              <w:t xml:space="preserve">[69]</w:t>
            </w:r>
            <w:r>
              <w:rPr>
                <w:b w:val="false"/>
                <w:bCs w:val="false"/>
                <w:sz w:val="15"/>
                <w:szCs w:val="15"/>
              </w:rPr>
              <w:t xml:space="preserve">.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2. Gaining ESG momentum fastest?</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Malaysia.</w:t>
            </w:r>
            <w:r>
              <w:rPr>
                <w:b w:val="false"/>
                <w:bCs w:val="false"/>
                <w:sz w:val="15"/>
                <w:szCs w:val="15"/>
              </w:rPr>
              <w:t xml:space="preserve"> Three NSRF waves in FY2025-27, reasonable assurance FY2027-29, Scope 3 FY2027-30, a new carbon market policy, an ESG tax deduction and a first absolute NDC, all within about 24 months </w:t>
            </w:r>
            <w:r>
              <w:rPr>
                <w:color w:val="57606A"/>
                <w:sz w:val="15"/>
                <w:szCs w:val="15"/>
                <w:vertAlign w:val="superscript"/>
              </w:rPr>
              <w:t xml:space="preserve">[20,25,27,30]</w:t>
            </w:r>
            <w:r>
              <w:rPr>
                <w:b w:val="false"/>
                <w:bCs w:val="false"/>
                <w:sz w:val="15"/>
                <w:szCs w:val="15"/>
              </w:rPr>
              <w:t xml:space="preserve">. Indonesia is second, with a steeper but later and less certain curve.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3. Strongest regulatory push?</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Malaysia for 2025-2029,</w:t>
            </w:r>
            <w:r>
              <w:rPr>
                <w:b w:val="false"/>
                <w:bCs w:val="false"/>
                <w:sz w:val="15"/>
                <w:szCs w:val="15"/>
              </w:rPr>
              <w:t xml:space="preserve"> because the obligations cover every listed company and large private group with firm dates and reasonable assurance. Hong Kong has the most companies already under mandatory climate rules today. Indonesia's push becomes the strongest in 2027-29 if OJK finalises its draft.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4. Largest SME opportunity?</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By number: Indonesia</w:t>
            </w:r>
            <w:r>
              <w:rPr>
                <w:b w:val="false"/>
                <w:bCs w:val="false"/>
                <w:sz w:val="15"/>
                <w:szCs w:val="15"/>
              </w:rPr>
              <w:t xml:space="preserve"> (~65 million MSMEs). </w:t>
            </w:r>
            <w:r>
              <w:rPr>
                <w:b/>
                <w:bCs/>
                <w:sz w:val="15"/>
                <w:szCs w:val="15"/>
              </w:rPr>
              <w:t xml:space="preserve">By money you can actually earn: Malaysia,</w:t>
            </w:r>
            <w:r>
              <w:rPr>
                <w:b w:val="false"/>
                <w:bCs w:val="false"/>
                <w:sz w:val="15"/>
                <w:szCs w:val="15"/>
              </w:rPr>
              <w:t xml:space="preserve"> thanks to standard SEDG formats, a free calculator, the RM50k tax deduction, bank programmes and export exposure </w:t>
            </w:r>
            <w:r>
              <w:rPr>
                <w:color w:val="57606A"/>
                <w:sz w:val="15"/>
                <w:szCs w:val="15"/>
                <w:vertAlign w:val="superscript"/>
              </w:rPr>
              <w:t xml:space="preserve">[28,29,30,34]</w:t>
            </w:r>
            <w:r>
              <w:rPr>
                <w:b w:val="false"/>
                <w:bCs w:val="false"/>
                <w:sz w:val="15"/>
                <w:szCs w:val="15"/>
              </w:rPr>
              <w:t xml:space="preserve">. </w:t>
            </w:r>
            <w:r>
              <w:rPr>
                <w:b/>
                <w:bCs/>
                <w:color w:val="0F7A55"/>
                <w:sz w:val="12"/>
                <w:szCs w:val="12"/>
              </w:rPr>
              <w:t xml:space="preserve">[Inference]</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5. Strongest carbon-accounting opportunity?</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Malaysia now</w:t>
            </w:r>
            <w:r>
              <w:rPr>
                <w:b w:val="false"/>
                <w:bCs w:val="false"/>
                <w:sz w:val="15"/>
                <w:szCs w:val="15"/>
              </w:rPr>
              <w:t xml:space="preserve"> (NSRF assurance, CBAM, data centres, electronics supply chain); </w:t>
            </w:r>
            <w:r>
              <w:rPr>
                <w:b/>
                <w:bCs/>
                <w:sz w:val="15"/>
                <w:szCs w:val="15"/>
              </w:rPr>
              <w:t xml:space="preserve">Indonesia over 3-5 years</w:t>
            </w:r>
            <w:r>
              <w:rPr>
                <w:b w:val="false"/>
                <w:bCs w:val="false"/>
                <w:sz w:val="15"/>
                <w:szCs w:val="15"/>
              </w:rPr>
              <w:t xml:space="preserve"> (SIINas, ETS expansion to captive power, nickel and palm oil).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6. Strongest ESG-reporting opportunity?</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Malaysia for 2026-2028</w:t>
            </w:r>
            <w:r>
              <w:rPr>
                <w:b w:val="false"/>
                <w:bCs w:val="false"/>
                <w:sz w:val="15"/>
                <w:szCs w:val="15"/>
              </w:rPr>
              <w:t xml:space="preserve"> first-time IFRS S2 reports (Group 2 and 3). </w:t>
            </w:r>
            <w:r>
              <w:rPr>
                <w:b/>
                <w:bCs/>
                <w:sz w:val="15"/>
                <w:szCs w:val="15"/>
              </w:rPr>
              <w:t xml:space="preserve">Indonesia for 2027-2029</w:t>
            </w:r>
            <w:r>
              <w:rPr>
                <w:b w:val="false"/>
                <w:bCs w:val="false"/>
                <w:sz w:val="15"/>
                <w:szCs w:val="15"/>
              </w:rPr>
              <w:t xml:space="preserve"> (PSPK). Hong Kong has the largest recurring volume, but much of it is commoditised.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7. Strongest Scope 3 opportunity?</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Malaysia overall</w:t>
            </w:r>
            <w:r>
              <w:rPr>
                <w:b w:val="false"/>
                <w:bCs w:val="false"/>
                <w:sz w:val="15"/>
                <w:szCs w:val="15"/>
              </w:rPr>
              <w:t xml:space="preserve"> because demand comes from both sides: listed buyers (Group 1 FY2027, Group 2 FY2028) and suppliers to MNCs. </w:t>
            </w:r>
            <w:r>
              <w:rPr>
                <w:b/>
                <w:bCs/>
                <w:sz w:val="15"/>
                <w:szCs w:val="15"/>
              </w:rPr>
              <w:t xml:space="preserve">Hong Kong</w:t>
            </w:r>
            <w:r>
              <w:rPr>
                <w:b w:val="false"/>
                <w:bCs w:val="false"/>
                <w:sz w:val="15"/>
                <w:szCs w:val="15"/>
              </w:rPr>
              <w:t xml:space="preserve"> has the most immediate regulatory Scope 3 (LargeCap FY2026); </w:t>
            </w:r>
            <w:r>
              <w:rPr>
                <w:b/>
                <w:bCs/>
                <w:sz w:val="15"/>
                <w:szCs w:val="15"/>
              </w:rPr>
              <w:t xml:space="preserve">Singapore</w:t>
            </w:r>
            <w:r>
              <w:rPr>
                <w:b w:val="false"/>
                <w:bCs w:val="false"/>
                <w:sz w:val="15"/>
                <w:szCs w:val="15"/>
              </w:rPr>
              <w:t xml:space="preserve"> is where supplier programmes are designed.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8. Best ESG software opportunity?</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Malaysia for implementation services</w:t>
            </w:r>
            <w:r>
              <w:rPr>
                <w:b w:val="false"/>
                <w:bCs w:val="false"/>
                <w:sz w:val="15"/>
                <w:szCs w:val="15"/>
              </w:rPr>
              <w:t xml:space="preserve"> (tax deduction covers subscriptions; tight vendor capacity; Bursa CSI). </w:t>
            </w:r>
            <w:r>
              <w:rPr>
                <w:b/>
                <w:bCs/>
                <w:sz w:val="15"/>
                <w:szCs w:val="15"/>
              </w:rPr>
              <w:t xml:space="preserve">Singapore for vendor partnerships,</w:t>
            </w:r>
            <w:r>
              <w:rPr>
                <w:b w:val="false"/>
                <w:bCs w:val="false"/>
                <w:sz w:val="15"/>
                <w:szCs w:val="15"/>
              </w:rPr>
              <w:t xml:space="preserve"> which then feed regional implementation work. </w:t>
            </w:r>
            <w:r>
              <w:rPr>
                <w:b/>
                <w:bCs/>
                <w:color w:val="0F7A55"/>
                <w:sz w:val="12"/>
                <w:szCs w:val="12"/>
              </w:rPr>
              <w:t xml:space="preserve">[Inference]</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9. Highest consulting fees?</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Singapore,</w:t>
            </w:r>
            <w:r>
              <w:rPr>
                <w:b w:val="false"/>
                <w:bCs w:val="false"/>
                <w:sz w:val="15"/>
                <w:szCs w:val="15"/>
              </w:rPr>
              <w:t xml:space="preserve"> with Hong Kong close at the top end. Indonesia has the lowest fees in USD terms. </w:t>
            </w:r>
            <w:r>
              <w:rPr>
                <w:b/>
                <w:bCs/>
                <w:color w:val="A35200"/>
                <w:sz w:val="12"/>
                <w:szCs w:val="12"/>
              </w:rPr>
              <w:t xml:space="preserve">[Estimate]</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10. Least saturated for smaller consultants?</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Indonesia</w:t>
            </w:r>
            <w:r>
              <w:rPr>
                <w:b w:val="false"/>
                <w:bCs w:val="false"/>
                <w:sz w:val="15"/>
                <w:szCs w:val="15"/>
              </w:rPr>
              <w:t xml:space="preserve"> for technical PSPK, GHG and export-compliance work (narrative report writing is crowded). </w:t>
            </w:r>
            <w:r>
              <w:rPr>
                <w:b/>
                <w:bCs/>
                <w:sz w:val="15"/>
                <w:szCs w:val="15"/>
              </w:rPr>
              <w:t xml:space="preserve">Malaysia's mid-market</w:t>
            </w:r>
            <w:r>
              <w:rPr>
                <w:b w:val="false"/>
                <w:bCs w:val="false"/>
                <w:sz w:val="15"/>
                <w:szCs w:val="15"/>
              </w:rPr>
              <w:t xml:space="preserve"> is second. Hong Kong's small-cap report market and Singapore's SME market are the most crowded.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11. Easiest to enter remotely?</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Singapore</w:t>
            </w:r>
            <w:r>
              <w:rPr>
                <w:b w:val="false"/>
                <w:bCs w:val="false"/>
                <w:sz w:val="15"/>
                <w:szCs w:val="15"/>
              </w:rPr>
              <w:t xml:space="preserve"> operationally (English, digital procurement), with </w:t>
            </w:r>
            <w:r>
              <w:rPr>
                <w:b/>
                <w:bCs/>
                <w:sz w:val="15"/>
                <w:szCs w:val="15"/>
              </w:rPr>
              <w:t xml:space="preserve">Malaysia</w:t>
            </w:r>
            <w:r>
              <w:rPr>
                <w:b w:val="false"/>
                <w:bCs w:val="false"/>
                <w:sz w:val="15"/>
                <w:szCs w:val="15"/>
              </w:rPr>
              <w:t xml:space="preserve"> close behind and easier to win as an outsider.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12. Strongest partnership and subcontracting opportunities?</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Malaysia</w:t>
            </w:r>
            <w:r>
              <w:rPr>
                <w:b w:val="false"/>
                <w:bCs w:val="false"/>
                <w:sz w:val="15"/>
                <w:szCs w:val="15"/>
              </w:rPr>
              <w:t xml:space="preserve"> (mid-tier audit and secretarial firms, banks' SME programmes, software vendors), with </w:t>
            </w:r>
            <w:r>
              <w:rPr>
                <w:b/>
                <w:bCs/>
                <w:sz w:val="15"/>
                <w:szCs w:val="15"/>
              </w:rPr>
              <w:t xml:space="preserve">Hong Kong</w:t>
            </w:r>
            <w:r>
              <w:rPr>
                <w:b w:val="false"/>
                <w:bCs w:val="false"/>
                <w:sz w:val="15"/>
                <w:szCs w:val="15"/>
              </w:rPr>
              <w:t xml:space="preserve"> close (CPA firms preparing for the assurance regime).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13. Where are multinational supply-chain requirements creating the most opportunities?</w:t>
            </w:r>
          </w:p>
        </w:tc>
        <w:tc>
          <w:tcPr>
            <w:tcW w:type="dxa" w:w="706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Malaysia</w:t>
            </w:r>
            <w:r>
              <w:rPr>
                <w:b w:val="false"/>
                <w:bCs w:val="false"/>
                <w:sz w:val="15"/>
                <w:szCs w:val="15"/>
              </w:rPr>
              <w:t xml:space="preserve"> (semiconductors and electronics, palm oil, data centres, steel) and </w:t>
            </w:r>
            <w:r>
              <w:rPr>
                <w:b/>
                <w:bCs/>
                <w:sz w:val="15"/>
                <w:szCs w:val="15"/>
              </w:rPr>
              <w:t xml:space="preserve">Indonesia</w:t>
            </w:r>
            <w:r>
              <w:rPr>
                <w:b w:val="false"/>
                <w:bCs w:val="false"/>
                <w:sz w:val="15"/>
                <w:szCs w:val="15"/>
              </w:rPr>
              <w:t xml:space="preserve"> (palm oil, nickel and batteries, textiles and footwear). Singapore is where many of these requirements are set by regional HQs. </w:t>
            </w:r>
            <w:r>
              <w:rPr>
                <w:b/>
                <w:bCs/>
                <w:color w:val="6B4FA0"/>
                <w:sz w:val="12"/>
                <w:szCs w:val="12"/>
              </w:rPr>
              <w:t xml:space="preserve">[Analyst view]</w:t>
            </w:r>
          </w:p>
        </w:tc>
      </w:tr>
      <w:tr>
        <w:trPr>
          <w:cantSplit/>
        </w:trPr>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14. Services with the strongest demand in 2026-2029?</w:t>
            </w:r>
          </w:p>
        </w:tc>
        <w:tc>
          <w:tcPr>
            <w:tcW w:type="dxa" w:w="706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In order: (1) ISSB/IFRS S2 gap assessments and first reports; (2) assurance-ready GHG inventories and data controls; (3) Scope 3 inventories and supplier data programmes; (4) climate scenario analysis and physical-risk assessments; (5) transition plans; (6) export carbon data (CBAM, EUDR, battery footprints); (7) ESG data-platform implementation; (8) SME packages funded by grants, tax deductions or banks; (9) ISSB and GHG training. </w:t>
            </w:r>
            <w:r>
              <w:rPr>
                <w:b/>
                <w:bCs/>
                <w:color w:val="6B4FA0"/>
                <w:sz w:val="12"/>
                <w:szCs w:val="12"/>
              </w:rPr>
              <w:t xml:space="preserve">[Analyst view]</w:t>
            </w:r>
          </w:p>
        </w:tc>
      </w:tr>
    </w:tbl>
    <w:p>
      <w:pPr>
        <w:pStyle w:val="Heading2"/>
      </w:pPr>
      <w:r>
        <w:t xml:space="preserve">15.2 Market prioritisation</w:t>
      </w:r>
    </w:p>
    <w:p>
      <w:pPr>
        <w:spacing w:after="120" w:before="0" w:line="276"/>
      </w:pPr>
      <w:r>
        <w:t xml:space="preserve">The scoring below weighs what matters to an independent, remote-first consultant. Each cell shows the score now and the expected score in three to five years (1 = poor, 5 = excellent). Language fit assumes English is your working language; if you work in Bahasa, Malay, Cantonese or Mandarin, raise the relevant score. </w:t>
      </w:r>
      <w:r>
        <w:rPr>
          <w:b/>
          <w:bCs/>
          <w:color w:val="6B4FA0"/>
          <w:sz w:val="16"/>
          <w:szCs w:val="16"/>
        </w:rPr>
        <w:t xml:space="preserve">[Analyst view]</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07"/>
        <w:gridCol w:w="988"/>
        <w:gridCol w:w="1412"/>
        <w:gridCol w:w="1412"/>
        <w:gridCol w:w="1412"/>
        <w:gridCol w:w="1415"/>
      </w:tblGrid>
      <w:tr>
        <w:trPr>
          <w:cantSplit/>
          <w:tblHeader/>
        </w:trPr>
        <w:tc>
          <w:tcPr>
            <w:tcW w:type="dxa" w:w="3107"/>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Criterion</w:t>
            </w:r>
          </w:p>
        </w:tc>
        <w:tc>
          <w:tcPr>
            <w:tcW w:type="dxa" w:w="988"/>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Weight</w:t>
            </w:r>
          </w:p>
        </w:tc>
        <w:tc>
          <w:tcPr>
            <w:tcW w:type="dxa" w:w="14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Singapore</w:t>
            </w:r>
          </w:p>
        </w:tc>
        <w:tc>
          <w:tcPr>
            <w:tcW w:type="dxa" w:w="14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Malaysia</w:t>
            </w:r>
          </w:p>
        </w:tc>
        <w:tc>
          <w:tcPr>
            <w:tcW w:type="dxa" w:w="1412"/>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Indonesia</w:t>
            </w:r>
          </w:p>
        </w:tc>
        <w:tc>
          <w:tcPr>
            <w:tcW w:type="dxa" w:w="141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Hong Kong</w:t>
            </w:r>
          </w:p>
        </w:tc>
      </w:tr>
      <w:tr>
        <w:trPr>
          <w:cantSplit/>
        </w:trPr>
        <w:tc>
          <w:tcPr>
            <w:tcW w:type="dxa" w:w="31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Demand growth</w:t>
            </w:r>
          </w:p>
        </w:tc>
        <w:tc>
          <w:tcPr>
            <w:tcW w:type="dxa" w:w="9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25%</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 4</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 4</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 5</w:t>
            </w:r>
          </w:p>
        </w:tc>
        <w:tc>
          <w:tcPr>
            <w:tcW w:type="dxa" w:w="141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 4</w:t>
            </w:r>
          </w:p>
        </w:tc>
      </w:tr>
      <w:tr>
        <w:trPr>
          <w:cantSplit/>
        </w:trPr>
        <w:tc>
          <w:tcPr>
            <w:tcW w:type="dxa" w:w="31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Access for a remote independent</w:t>
            </w:r>
          </w:p>
        </w:tc>
        <w:tc>
          <w:tcPr>
            <w:tcW w:type="dxa" w:w="9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20%</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 → 5</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 → 4</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 → 3</w:t>
            </w:r>
          </w:p>
        </w:tc>
        <w:tc>
          <w:tcPr>
            <w:tcW w:type="dxa" w:w="141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 → 3</w:t>
            </w:r>
          </w:p>
        </w:tc>
      </w:tr>
      <w:tr>
        <w:trPr>
          <w:cantSplit/>
        </w:trPr>
        <w:tc>
          <w:tcPr>
            <w:tcW w:type="dxa" w:w="31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Competition (5 = least crowded)</w:t>
            </w:r>
          </w:p>
        </w:tc>
        <w:tc>
          <w:tcPr>
            <w:tcW w:type="dxa" w:w="9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15%</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 → 2</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 3</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 3</w:t>
            </w:r>
          </w:p>
        </w:tc>
        <w:tc>
          <w:tcPr>
            <w:tcW w:type="dxa" w:w="141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 → 2</w:t>
            </w:r>
          </w:p>
        </w:tc>
      </w:tr>
      <w:tr>
        <w:trPr>
          <w:cantSplit/>
        </w:trPr>
        <w:tc>
          <w:tcPr>
            <w:tcW w:type="dxa" w:w="31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Fee levels</w:t>
            </w:r>
          </w:p>
        </w:tc>
        <w:tc>
          <w:tcPr>
            <w:tcW w:type="dxa" w:w="9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15%</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 → 5</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 → 3</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 → 3</w:t>
            </w:r>
          </w:p>
        </w:tc>
        <w:tc>
          <w:tcPr>
            <w:tcW w:type="dxa" w:w="141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 → 4</w:t>
            </w:r>
          </w:p>
        </w:tc>
      </w:tr>
      <w:tr>
        <w:trPr>
          <w:cantSplit/>
        </w:trPr>
        <w:tc>
          <w:tcPr>
            <w:tcW w:type="dxa" w:w="31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Partnership and subcontract availability</w:t>
            </w:r>
          </w:p>
        </w:tc>
        <w:tc>
          <w:tcPr>
            <w:tcW w:type="dxa" w:w="9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15%</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 4</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5 → 5</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 4</w:t>
            </w:r>
          </w:p>
        </w:tc>
        <w:tc>
          <w:tcPr>
            <w:tcW w:type="dxa" w:w="141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4 → 4</w:t>
            </w:r>
          </w:p>
        </w:tc>
      </w:tr>
      <w:tr>
        <w:trPr>
          <w:cantSplit/>
        </w:trPr>
        <w:tc>
          <w:tcPr>
            <w:tcW w:type="dxa" w:w="3107"/>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Language and cultural fit (English-speaking consultant)</w:t>
            </w:r>
          </w:p>
        </w:tc>
        <w:tc>
          <w:tcPr>
            <w:tcW w:type="dxa" w:w="988"/>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10%</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5 → 5</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4 → 4</w:t>
            </w:r>
          </w:p>
        </w:tc>
        <w:tc>
          <w:tcPr>
            <w:tcW w:type="dxa" w:w="1412"/>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1 → 1</w:t>
            </w:r>
          </w:p>
        </w:tc>
        <w:tc>
          <w:tcPr>
            <w:tcW w:type="dxa" w:w="141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3 → 3</w:t>
            </w:r>
          </w:p>
        </w:tc>
      </w:tr>
      <w:tr>
        <w:trPr>
          <w:cantSplit/>
        </w:trPr>
        <w:tc>
          <w:tcPr>
            <w:tcW w:type="dxa" w:w="3107"/>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Weighted score (now → 3-5 years)</w:t>
            </w:r>
          </w:p>
        </w:tc>
        <w:tc>
          <w:tcPr>
            <w:tcW w:type="dxa" w:w="988"/>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100%</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3.90 → 4.15</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4.25 → 3.85</w:t>
            </w:r>
          </w:p>
        </w:tc>
        <w:tc>
          <w:tcPr>
            <w:tcW w:type="dxa" w:w="1412"/>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2.85 → 3.45</w:t>
            </w:r>
          </w:p>
        </w:tc>
        <w:tc>
          <w:tcPr>
            <w:tcW w:type="dxa" w:w="141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3.15 → 3.40</w:t>
            </w:r>
          </w:p>
        </w:tc>
      </w:tr>
    </w:tbl>
    <w:p>
      <w:pPr>
        <w:spacing w:after="60" w:before="120"/>
        <w:jc w:val="center"/>
      </w:pPr>
      <w:r>
        <w:drawing>
          <wp:inline distT="0" distB="0" distL="0" distR="0">
            <wp:extent cx="5715000" cy="2943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43225"/>
                    </a:xfrm>
                    <a:prstGeom prst="rect">
                      <a:avLst/>
                    </a:prstGeom>
                  </pic:spPr>
                </pic:pic>
              </a:graphicData>
            </a:graphic>
          </wp:inline>
        </w:drawing>
      </w:r>
    </w:p>
    <w:p>
      <w:pPr>
        <w:spacing w:after="200" w:before="0" w:line="276"/>
        <w:jc w:val="center"/>
      </w:pPr>
      <w:r>
        <w:rPr>
          <w:i/>
          <w:iCs/>
          <w:color w:val="57606A"/>
          <w:sz w:val="17"/>
          <w:szCs w:val="17"/>
        </w:rPr>
        <w:t xml:space="preserve">Figure 2. Attractiveness for an independent consultant, now and in three to five years (weighted scores from the table above).</w:t>
      </w:r>
    </w:p>
    <w:p>
      <w:pPr>
        <w:spacing w:after="120" w:before="0" w:line="276"/>
      </w:pPr>
      <w:r>
        <w:t xml:space="preserve">Two things stand out. Malaysia is the best market now, but its score eases as competitors build capacity. Singapore's score rises as its deferred waves arrive in FY2028-FY2030. Indonesia improves the most, but only if you have built local delivery capacity by then. That is why the sequence below is about lead times as much as scores. </w:t>
      </w:r>
      <w:r>
        <w:rPr>
          <w:b/>
          <w:bCs/>
          <w:color w:val="0F7A55"/>
          <w:sz w:val="16"/>
          <w:szCs w:val="16"/>
        </w:rPr>
        <w:t xml:space="preserve">[Inference]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401"/>
        <w:gridCol w:w="7345"/>
      </w:tblGrid>
      <w:tr>
        <w:trPr>
          <w:cantSplit/>
          <w:tblHeader/>
        </w:trPr>
        <w:tc>
          <w:tcPr>
            <w:tcW w:type="dxa" w:w="2401"/>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Decision</w:t>
            </w:r>
          </w:p>
        </w:tc>
        <w:tc>
          <w:tcPr>
            <w:tcW w:type="dxa" w:w="7345"/>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6"/>
                <w:szCs w:val="16"/>
              </w:rPr>
              <w:t xml:space="preserve">Recommendation</w:t>
            </w:r>
          </w:p>
        </w:tc>
      </w:tr>
      <w:tr>
        <w:trPr>
          <w:cantSplit/>
        </w:trPr>
        <w:tc>
          <w:tcPr>
            <w:tcW w:type="dxa" w:w="240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Market to prioritise immediately</w:t>
            </w:r>
          </w:p>
        </w:tc>
        <w:tc>
          <w:tcPr>
            <w:tcW w:type="dxa" w:w="73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Malaysia.</w:t>
            </w:r>
            <w:r>
              <w:rPr>
                <w:b w:val="false"/>
                <w:bCs w:val="false"/>
                <w:sz w:val="16"/>
                <w:szCs w:val="16"/>
              </w:rPr>
              <w:t xml:space="preserve"> Highest attractiveness now (4.25). Deadlines are dated and arriving (Group 2 reports in 2027, Group 3 from FY2027, reasonable assurance from FY2027), the mid-market is under-served, buyers accept outside providers and incentives lower the client's cost.</w:t>
            </w:r>
          </w:p>
        </w:tc>
      </w:tr>
      <w:tr>
        <w:trPr>
          <w:cantSplit/>
        </w:trPr>
        <w:tc>
          <w:tcPr>
            <w:tcW w:type="dxa" w:w="240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Market worth developing over the next 12 months</w:t>
            </w:r>
          </w:p>
        </w:tc>
        <w:tc>
          <w:tcPr>
            <w:tcW w:type="dxa" w:w="73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Indonesia,</w:t>
            </w:r>
            <w:r>
              <w:rPr>
                <w:b w:val="false"/>
                <w:bCs w:val="false"/>
                <w:sz w:val="16"/>
                <w:szCs w:val="16"/>
              </w:rPr>
              <w:t xml:space="preserve"> through a local delivery partner. It needs the longest lead time (partner, Bahasa materials, credibility), and its demand peaks in 2027-29. Start in 2026 or arrive after the market has chosen its providers. Run </w:t>
            </w:r>
            <w:r>
              <w:rPr>
                <w:b/>
                <w:bCs/>
                <w:sz w:val="16"/>
                <w:szCs w:val="16"/>
              </w:rPr>
              <w:t xml:space="preserve">Singapore</w:t>
            </w:r>
            <w:r>
              <w:rPr>
                <w:b w:val="false"/>
                <w:bCs w:val="false"/>
                <w:sz w:val="16"/>
                <w:szCs w:val="16"/>
              </w:rPr>
              <w:t xml:space="preserve"> in parallel at low intensity as your hub (software vendor partnerships, MNC supplier programmes, grant-funded SMEs), then scale it up in 2027 ahead of the FY2028 and FY2030 waves; Singapore scores highest over 3-5 years (4.15) and is easy to enter at any time.</w:t>
            </w:r>
          </w:p>
        </w:tc>
      </w:tr>
      <w:tr>
        <w:trPr>
          <w:cantSplit/>
        </w:trPr>
        <w:tc>
          <w:tcPr>
            <w:tcW w:type="dxa" w:w="240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Market worth monitoring for future growth</w:t>
            </w:r>
          </w:p>
        </w:tc>
        <w:tc>
          <w:tcPr>
            <w:tcW w:type="dxa" w:w="73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Hong Kong.</w:t>
            </w:r>
            <w:r>
              <w:rPr>
                <w:b w:val="false"/>
                <w:bCs w:val="false"/>
                <w:sz w:val="16"/>
                <w:szCs w:val="16"/>
              </w:rPr>
              <w:t xml:space="preserve"> Large but crowded at the low end; new money (Scope 3, assurance, HKFRS S1) mostly flows through existing CPA-firm and Big Four relationships. Test one or two CPA-firm partnerships, and watch two triggers: the AFRC final assurance rules and HKEX's 2027 consultation on full HKFRS S1/S2 adoption.</w:t>
            </w:r>
          </w:p>
        </w:tc>
      </w:tr>
      <w:tr>
        <w:trPr>
          <w:cantSplit/>
        </w:trPr>
        <w:tc>
          <w:tcPr>
            <w:tcW w:type="dxa" w:w="240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Type of clients to target</w:t>
            </w:r>
          </w:p>
        </w:tc>
        <w:tc>
          <w:tcPr>
            <w:tcW w:type="dxa" w:w="73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Mid-sized listed companies facing their first ISSB report or first assurance (Malaysia Group 2 and 3, Indonesia Main Board, Singapore ≥S$1bn tier from 2027); large private groups approaching a mandate; export manufacturers in MNC or EU supply chains; and partner firms that sell to these clients.</w:t>
            </w:r>
          </w:p>
        </w:tc>
      </w:tr>
      <w:tr>
        <w:trPr>
          <w:cantSplit/>
        </w:trPr>
        <w:tc>
          <w:tcPr>
            <w:tcW w:type="dxa" w:w="240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ESG service to lead with</w:t>
            </w:r>
          </w:p>
        </w:tc>
        <w:tc>
          <w:tcPr>
            <w:tcW w:type="dxa" w:w="73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"ISSB readiness plus assurance-ready GHG inventory"</w:t>
            </w:r>
            <w:r>
              <w:rPr>
                <w:b w:val="false"/>
                <w:bCs w:val="false"/>
                <w:sz w:val="16"/>
                <w:szCs w:val="16"/>
              </w:rPr>
              <w:t xml:space="preserve"> as a two-step fixed-price offer: (1) gap assessment and roadmap; (2) Scope 1-2 inventory with data controls, then Scope 3. Use an SME carbon baseline as the volume product for supplier and bank channels.</w:t>
            </w:r>
          </w:p>
        </w:tc>
      </w:tr>
      <w:tr>
        <w:trPr>
          <w:cantSplit/>
        </w:trPr>
        <w:tc>
          <w:tcPr>
            <w:tcW w:type="dxa" w:w="240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Recommended market-entry strategy</w:t>
            </w:r>
          </w:p>
        </w:tc>
        <w:tc>
          <w:tcPr>
            <w:tcW w:type="dxa" w:w="73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Partner-led, deadline-driven: mid-tier audit and secretarial firms in Malaysia; software vendors and trade associations in Singapore; a local delivery partner in Indonesia; CPA firms in Hong Kong. Support with a webinar and content calendar tied to each market's regulatory dates, and targeted LinkedIn outreach to named decision makers.</w:t>
            </w:r>
          </w:p>
        </w:tc>
      </w:tr>
      <w:tr>
        <w:trPr>
          <w:cantSplit/>
        </w:trPr>
        <w:tc>
          <w:tcPr>
            <w:tcW w:type="dxa" w:w="2401"/>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6"/>
                <w:szCs w:val="16"/>
              </w:rPr>
              <w:t xml:space="preserve">Biggest commercial opportunity</w:t>
            </w:r>
          </w:p>
        </w:tc>
        <w:tc>
          <w:tcPr>
            <w:tcW w:type="dxa" w:w="7345"/>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6"/>
                <w:szCs w:val="16"/>
              </w:rPr>
              <w:t xml:space="preserve">Roughly 1,000 Malaysian listed companies and large private groups needing first IFRS S2 reports, assurance-ready GHG data and Scope 3 between 2026 and 2030, followed by Indonesia's PSPK wave (Main Board issuers, banks and then the wider market) in 2027-29. </w:t>
            </w:r>
            <w:r>
              <w:rPr>
                <w:b/>
                <w:bCs/>
                <w:color w:val="A35200"/>
                <w:sz w:val="12"/>
                <w:szCs w:val="12"/>
              </w:rPr>
              <w:t xml:space="preserve">[Estimate]</w:t>
            </w:r>
          </w:p>
        </w:tc>
      </w:tr>
      <w:tr>
        <w:trPr>
          <w:cantSplit/>
        </w:trPr>
        <w:tc>
          <w:tcPr>
            <w:tcW w:type="dxa" w:w="2401"/>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6"/>
                <w:szCs w:val="16"/>
              </w:rPr>
              <w:t xml:space="preserve">Biggest risk or barrier</w:t>
            </w:r>
          </w:p>
        </w:tc>
        <w:tc>
          <w:tcPr>
            <w:tcW w:type="dxa" w:w="7345"/>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6"/>
                <w:szCs w:val="16"/>
              </w:rPr>
              <w:t xml:space="preserve">Regulatory slippage (Singapore deferrals, Malaysia carbon tax on hold, Indonesia carbon tax pending) and price compression from AI-drafted reports. For a newcomer, the lack of local references is the main barrier; partnerships solve it faster than marketing. In Indonesia, add language and rupiah risk. Mitigate by selling data systems and assurance-readiness (harder to automate, tied to fixed deadlines) and by building two or three referenceable projects in Malaysia first.</w:t>
            </w:r>
          </w:p>
        </w:tc>
      </w:tr>
    </w:tbl>
    <w:p>
      <w:pPr>
        <w:pStyle w:val="Heading2"/>
      </w:pPr>
      <w:r>
        <w:t xml:space="preserve">15.3 90-day ESG business development plan</w:t>
      </w:r>
    </w:p>
    <w:p>
      <w:pPr>
        <w:spacing w:after="120" w:before="0" w:line="276"/>
      </w:pPr>
      <w:r>
        <w:t xml:space="preserve">The plan assumes one consultant working full time, with occasional help for list building. Numbers of companies and conversion targets are estimates to calibrate after the first month. </w:t>
      </w:r>
      <w:r>
        <w:rPr>
          <w:b/>
          <w:bCs/>
          <w:color w:val="A35200"/>
          <w:sz w:val="16"/>
          <w:szCs w:val="16"/>
        </w:rPr>
        <w:t xml:space="preserve">[Estimate]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694"/>
        <w:gridCol w:w="2683"/>
        <w:gridCol w:w="2683"/>
        <w:gridCol w:w="2686"/>
      </w:tblGrid>
      <w:tr>
        <w:trPr>
          <w:cantSplit/>
          <w:tblHeader/>
        </w:trPr>
        <w:tc>
          <w:tcPr>
            <w:tcW w:type="dxa" w:w="1694"/>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Element</w:t>
            </w:r>
          </w:p>
        </w:tc>
        <w:tc>
          <w:tcPr>
            <w:tcW w:type="dxa" w:w="268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Days 1-30</w:t>
            </w:r>
          </w:p>
        </w:tc>
        <w:tc>
          <w:tcPr>
            <w:tcW w:type="dxa" w:w="2683"/>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Days 31-60</w:t>
            </w:r>
          </w:p>
        </w:tc>
        <w:tc>
          <w:tcPr>
            <w:tcW w:type="dxa" w:w="2686"/>
            <w:tcBorders>
              <w:top w:val="single" w:color="C9D1D9" w:sz="4"/>
              <w:left w:val="single" w:color="C9D1D9" w:sz="4"/>
              <w:bottom w:val="single" w:color="C9D1D9" w:sz="4"/>
              <w:right w:val="single" w:color="C9D1D9" w:sz="4"/>
            </w:tcBorders>
            <w:shd w:fill="0B4F6C" w:color="auto" w:val="clear"/>
            <w:tcMar>
              <w:top w:type="dxa" w:w="70"/>
              <w:left w:type="dxa" w:w="90"/>
              <w:bottom w:type="dxa" w:w="70"/>
              <w:right w:type="dxa" w:w="90"/>
            </w:tcMar>
            <w:vAlign w:val="center"/>
          </w:tcPr>
          <w:p>
            <w:pPr>
              <w:spacing w:after="40" w:line="240"/>
            </w:pPr>
            <w:r>
              <w:rPr>
                <w:b/>
                <w:bCs/>
                <w:color w:val="FFFFFF"/>
                <w:sz w:val="15"/>
                <w:szCs w:val="15"/>
              </w:rPr>
              <w:t xml:space="preserve">Days 61-90</w:t>
            </w:r>
          </w:p>
        </w:tc>
      </w:tr>
      <w:tr>
        <w:trPr>
          <w:cantSplit/>
        </w:trPr>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Markets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Malaysia (primary). Singapore (partners only).</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Malaysia. Singapore SME cohorts. Indonesia partner search.</w:t>
            </w:r>
          </w:p>
        </w:tc>
        <w:tc>
          <w:tcPr>
            <w:tcW w:type="dxa" w:w="268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Malaysia (scale). Indonesia pilot. Hong Kong partner test.</w:t>
            </w:r>
          </w:p>
        </w:tc>
      </w:tr>
      <w:tr>
        <w:trPr>
          <w:cantSplit/>
        </w:trPr>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Industries</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MY Group 2: property, construction, industrial products, consumer. E&amp;E suppliers in Penang and Kulim.</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Add palm oil (EUDR), steel and aluminium (CBAM). SG precision engineering, F&amp;B manufacturing, logistics SMEs.</w:t>
            </w:r>
          </w:p>
        </w:tc>
        <w:tc>
          <w:tcPr>
            <w:tcW w:type="dxa" w:w="268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ID palm oil, cement, textiles, Main Board issuers. HK property and logistics (through partners).</w:t>
            </w:r>
          </w:p>
        </w:tc>
      </w:tr>
      <w:tr>
        <w:trPr>
          <w:cantSplit/>
        </w:trPr>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Target job titles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CFO / Group Finance Director; Company Secretary; Head of Sustainability; Sustainability Manager. Partners: Managing Partner, Advisory Partner, Head of Partnerships.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Add HSE Manager, Operations Director, Managing Director (SMEs); bank SME and sustainable finance heads; association secretariats.</w:t>
            </w:r>
          </w:p>
        </w:tc>
        <w:tc>
          <w:tcPr>
            <w:tcW w:type="dxa" w:w="268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 Direktur Keuangan, Corporate Secretary, Head of Sustainability. HK: Advisory Partner (CPA firms), Head of Sustainability (LargeCap).</w:t>
            </w:r>
          </w:p>
        </w:tc>
      </w:tr>
      <w:tr>
        <w:trPr>
          <w:cantSplit/>
        </w:trPr>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Partnership outreach</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Shortlist 15 Malaysian mid-tier audit and secretarial firms and 10 carbon-software vendors; approach all 25; aim for 6 meetings.</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Sign 2 agreements (1 Malaysian firm, 1 vendor). Approach 2 Malaysian banks with Greening Value Chain programmes and 1 Singapore trade association. Shortlist 10 Indonesian partners.</w:t>
            </w:r>
          </w:p>
        </w:tc>
        <w:tc>
          <w:tcPr>
            <w:tcW w:type="dxa" w:w="268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Sign 1 Indonesian delivery partner. Approach 8 Hong Kong CPA firms. Add a second Malaysian partner.</w:t>
            </w:r>
          </w:p>
        </w:tc>
      </w:tr>
      <w:tr>
        <w:trPr>
          <w:cantSplit/>
        </w:trPr>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LinkedIn strategy</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Rewrite profile around "IFRS S2 and assurance-ready GHG data for Malaysian mid-caps". 3 posts a week ("NSRF countdown" series). Connect with 150 named decision makers.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3 posts a week plus one long article on lessons from Group 1 reports. 150 more connections. Value-first message sequence (checklist, then webinar invite, then call).</w:t>
            </w:r>
          </w:p>
        </w:tc>
        <w:tc>
          <w:tcPr>
            <w:tcW w:type="dxa" w:w="268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Case study post (anonymised). 100 more connections, including Indonesia and Hong Kong. Event-based messages around webinars.</w:t>
            </w:r>
          </w:p>
        </w:tc>
      </w:tr>
      <w:tr>
        <w:trPr>
          <w:cantSplit/>
        </w:trPr>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Cold email strategy</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Build a 300-contact Malaysian list (Group 2 and ACE CFOs and Company Secretaries). Set up a separate sending domain. Send to 100 with the readiness checklist offer.</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Send to 200 more in Malaysia and 100 Singapore SMEs (grant angle). Short, deadline-specific emails; 3 touches each.</w:t>
            </w:r>
          </w:p>
        </w:tc>
        <w:tc>
          <w:tcPr>
            <w:tcW w:type="dxa" w:w="268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Follow up on 200. Send 100 in Bahasa through the Indonesian partner's name. Send 50 to Hong Kong CPA firms.</w:t>
            </w:r>
          </w:p>
        </w:tc>
      </w:tr>
      <w:tr>
        <w:trPr>
          <w:cantSplit/>
        </w:trPr>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Lead-generation sources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Bursa list segmented by group; sustainability statements; FMM and MSIA directories.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SGX list and ESGenome; Singapore association member lists; MSPO certificate holders; MISIF members.</w:t>
            </w:r>
          </w:p>
        </w:tc>
        <w:tc>
          <w:tcPr>
            <w:tcW w:type="dxa" w:w="268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IDX list and board segments; ASRRAT participants; GAPKI; HKEX MidCap list; HKICPA firms.</w:t>
            </w:r>
          </w:p>
        </w:tc>
      </w:tr>
      <w:tr>
        <w:trPr>
          <w:cantSplit/>
        </w:trPr>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Webinars and content</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Publish the "NSRF Group 2 and 3 readiness checklist" as a lead magnet; two short explainers.</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Webinar 1 with a partner firm: "Your first IFRS S2 report, lessons from Group 1". Webinar 2: "Reasonable assurance: what auditors will test". Singapore SME session on grant-funded baselines with an association.</w:t>
            </w:r>
          </w:p>
        </w:tc>
        <w:tc>
          <w:tcPr>
            <w:tcW w:type="dxa" w:w="268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Webinar 3 in Bahasa with the Indonesian partner: "PSPK 2027". Hong Kong short paper: "Scope 3 that survives assurance".</w:t>
            </w:r>
          </w:p>
        </w:tc>
      </w:tr>
      <w:tr>
        <w:trPr>
          <w:cantSplit/>
        </w:trPr>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Service packages to pitch</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NSRF Readiness Review (fixed price); Scope 1-2 Assurance-Ready Inventory; SME Carbon Baseline.</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Add Supplier Questionnaire Kit, Singapore grant-funded baseline and full first IFRS S2 report engagement.</w:t>
            </w:r>
          </w:p>
        </w:tc>
        <w:tc>
          <w:tcPr>
            <w:tcW w:type="dxa" w:w="268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Add PSPK Gap Assessment (Indonesia) and a white-label technical bench (Hong Kong and Indonesia partners).</w:t>
            </w:r>
          </w:p>
        </w:tc>
      </w:tr>
      <w:tr>
        <w:trPr>
          <w:cantSplit/>
        </w:trPr>
        <w:tc>
          <w:tcPr>
            <w:tcW w:type="dxa" w:w="1694"/>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bCs/>
                <w:sz w:val="15"/>
                <w:szCs w:val="15"/>
              </w:rPr>
              <w:t xml:space="preserve">Companies to approach</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~150 companies and 25 potential partners</w:t>
            </w:r>
          </w:p>
        </w:tc>
        <w:tc>
          <w:tcPr>
            <w:tcW w:type="dxa" w:w="2683"/>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~250 companies and 15 partners</w:t>
            </w:r>
          </w:p>
        </w:tc>
        <w:tc>
          <w:tcPr>
            <w:tcW w:type="dxa" w:w="2686"/>
            <w:tcBorders>
              <w:top w:val="single" w:color="C9D1D9" w:sz="4"/>
              <w:left w:val="single" w:color="C9D1D9" w:sz="4"/>
              <w:bottom w:val="single" w:color="C9D1D9" w:sz="4"/>
              <w:right w:val="single" w:color="C9D1D9" w:sz="4"/>
            </w:tcBorders>
            <w:shd w:fill="F3F6F8" w:color="auto" w:val="clear"/>
            <w:tcMar>
              <w:top w:type="dxa" w:w="60"/>
              <w:left w:type="dxa" w:w="90"/>
              <w:bottom w:type="dxa" w:w="60"/>
              <w:right w:type="dxa" w:w="90"/>
            </w:tcMar>
          </w:tcPr>
          <w:p>
            <w:pPr>
              <w:spacing w:after="40" w:line="240"/>
            </w:pPr>
            <w:r>
              <w:rPr>
                <w:b w:val="false"/>
                <w:bCs w:val="false"/>
                <w:sz w:val="15"/>
                <w:szCs w:val="15"/>
              </w:rPr>
              <w:t xml:space="preserve">~250 companies and 20 partners</w:t>
            </w:r>
          </w:p>
        </w:tc>
      </w:tr>
      <w:tr>
        <w:trPr>
          <w:cantSplit/>
        </w:trPr>
        <w:tc>
          <w:tcPr>
            <w:tcW w:type="dxa" w:w="1694"/>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bCs/>
                <w:sz w:val="15"/>
                <w:szCs w:val="15"/>
              </w:rPr>
              <w:t xml:space="preserve">Targets for the period </w:t>
            </w:r>
            <w:r>
              <w:rPr>
                <w:b/>
                <w:bCs/>
                <w:color w:val="A35200"/>
                <w:sz w:val="12"/>
                <w:szCs w:val="12"/>
              </w:rPr>
              <w:t xml:space="preserve">[Estimate]</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10 discovery calls; 6 partner meetings</w:t>
            </w:r>
          </w:p>
        </w:tc>
        <w:tc>
          <w:tcPr>
            <w:tcW w:type="dxa" w:w="2683"/>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15-20 discovery calls; 5 proposals; 1-2 signed projects; 2 partner agreements</w:t>
            </w:r>
          </w:p>
        </w:tc>
        <w:tc>
          <w:tcPr>
            <w:tcW w:type="dxa" w:w="2686"/>
            <w:tcBorders>
              <w:top w:val="single" w:color="C9D1D9" w:sz="4"/>
              <w:left w:val="single" w:color="C9D1D9" w:sz="4"/>
              <w:bottom w:val="single" w:color="C9D1D9" w:sz="4"/>
              <w:right w:val="single" w:color="C9D1D9" w:sz="4"/>
            </w:tcBorders>
            <w:tcMar>
              <w:top w:type="dxa" w:w="60"/>
              <w:left w:type="dxa" w:w="90"/>
              <w:bottom w:type="dxa" w:w="60"/>
              <w:right w:type="dxa" w:w="90"/>
            </w:tcMar>
          </w:tcPr>
          <w:p>
            <w:pPr>
              <w:spacing w:after="40" w:line="240"/>
            </w:pPr>
            <w:r>
              <w:rPr>
                <w:b w:val="false"/>
                <w:bCs w:val="false"/>
                <w:sz w:val="15"/>
                <w:szCs w:val="15"/>
              </w:rPr>
              <w:t xml:space="preserve">20 discovery calls; 6-8 proposals; 2-3 more signed projects; Indonesian partner signed</w:t>
            </w:r>
          </w:p>
        </w:tc>
      </w:tr>
    </w:tbl>
    <w:p>
      <w:pPr>
        <w:spacing w:after="120"/>
      </w:pPr>
    </w:p>
    <w:p>
      <w:pPr>
        <w:pStyle w:val="Heading3"/>
      </w:pPr>
      <w:r>
        <w:t xml:space="preserve">Expected funnel after 90 days {E}</w:t>
      </w:r>
    </w:p>
    <w:p>
      <w:pPr>
        <w:pStyle w:val="ListParagraph"/>
        <w:numPr>
          <w:ilvl w:val="0"/>
          <w:numId w:val="3"/>
        </w:numPr>
        <w:spacing w:after="60" w:line="264"/>
      </w:pPr>
      <w:r>
        <w:t xml:space="preserve">About 650 companies and 60 potential partners approached.</w:t>
      </w:r>
    </w:p>
    <w:p>
      <w:pPr>
        <w:pStyle w:val="ListParagraph"/>
        <w:numPr>
          <w:ilvl w:val="0"/>
          <w:numId w:val="3"/>
        </w:numPr>
        <w:spacing w:after="60" w:line="264"/>
      </w:pPr>
      <w:r>
        <w:t xml:space="preserve">Roughly 45 discovery calls (around 7% of companies approached), 12 to 15 proposals and 3 to 5 signed projects.</w:t>
      </w:r>
    </w:p>
    <w:p>
      <w:pPr>
        <w:pStyle w:val="ListParagraph"/>
        <w:numPr>
          <w:ilvl w:val="0"/>
          <w:numId w:val="3"/>
        </w:numPr>
        <w:spacing w:after="60" w:line="264"/>
      </w:pPr>
      <w:r>
        <w:t xml:space="preserve">Two to four partnership agreements, which should produce most of the second-quarter pipeline.</w:t>
      </w:r>
    </w:p>
    <w:p>
      <w:pPr>
        <w:pStyle w:val="ListParagraph"/>
        <w:numPr>
          <w:ilvl w:val="0"/>
          <w:numId w:val="3"/>
        </w:numPr>
        <w:spacing w:after="60" w:line="264"/>
      </w:pPr>
      <w:r>
        <w:t xml:space="preserve">A pipeline of roughly US$150,000 to 250,000 in proposals, weighted towards Malaysia.</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none" w:color="FFFFFF" w:sz="0"/>
              <w:left w:val="single" w:color="1C7C54" w:sz="24"/>
              <w:bottom w:val="none" w:color="FFFFFF" w:sz="0"/>
              <w:right w:val="none" w:color="FFFFFF" w:sz="0"/>
            </w:tcBorders>
            <w:shd w:fill="EEF5F3" w:color="auto" w:val="clear"/>
            <w:tcMar>
              <w:top w:type="dxa" w:w="140"/>
              <w:left w:type="dxa" w:w="200"/>
              <w:bottom w:type="dxa" w:w="120"/>
              <w:right w:type="dxa" w:w="200"/>
            </w:tcMar>
          </w:tcPr>
          <w:p>
            <w:pPr>
              <w:spacing w:after="80"/>
            </w:pPr>
            <w:r>
              <w:rPr>
                <w:b/>
                <w:bCs/>
                <w:color w:val="0B4F6C"/>
                <w:sz w:val="21"/>
                <w:szCs w:val="21"/>
              </w:rPr>
              <w:t xml:space="preserve">What to review on day 90</w:t>
            </w:r>
          </w:p>
          <w:p>
            <w:pPr>
              <w:pStyle w:val="ListParagraph"/>
              <w:numPr>
                <w:ilvl w:val="0"/>
                <w:numId w:val="4"/>
              </w:numPr>
              <w:spacing w:after="30" w:line="240"/>
            </w:pPr>
            <w:r>
              <w:rPr>
                <w:sz w:val="19"/>
                <w:szCs w:val="19"/>
              </w:rPr>
              <w:t xml:space="preserve">Which channel produced the most calls per hour spent: partners, webinars, LinkedIn or email? Double it.</w:t>
            </w:r>
          </w:p>
          <w:p>
            <w:pPr>
              <w:pStyle w:val="ListParagraph"/>
              <w:numPr>
                <w:ilvl w:val="0"/>
                <w:numId w:val="4"/>
              </w:numPr>
              <w:spacing w:after="30" w:line="240"/>
            </w:pPr>
            <w:r>
              <w:rPr>
                <w:sz w:val="19"/>
                <w:szCs w:val="19"/>
              </w:rPr>
              <w:t xml:space="preserve">Which package converted? Narrow the offer to the two best sellers.</w:t>
            </w:r>
          </w:p>
          <w:p>
            <w:pPr>
              <w:pStyle w:val="ListParagraph"/>
              <w:numPr>
                <w:ilvl w:val="0"/>
                <w:numId w:val="4"/>
              </w:numPr>
              <w:spacing w:after="30" w:line="240"/>
            </w:pPr>
            <w:r>
              <w:rPr>
                <w:sz w:val="19"/>
                <w:szCs w:val="19"/>
              </w:rPr>
              <w:t xml:space="preserve">Is the Indonesian partner able to deliver in Bahasa to the quality you need? If not, find another before the 2027 peak.</w:t>
            </w:r>
          </w:p>
          <w:p>
            <w:pPr>
              <w:pStyle w:val="ListParagraph"/>
              <w:numPr>
                <w:ilvl w:val="0"/>
                <w:numId w:val="4"/>
              </w:numPr>
              <w:spacing w:after="30" w:line="240"/>
            </w:pPr>
            <w:r>
              <w:rPr>
                <w:sz w:val="19"/>
                <w:szCs w:val="19"/>
              </w:rPr>
              <w:t xml:space="preserve">Re-check regulatory dates: OJK final regulation, AFRC assurance conclusions, Malaysia's Climate Change Bill and Singapore's final SFRS S1/S2. </w:t>
            </w:r>
            <w:r>
              <w:rPr>
                <w:b/>
                <w:bCs/>
                <w:color w:val="0F7A55"/>
                <w:sz w:val="15"/>
                <w:szCs w:val="15"/>
              </w:rPr>
              <w:t xml:space="preserve">[Inference]</w:t>
            </w:r>
          </w:p>
        </w:tc>
      </w:tr>
    </w:tbl>
    <w:p>
      <w:pPr>
        <w:pStyle w:val="Heading1"/>
        <w:pageBreakBefore/>
      </w:pPr>
      <w:r>
        <w:t xml:space="preserve">Sources</w:t>
      </w:r>
    </w:p>
    <w:p>
      <w:pPr>
        <w:spacing w:after="120" w:before="0" w:line="276"/>
      </w:pPr>
      <w:r>
        <w:rPr>
          <w:color w:val="57606A"/>
          <w:sz w:val="18"/>
          <w:szCs w:val="18"/>
        </w:rPr>
        <w:t xml:space="preserve">Numbers match the bracketed citations in the text. Links were checked during research up to 2 October 2026; some regulator pages may move.</w:t>
      </w:r>
    </w:p>
    <w:p>
      <w:pPr>
        <w:spacing w:after="60" w:line="240"/>
        <w:ind w:left="480" w:hanging="480"/>
      </w:pPr>
      <w:r>
        <w:rPr>
          <w:b/>
          <w:bCs/>
          <w:color w:val="0B4F6C"/>
          <w:sz w:val="16"/>
          <w:szCs w:val="16"/>
        </w:rPr>
        <w:t xml:space="preserve">[1]	</w:t>
      </w:r>
      <w:r>
        <w:rPr>
          <w:sz w:val="16"/>
          <w:szCs w:val="16"/>
        </w:rPr>
        <w:t xml:space="preserve">ACRA: Extended timelines for most climate reporting requirements (25 Aug 2025). </w:t>
      </w:r>
      <w:hyperlink w:history="1" r:id="rIdq8f-djfd5nvnz01fsg3e8">
        <w:r>
          <w:rPr>
            <w:rStyle w:val="Hyperlink"/>
            <w:sz w:val="15"/>
            <w:szCs w:val="15"/>
          </w:rPr>
          <w:t xml:space="preserve">https://www.acra.gov.sg/news-events/news-announcements/887/</w:t>
        </w:r>
      </w:hyperlink>
    </w:p>
    <w:p>
      <w:pPr>
        <w:spacing w:after="60" w:line="240"/>
        <w:ind w:left="480" w:hanging="480"/>
      </w:pPr>
      <w:r>
        <w:rPr>
          <w:b/>
          <w:bCs/>
          <w:color w:val="0B4F6C"/>
          <w:sz w:val="16"/>
          <w:szCs w:val="16"/>
        </w:rPr>
        <w:t xml:space="preserve">[2]	</w:t>
      </w:r>
      <w:r>
        <w:rPr>
          <w:sz w:val="16"/>
          <w:szCs w:val="16"/>
        </w:rPr>
        <w:t xml:space="preserve">Allen &amp; Gledhill: ACRA and SGX RegCo extend timelines for most climate reporting requirements. </w:t>
      </w:r>
      <w:hyperlink w:history="1" r:id="rIdwx0des6mtdsvouugdppyw">
        <w:r>
          <w:rPr>
            <w:rStyle w:val="Hyperlink"/>
            <w:sz w:val="15"/>
            <w:szCs w:val="15"/>
          </w:rPr>
          <w:t xml:space="preserve">https://www.allenandgledhill.com/sg/publication/articles/31136/acra-and-sgx-regco-extend-timelines-for-most-climate-reporting-requirements</w:t>
        </w:r>
      </w:hyperlink>
    </w:p>
    <w:p>
      <w:pPr>
        <w:spacing w:after="60" w:line="240"/>
        <w:ind w:left="480" w:hanging="480"/>
      </w:pPr>
      <w:r>
        <w:rPr>
          <w:b/>
          <w:bCs/>
          <w:color w:val="0B4F6C"/>
          <w:sz w:val="16"/>
          <w:szCs w:val="16"/>
        </w:rPr>
        <w:t xml:space="preserve">[3]	</w:t>
      </w:r>
      <w:r>
        <w:rPr>
          <w:sz w:val="16"/>
          <w:szCs w:val="16"/>
        </w:rPr>
        <w:t xml:space="preserve">ACRA: Sustainability reporting and assurance requirements timeline. </w:t>
      </w:r>
      <w:hyperlink w:history="1" r:id="rIdc-tyfxj5e8hnjbhhuvwmh">
        <w:r>
          <w:rPr>
            <w:rStyle w:val="Hyperlink"/>
            <w:sz w:val="15"/>
            <w:szCs w:val="15"/>
          </w:rPr>
          <w:t xml:space="preserve">https://www.acra.gov.sg/regulations/sustainability-reporting/requirements-timeline/</w:t>
        </w:r>
      </w:hyperlink>
    </w:p>
    <w:p>
      <w:pPr>
        <w:spacing w:after="60" w:line="240"/>
        <w:ind w:left="480" w:hanging="480"/>
      </w:pPr>
      <w:r>
        <w:rPr>
          <w:b/>
          <w:bCs/>
          <w:color w:val="0B4F6C"/>
          <w:sz w:val="16"/>
          <w:szCs w:val="16"/>
        </w:rPr>
        <w:t xml:space="preserve">[4]	</w:t>
      </w:r>
      <w:r>
        <w:rPr>
          <w:sz w:val="16"/>
          <w:szCs w:val="16"/>
        </w:rPr>
        <w:t xml:space="preserve">ACRA: Public consultation on Singapore Sustainability Disclosure Standards (27 Jul to 25 Oct 2026). </w:t>
      </w:r>
      <w:hyperlink w:history="1" r:id="rId93ddygiilc0mr4u58cs-0">
        <w:r>
          <w:rPr>
            <w:rStyle w:val="Hyperlink"/>
            <w:sz w:val="15"/>
            <w:szCs w:val="15"/>
          </w:rPr>
          <w:t xml:space="preserve">https://www.acra.gov.sg/public-consultations/public-consultation-on-singapore-s-sustainability-disclosure-standards/</w:t>
        </w:r>
      </w:hyperlink>
    </w:p>
    <w:p>
      <w:pPr>
        <w:spacing w:after="60" w:line="240"/>
        <w:ind w:left="480" w:hanging="480"/>
      </w:pPr>
      <w:r>
        <w:rPr>
          <w:b/>
          <w:bCs/>
          <w:color w:val="0B4F6C"/>
          <w:sz w:val="16"/>
          <w:szCs w:val="16"/>
        </w:rPr>
        <w:t xml:space="preserve">[5]	</w:t>
      </w:r>
      <w:r>
        <w:rPr>
          <w:sz w:val="16"/>
          <w:szCs w:val="16"/>
        </w:rPr>
        <w:t xml:space="preserve">NCCS: Carbon tax. </w:t>
      </w:r>
      <w:hyperlink w:history="1" r:id="rId4xhhuukinmvabr5mm-lca">
        <w:r>
          <w:rPr>
            <w:rStyle w:val="Hyperlink"/>
            <w:sz w:val="15"/>
            <w:szCs w:val="15"/>
          </w:rPr>
          <w:t xml:space="preserve">https://www.nccs.gov.sg/singapores-climate-action/mitigation-efforts/carbontax/</w:t>
        </w:r>
      </w:hyperlink>
    </w:p>
    <w:p>
      <w:pPr>
        <w:spacing w:after="60" w:line="240"/>
        <w:ind w:left="480" w:hanging="480"/>
      </w:pPr>
      <w:r>
        <w:rPr>
          <w:b/>
          <w:bCs/>
          <w:color w:val="0B4F6C"/>
          <w:sz w:val="16"/>
          <w:szCs w:val="16"/>
        </w:rPr>
        <w:t xml:space="preserve">[6]	</w:t>
      </w:r>
      <w:r>
        <w:rPr>
          <w:sz w:val="16"/>
          <w:szCs w:val="16"/>
        </w:rPr>
        <w:t xml:space="preserve">Enterprise Singapore: Sustainability Reporting Grant. </w:t>
      </w:r>
      <w:hyperlink w:history="1" r:id="rId4f56wc8te-2wndobl3rz7">
        <w:r>
          <w:rPr>
            <w:rStyle w:val="Hyperlink"/>
            <w:sz w:val="15"/>
            <w:szCs w:val="15"/>
          </w:rPr>
          <w:t xml:space="preserve">https://www.enterprisesg.gov.sg/financial-support/sustainability-reporting-grant</w:t>
        </w:r>
      </w:hyperlink>
    </w:p>
    <w:p>
      <w:pPr>
        <w:spacing w:after="60" w:line="240"/>
        <w:ind w:left="480" w:hanging="480"/>
      </w:pPr>
      <w:r>
        <w:rPr>
          <w:b/>
          <w:bCs/>
          <w:color w:val="0B4F6C"/>
          <w:sz w:val="16"/>
          <w:szCs w:val="16"/>
        </w:rPr>
        <w:t xml:space="preserve">[7]	</w:t>
      </w:r>
      <w:r>
        <w:rPr>
          <w:sz w:val="16"/>
          <w:szCs w:val="16"/>
        </w:rPr>
        <w:t xml:space="preserve">Enterprise Singapore: Enterprise Sustainability Programme. </w:t>
      </w:r>
      <w:hyperlink w:history="1" r:id="rIdpd9-se1mi3wgbglkb_zr-">
        <w:r>
          <w:rPr>
            <w:rStyle w:val="Hyperlink"/>
            <w:sz w:val="15"/>
            <w:szCs w:val="15"/>
          </w:rPr>
          <w:t xml:space="preserve">https://www.enterprisesg.gov.sg/grow-your-business/boost-capabilities/sustainability/enterprise-sustainability-programme</w:t>
        </w:r>
      </w:hyperlink>
    </w:p>
    <w:p>
      <w:pPr>
        <w:spacing w:after="60" w:line="240"/>
        <w:ind w:left="480" w:hanging="480"/>
      </w:pPr>
      <w:r>
        <w:rPr>
          <w:b/>
          <w:bCs/>
          <w:color w:val="0B4F6C"/>
          <w:sz w:val="16"/>
          <w:szCs w:val="16"/>
        </w:rPr>
        <w:t xml:space="preserve">[8]	</w:t>
      </w:r>
      <w:r>
        <w:rPr>
          <w:sz w:val="16"/>
          <w:szCs w:val="16"/>
        </w:rPr>
        <w:t xml:space="preserve">Grants.sg: EDGE Grant (replaces EDG, PSG and MRA from 30 Sep 2026). </w:t>
      </w:r>
      <w:hyperlink w:history="1" r:id="rIdotplg61k52pnb_1zej_d7">
        <w:r>
          <w:rPr>
            <w:rStyle w:val="Hyperlink"/>
            <w:sz w:val="15"/>
            <w:szCs w:val="15"/>
          </w:rPr>
          <w:t xml:space="preserve">https://grants.sg/grants/edge-grant</w:t>
        </w:r>
      </w:hyperlink>
    </w:p>
    <w:p>
      <w:pPr>
        <w:spacing w:after="60" w:line="240"/>
        <w:ind w:left="480" w:hanging="480"/>
      </w:pPr>
      <w:r>
        <w:rPr>
          <w:b/>
          <w:bCs/>
          <w:color w:val="0B4F6C"/>
          <w:sz w:val="16"/>
          <w:szCs w:val="16"/>
        </w:rPr>
        <w:t xml:space="preserve">[9]	</w:t>
      </w:r>
      <w:r>
        <w:rPr>
          <w:sz w:val="16"/>
          <w:szCs w:val="16"/>
        </w:rPr>
        <w:t xml:space="preserve">CAAS: Sustainable Aviation Fuel levy to be deferred. </w:t>
      </w:r>
      <w:hyperlink w:history="1" r:id="rIdky1iuecrpjn_e-_ddyao6">
        <w:r>
          <w:rPr>
            <w:rStyle w:val="Hyperlink"/>
            <w:sz w:val="15"/>
            <w:szCs w:val="15"/>
          </w:rPr>
          <w:t xml:space="preserve">https://www.caas.gov.sg/resources/media-and-publication/newsroom/sustainable-aviation-fuel--saf--levy-to-be-deferred/</w:t>
        </w:r>
      </w:hyperlink>
    </w:p>
    <w:p>
      <w:pPr>
        <w:spacing w:after="60" w:line="240"/>
        <w:ind w:left="480" w:hanging="480"/>
      </w:pPr>
      <w:r>
        <w:rPr>
          <w:b/>
          <w:bCs/>
          <w:color w:val="0B4F6C"/>
          <w:sz w:val="16"/>
          <w:szCs w:val="16"/>
        </w:rPr>
        <w:t xml:space="preserve">[10]	</w:t>
      </w:r>
      <w:r>
        <w:rPr>
          <w:sz w:val="16"/>
          <w:szCs w:val="16"/>
        </w:rPr>
        <w:t xml:space="preserve">Linklaters: MAS publishes guidelines on transition planning for banks, asset managers and insurers. </w:t>
      </w:r>
      <w:hyperlink w:history="1" r:id="rIdhdbewdypjsu7stzdr_glv">
        <w:r>
          <w:rPr>
            <w:rStyle w:val="Hyperlink"/>
            <w:sz w:val="15"/>
            <w:szCs w:val="15"/>
          </w:rPr>
          <w:t xml:space="preserve">https://sustainablefutures.linklaters.com/post/102mnv6/the-monetary-authority-of-singapore-publishes-guidelines-on-transition-planning-f</w:t>
        </w:r>
      </w:hyperlink>
    </w:p>
    <w:p>
      <w:pPr>
        <w:spacing w:after="60" w:line="240"/>
        <w:ind w:left="480" w:hanging="480"/>
      </w:pPr>
      <w:r>
        <w:rPr>
          <w:b/>
          <w:bCs/>
          <w:color w:val="0B4F6C"/>
          <w:sz w:val="16"/>
          <w:szCs w:val="16"/>
        </w:rPr>
        <w:t xml:space="preserve">[11]	</w:t>
      </w:r>
      <w:r>
        <w:rPr>
          <w:sz w:val="16"/>
          <w:szCs w:val="16"/>
        </w:rPr>
        <w:t xml:space="preserve">SBF: Gprnt and PwC SME Sustainability Barometer. </w:t>
      </w:r>
      <w:hyperlink w:history="1" r:id="rIduoqzjen2fy4qv8ioaz09g">
        <w:r>
          <w:rPr>
            <w:rStyle w:val="Hyperlink"/>
            <w:sz w:val="15"/>
            <w:szCs w:val="15"/>
          </w:rPr>
          <w:t xml:space="preserve">https://www.sbf.org.sg/newsroom/media/press-releases/detail/inaugural-study-by-gprnt-and-pwc-finds-smes-lagging-in-sustainability-readiness--urges-more-public-private-collaboration-and-ecosystem-support-to-help-them-go-green</w:t>
        </w:r>
      </w:hyperlink>
    </w:p>
    <w:p>
      <w:pPr>
        <w:spacing w:after="60" w:line="240"/>
        <w:ind w:left="480" w:hanging="480"/>
      </w:pPr>
      <w:r>
        <w:rPr>
          <w:b/>
          <w:bCs/>
          <w:color w:val="0B4F6C"/>
          <w:sz w:val="16"/>
          <w:szCs w:val="16"/>
        </w:rPr>
        <w:t xml:space="preserve">[12]	</w:t>
      </w:r>
      <w:r>
        <w:rPr>
          <w:sz w:val="16"/>
          <w:szCs w:val="16"/>
        </w:rPr>
        <w:t xml:space="preserve">Green100: Gprnt partners SGX Group on ESGenome (Jul 2026). </w:t>
      </w:r>
      <w:hyperlink w:history="1" r:id="rIdiimei-ztdrtrmzqomaf-t">
        <w:r>
          <w:rPr>
            <w:rStyle w:val="Hyperlink"/>
            <w:sz w:val="15"/>
            <w:szCs w:val="15"/>
          </w:rPr>
          <w:t xml:space="preserve">https://green100.sg/news-stories/gprnt-partners-sgx-group-to-strengthen-climate-reporting-transition-planning-on-esgenome</w:t>
        </w:r>
      </w:hyperlink>
    </w:p>
    <w:p>
      <w:pPr>
        <w:spacing w:after="60" w:line="240"/>
        <w:ind w:left="480" w:hanging="480"/>
      </w:pPr>
      <w:r>
        <w:rPr>
          <w:b/>
          <w:bCs/>
          <w:color w:val="0B4F6C"/>
          <w:sz w:val="16"/>
          <w:szCs w:val="16"/>
        </w:rPr>
        <w:t xml:space="preserve">[13]	</w:t>
      </w:r>
      <w:r>
        <w:rPr>
          <w:sz w:val="16"/>
          <w:szCs w:val="16"/>
        </w:rPr>
        <w:t xml:space="preserve">SingStat: Singapore enterprise landscape. </w:t>
      </w:r>
      <w:hyperlink w:history="1" r:id="rIdbzohngkolnh7fsv5seqyy">
        <w:r>
          <w:rPr>
            <w:rStyle w:val="Hyperlink"/>
            <w:sz w:val="15"/>
            <w:szCs w:val="15"/>
          </w:rPr>
          <w:t xml:space="preserve">https://www.singstat.gov.sg/infographics/singapore-enterprise-landscape</w:t>
        </w:r>
      </w:hyperlink>
    </w:p>
    <w:p>
      <w:pPr>
        <w:spacing w:after="60" w:line="240"/>
        <w:ind w:left="480" w:hanging="480"/>
      </w:pPr>
      <w:r>
        <w:rPr>
          <w:b/>
          <w:bCs/>
          <w:color w:val="0B4F6C"/>
          <w:sz w:val="16"/>
          <w:szCs w:val="16"/>
        </w:rPr>
        <w:t xml:space="preserve">[14]	</w:t>
      </w:r>
      <w:r>
        <w:rPr>
          <w:sz w:val="16"/>
          <w:szCs w:val="16"/>
        </w:rPr>
        <w:t xml:space="preserve">AMRO: Singapore's leadership in sustainable finance (Dec 2025). </w:t>
      </w:r>
      <w:hyperlink w:history="1" r:id="rIdcibermgopxts89znzodp6">
        <w:r>
          <w:rPr>
            <w:rStyle w:val="Hyperlink"/>
            <w:sz w:val="15"/>
            <w:szCs w:val="15"/>
          </w:rPr>
          <w:t xml:space="preserve">https://amro-asia.org/wp-content/uploads/2025/12/SI-2-2.pdf</w:t>
        </w:r>
      </w:hyperlink>
    </w:p>
    <w:p>
      <w:pPr>
        <w:spacing w:after="60" w:line="240"/>
        <w:ind w:left="480" w:hanging="480"/>
      </w:pPr>
      <w:r>
        <w:rPr>
          <w:b/>
          <w:bCs/>
          <w:color w:val="0B4F6C"/>
          <w:sz w:val="16"/>
          <w:szCs w:val="16"/>
        </w:rPr>
        <w:t xml:space="preserve">[15]	</w:t>
      </w:r>
      <w:r>
        <w:rPr>
          <w:sz w:val="16"/>
          <w:szCs w:val="16"/>
        </w:rPr>
        <w:t xml:space="preserve">Terrascope: Carbon accounting software costs in Southeast Asia, 2026 price guide. </w:t>
      </w:r>
      <w:hyperlink w:history="1" r:id="rIdh7sxrpfut50eof9o9cwwk">
        <w:r>
          <w:rPr>
            <w:rStyle w:val="Hyperlink"/>
            <w:sz w:val="15"/>
            <w:szCs w:val="15"/>
          </w:rPr>
          <w:t xml:space="preserve">https://www.terrascope.com/blog/carbon-accounting-software-costs-southeast-asia</w:t>
        </w:r>
      </w:hyperlink>
    </w:p>
    <w:p>
      <w:pPr>
        <w:spacing w:after="60" w:line="240"/>
        <w:ind w:left="480" w:hanging="480"/>
      </w:pPr>
      <w:r>
        <w:rPr>
          <w:b/>
          <w:bCs/>
          <w:color w:val="0B4F6C"/>
          <w:sz w:val="16"/>
          <w:szCs w:val="16"/>
        </w:rPr>
        <w:t xml:space="preserve">[16]	</w:t>
      </w:r>
      <w:r>
        <w:rPr>
          <w:sz w:val="16"/>
          <w:szCs w:val="16"/>
        </w:rPr>
        <w:t xml:space="preserve">Tracxn: Carbon accounting startups in Singapore (Jan 2026). </w:t>
      </w:r>
      <w:hyperlink w:history="1" r:id="rId0cigws4gr7zlna1mb5cha">
        <w:r>
          <w:rPr>
            <w:rStyle w:val="Hyperlink"/>
            <w:sz w:val="15"/>
            <w:szCs w:val="15"/>
          </w:rPr>
          <w:t xml:space="preserve">https://tracxn.com/d/explore/carbon-accounting-startups-in-singapore/__gD7OKsMVtYFVFVrnvd3G9NFP6HzwAnPAN9YLKUH9N7Q/companies</w:t>
        </w:r>
      </w:hyperlink>
    </w:p>
    <w:p>
      <w:pPr>
        <w:spacing w:after="60" w:line="240"/>
        <w:ind w:left="480" w:hanging="480"/>
      </w:pPr>
      <w:r>
        <w:rPr>
          <w:b/>
          <w:bCs/>
          <w:color w:val="0B4F6C"/>
          <w:sz w:val="16"/>
          <w:szCs w:val="16"/>
        </w:rPr>
        <w:t xml:space="preserve">[17]	</w:t>
      </w:r>
      <w:r>
        <w:rPr>
          <w:sz w:val="16"/>
          <w:szCs w:val="16"/>
        </w:rPr>
        <w:t xml:space="preserve">Eco-Business: Zuno Carbon raises US$2.5m seed funding. </w:t>
      </w:r>
      <w:hyperlink w:history="1" r:id="rIdlvrpmm2g1jc1fyp2knuuv">
        <w:r>
          <w:rPr>
            <w:rStyle w:val="Hyperlink"/>
            <w:sz w:val="15"/>
            <w:szCs w:val="15"/>
          </w:rPr>
          <w:t xml:space="preserve">https://www.eco-business.com/press-releases/singapore-based-climate-tech-startup-zuno-carbon-raises-us25-million-in-seed-funding/</w:t>
        </w:r>
      </w:hyperlink>
    </w:p>
    <w:p>
      <w:pPr>
        <w:spacing w:after="60" w:line="240"/>
        <w:ind w:left="480" w:hanging="480"/>
      </w:pPr>
      <w:r>
        <w:rPr>
          <w:b/>
          <w:bCs/>
          <w:color w:val="0B4F6C"/>
          <w:sz w:val="16"/>
          <w:szCs w:val="16"/>
        </w:rPr>
        <w:t xml:space="preserve">[18]	</w:t>
      </w:r>
      <w:r>
        <w:rPr>
          <w:sz w:val="16"/>
          <w:szCs w:val="16"/>
        </w:rPr>
        <w:t xml:space="preserve">LinkedIn Economic Graph: Green jobs and skills in Asia Pacific. </w:t>
      </w:r>
      <w:hyperlink w:history="1" r:id="rId_bb1mfpdxivlp3xekr0ax">
        <w:r>
          <w:rPr>
            <w:rStyle w:val="Hyperlink"/>
            <w:sz w:val="15"/>
            <w:szCs w:val="15"/>
          </w:rPr>
          <w:t xml:space="preserve">https://economicgraph.linkedin.com/blog/investing-in-green-jobs-and-skills-in-the-asia-pacific-region-will-pave-the-way-towards-a-sustainable-future</w:t>
        </w:r>
      </w:hyperlink>
    </w:p>
    <w:p>
      <w:pPr>
        <w:spacing w:after="60" w:line="240"/>
        <w:ind w:left="480" w:hanging="480"/>
      </w:pPr>
      <w:r>
        <w:rPr>
          <w:b/>
          <w:bCs/>
          <w:color w:val="0B4F6C"/>
          <w:sz w:val="16"/>
          <w:szCs w:val="16"/>
        </w:rPr>
        <w:t xml:space="preserve">[19]	</w:t>
      </w:r>
      <w:r>
        <w:rPr>
          <w:sz w:val="16"/>
          <w:szCs w:val="16"/>
        </w:rPr>
        <w:t xml:space="preserve">Safety4Sea: IMO postpones adoption of Net-Zero Framework. </w:t>
      </w:r>
      <w:hyperlink w:history="1" r:id="rId8b46d-vfs8sf1gldpfklq">
        <w:r>
          <w:rPr>
            <w:rStyle w:val="Hyperlink"/>
            <w:sz w:val="15"/>
            <w:szCs w:val="15"/>
          </w:rPr>
          <w:t xml:space="preserve">https://safety4sea.com/imo-decides-to-postpone-adoption-of-net-zero-framework/</w:t>
        </w:r>
      </w:hyperlink>
    </w:p>
    <w:p>
      <w:pPr>
        <w:spacing w:after="60" w:line="240"/>
        <w:ind w:left="480" w:hanging="480"/>
      </w:pPr>
      <w:r>
        <w:rPr>
          <w:b/>
          <w:bCs/>
          <w:color w:val="0B4F6C"/>
          <w:sz w:val="16"/>
          <w:szCs w:val="16"/>
        </w:rPr>
        <w:t xml:space="preserve">[20]	</w:t>
      </w:r>
      <w:r>
        <w:rPr>
          <w:sz w:val="16"/>
          <w:szCs w:val="16"/>
        </w:rPr>
        <w:t xml:space="preserve">Securities Commission Malaysia: FAQ on the National Sustainability Reporting Framework. </w:t>
      </w:r>
      <w:hyperlink w:history="1" r:id="rId9_a3fbn5nwjicejs1oxnm">
        <w:r>
          <w:rPr>
            <w:rStyle w:val="Hyperlink"/>
            <w:sz w:val="15"/>
            <w:szCs w:val="15"/>
          </w:rPr>
          <w:t xml:space="preserve">https://www.sc.com.my/api/documentms/download.ashx?id=2efe731e-20cf-4710-8104-d07762a4637b</w:t>
        </w:r>
      </w:hyperlink>
    </w:p>
    <w:p>
      <w:pPr>
        <w:spacing w:after="60" w:line="240"/>
        <w:ind w:left="480" w:hanging="480"/>
      </w:pPr>
      <w:r>
        <w:rPr>
          <w:b/>
          <w:bCs/>
          <w:color w:val="0B4F6C"/>
          <w:sz w:val="16"/>
          <w:szCs w:val="16"/>
        </w:rPr>
        <w:t xml:space="preserve">[21]	</w:t>
      </w:r>
      <w:r>
        <w:rPr>
          <w:sz w:val="16"/>
          <w:szCs w:val="16"/>
        </w:rPr>
        <w:t xml:space="preserve">IFRS Foundation: Malaysia jurisdictional profile. </w:t>
      </w:r>
      <w:hyperlink w:history="1" r:id="rIdnya1xbz-5dibzfj23l4io">
        <w:r>
          <w:rPr>
            <w:rStyle w:val="Hyperlink"/>
            <w:sz w:val="15"/>
            <w:szCs w:val="15"/>
          </w:rPr>
          <w:t xml:space="preserve">https://www.ifrs.org/content/dam/ifrs/publications/sustainability-jurisdictions/pdf-profiles/malaysia-ifrs-profile.pdf</w:t>
        </w:r>
      </w:hyperlink>
    </w:p>
    <w:p>
      <w:pPr>
        <w:spacing w:after="60" w:line="240"/>
        <w:ind w:left="480" w:hanging="480"/>
      </w:pPr>
      <w:r>
        <w:rPr>
          <w:b/>
          <w:bCs/>
          <w:color w:val="0B4F6C"/>
          <w:sz w:val="16"/>
          <w:szCs w:val="16"/>
        </w:rPr>
        <w:t xml:space="preserve">[22]	</w:t>
      </w:r>
      <w:r>
        <w:rPr>
          <w:sz w:val="16"/>
          <w:szCs w:val="16"/>
        </w:rPr>
        <w:t xml:space="preserve">Bursa Malaysia: Media release on sustainability reporting using IFRS Sustainability Disclosure Standards (23 Dec 2024). </w:t>
      </w:r>
      <w:hyperlink w:history="1" r:id="rIdrx6bateqlxoda02t0wn9d">
        <w:r>
          <w:rPr>
            <w:rStyle w:val="Hyperlink"/>
            <w:sz w:val="15"/>
            <w:szCs w:val="15"/>
          </w:rPr>
          <w:t xml:space="preserve">https://www.bursamalaysia.com/sites/5bb54be15f36ca0af339077a/content_entry5c11a9db758f8d31544574c6/6768e229e6414a4ba0eb9f4d/files/23122024__MEDIA_RELEASE_BURSA_MALAYSIA_REQUIRES_SUSTAINABILITY_REPORTING_USING_THE_IFRS_SUSTAINABILITY_DISCLOSURE_STANDARDS.pdf</w:t>
        </w:r>
      </w:hyperlink>
    </w:p>
    <w:p>
      <w:pPr>
        <w:spacing w:after="60" w:line="240"/>
        <w:ind w:left="480" w:hanging="480"/>
      </w:pPr>
      <w:r>
        <w:rPr>
          <w:b/>
          <w:bCs/>
          <w:color w:val="0B4F6C"/>
          <w:sz w:val="16"/>
          <w:szCs w:val="16"/>
        </w:rPr>
        <w:t xml:space="preserve">[23]	</w:t>
      </w:r>
      <w:r>
        <w:rPr>
          <w:sz w:val="16"/>
          <w:szCs w:val="16"/>
        </w:rPr>
        <w:t xml:space="preserve">The Star: Carbon tax plan put on hold amid Middle East tensions (21 Apr 2026). </w:t>
      </w:r>
      <w:hyperlink w:history="1" r:id="rIda00issu3ymdsalp95ikvp">
        <w:r>
          <w:rPr>
            <w:rStyle w:val="Hyperlink"/>
            <w:sz w:val="15"/>
            <w:szCs w:val="15"/>
          </w:rPr>
          <w:t xml:space="preserve">https://www.thestar.com.my/news/nation/2026/04/21/carbon-tax-plan-put-on-hold-amid-middle-east-tensions-says-kurup</w:t>
        </w:r>
      </w:hyperlink>
    </w:p>
    <w:p>
      <w:pPr>
        <w:spacing w:after="60" w:line="240"/>
        <w:ind w:left="480" w:hanging="480"/>
      </w:pPr>
      <w:r>
        <w:rPr>
          <w:b/>
          <w:bCs/>
          <w:color w:val="0B4F6C"/>
          <w:sz w:val="16"/>
          <w:szCs w:val="16"/>
        </w:rPr>
        <w:t xml:space="preserve">[24]	</w:t>
      </w:r>
      <w:r>
        <w:rPr>
          <w:sz w:val="16"/>
          <w:szCs w:val="16"/>
        </w:rPr>
        <w:t xml:space="preserve">Argus: Malaysia unveils 2026 budget, to implement carbon tax. </w:t>
      </w:r>
      <w:hyperlink w:history="1" r:id="rIda4znyzqyttzcpbt0szz5i">
        <w:r>
          <w:rPr>
            <w:rStyle w:val="Hyperlink"/>
            <w:sz w:val="15"/>
            <w:szCs w:val="15"/>
          </w:rPr>
          <w:t xml:space="preserve">https://www.argusmedia.com/en/news-and-insights/latest-market-news/2741520-malaysia-unveils-2026-budget-to-implement-carbon-tax</w:t>
        </w:r>
      </w:hyperlink>
    </w:p>
    <w:p>
      <w:pPr>
        <w:spacing w:after="60" w:line="240"/>
        <w:ind w:left="480" w:hanging="480"/>
      </w:pPr>
      <w:r>
        <w:rPr>
          <w:b/>
          <w:bCs/>
          <w:color w:val="0B4F6C"/>
          <w:sz w:val="16"/>
          <w:szCs w:val="16"/>
        </w:rPr>
        <w:t xml:space="preserve">[25]	</w:t>
      </w:r>
      <w:r>
        <w:rPr>
          <w:sz w:val="16"/>
          <w:szCs w:val="16"/>
        </w:rPr>
        <w:t xml:space="preserve">The Edge Malaysia: National Carbon Market Policy launched. </w:t>
      </w:r>
      <w:hyperlink w:history="1" r:id="rIdip_bgedu86ia9rgkvwmyv">
        <w:r>
          <w:rPr>
            <w:rStyle w:val="Hyperlink"/>
            <w:sz w:val="15"/>
            <w:szCs w:val="15"/>
          </w:rPr>
          <w:t xml:space="preserve">https://theedgemalaysia.com/node/800680</w:t>
        </w:r>
      </w:hyperlink>
    </w:p>
    <w:p>
      <w:pPr>
        <w:spacing w:after="60" w:line="240"/>
        <w:ind w:left="480" w:hanging="480"/>
      </w:pPr>
      <w:r>
        <w:rPr>
          <w:b/>
          <w:bCs/>
          <w:color w:val="0B4F6C"/>
          <w:sz w:val="16"/>
          <w:szCs w:val="16"/>
        </w:rPr>
        <w:t xml:space="preserve">[26]	</w:t>
      </w:r>
      <w:r>
        <w:rPr>
          <w:sz w:val="16"/>
          <w:szCs w:val="16"/>
        </w:rPr>
        <w:t xml:space="preserve">Malay Mail: Malaysia's Climate Change Bill to pave way for carbon tax (13 Mar 2026). </w:t>
      </w:r>
      <w:hyperlink w:history="1" r:id="rIdytyjw9x3m6muzuefmtrnx">
        <w:r>
          <w:rPr>
            <w:rStyle w:val="Hyperlink"/>
            <w:sz w:val="15"/>
            <w:szCs w:val="15"/>
          </w:rPr>
          <w:t xml:space="preserve">https://www.malaymail.com/news/malaysia/2026/03/13/malaysias-climate-change-bill-to-pave-way-for-carbon-tax-from-2026-says-ministry/212564</w:t>
        </w:r>
      </w:hyperlink>
    </w:p>
    <w:p>
      <w:pPr>
        <w:spacing w:after="60" w:line="240"/>
        <w:ind w:left="480" w:hanging="480"/>
      </w:pPr>
      <w:r>
        <w:rPr>
          <w:b/>
          <w:bCs/>
          <w:color w:val="0B4F6C"/>
          <w:sz w:val="16"/>
          <w:szCs w:val="16"/>
        </w:rPr>
        <w:t xml:space="preserve">[27]	</w:t>
      </w:r>
      <w:r>
        <w:rPr>
          <w:sz w:val="16"/>
          <w:szCs w:val="16"/>
        </w:rPr>
        <w:t xml:space="preserve">UNFCCC: Malaysia NDC 3.0 (Oct 2025). </w:t>
      </w:r>
      <w:hyperlink w:history="1" r:id="rIdrdpdjdds3ekq-k9871os1">
        <w:r>
          <w:rPr>
            <w:rStyle w:val="Hyperlink"/>
            <w:sz w:val="15"/>
            <w:szCs w:val="15"/>
          </w:rPr>
          <w:t xml:space="preserve">https://unfccc.int/sites/default/files/2025-10/Malaysia%20NDC%203.0%20to%20UNFCCC%202025%20final.pdf</w:t>
        </w:r>
      </w:hyperlink>
    </w:p>
    <w:p>
      <w:pPr>
        <w:spacing w:after="60" w:line="240"/>
        <w:ind w:left="480" w:hanging="480"/>
      </w:pPr>
      <w:r>
        <w:rPr>
          <w:b/>
          <w:bCs/>
          <w:color w:val="0B4F6C"/>
          <w:sz w:val="16"/>
          <w:szCs w:val="16"/>
        </w:rPr>
        <w:t xml:space="preserve">[28]	</w:t>
      </w:r>
      <w:r>
        <w:rPr>
          <w:sz w:val="16"/>
          <w:szCs w:val="16"/>
        </w:rPr>
        <w:t xml:space="preserve">Capital Markets Malaysia: Simplified ESG Disclosure Guide (SEDG) for SMEs. </w:t>
      </w:r>
      <w:hyperlink w:history="1" r:id="rIdzl7n3i-pwgmsxgl9ptucm">
        <w:r>
          <w:rPr>
            <w:rStyle w:val="Hyperlink"/>
            <w:sz w:val="15"/>
            <w:szCs w:val="15"/>
          </w:rPr>
          <w:t xml:space="preserve">https://www.capitalmarketsmalaysia.com/simplified-esg-disclosure-guide-sedg-for-smes/</w:t>
        </w:r>
      </w:hyperlink>
    </w:p>
    <w:p>
      <w:pPr>
        <w:spacing w:after="60" w:line="240"/>
        <w:ind w:left="480" w:hanging="480"/>
      </w:pPr>
      <w:r>
        <w:rPr>
          <w:b/>
          <w:bCs/>
          <w:color w:val="0B4F6C"/>
          <w:sz w:val="16"/>
          <w:szCs w:val="16"/>
        </w:rPr>
        <w:t xml:space="preserve">[29]	</w:t>
      </w:r>
      <w:r>
        <w:rPr>
          <w:sz w:val="16"/>
          <w:szCs w:val="16"/>
        </w:rPr>
        <w:t xml:space="preserve">TNGlobal: CMM expands SEDG with GHG emission calculator for SMEs (Jul 2025). </w:t>
      </w:r>
      <w:hyperlink w:history="1" r:id="rIdirv0v9wdg58f2usjdw_sw">
        <w:r>
          <w:rPr>
            <w:rStyle w:val="Hyperlink"/>
            <w:sz w:val="15"/>
            <w:szCs w:val="15"/>
          </w:rPr>
          <w:t xml:space="preserve">https://technode.global/2025/07/23/capital-markets-malaysia-expands-simplified-esg-disclosure-guide-with-ghg-emission-calculator-for-smes/</w:t>
        </w:r>
      </w:hyperlink>
    </w:p>
    <w:p>
      <w:pPr>
        <w:spacing w:after="60" w:line="240"/>
        <w:ind w:left="480" w:hanging="480"/>
      </w:pPr>
      <w:r>
        <w:rPr>
          <w:b/>
          <w:bCs/>
          <w:color w:val="0B4F6C"/>
          <w:sz w:val="16"/>
          <w:szCs w:val="16"/>
        </w:rPr>
        <w:t xml:space="preserve">[30]	</w:t>
      </w:r>
      <w:r>
        <w:rPr>
          <w:sz w:val="16"/>
          <w:szCs w:val="16"/>
        </w:rPr>
        <w:t xml:space="preserve">Grant Thornton Malaysia: ESG tax deduction rules. </w:t>
      </w:r>
      <w:hyperlink w:history="1" r:id="rId9gmo9ltjltwi9l3jpziaf">
        <w:r>
          <w:rPr>
            <w:rStyle w:val="Hyperlink"/>
            <w:sz w:val="15"/>
            <w:szCs w:val="15"/>
          </w:rPr>
          <w:t xml:space="preserve">https://www.grantthornton.com.my/insights/Tax/tax-alert-ESG-Tax-Deduction-Rules/</w:t>
        </w:r>
      </w:hyperlink>
    </w:p>
    <w:p>
      <w:pPr>
        <w:spacing w:after="60" w:line="240"/>
        <w:ind w:left="480" w:hanging="480"/>
      </w:pPr>
      <w:r>
        <w:rPr>
          <w:b/>
          <w:bCs/>
          <w:color w:val="0B4F6C"/>
          <w:sz w:val="16"/>
          <w:szCs w:val="16"/>
        </w:rPr>
        <w:t xml:space="preserve">[31]	</w:t>
      </w:r>
      <w:r>
        <w:rPr>
          <w:sz w:val="16"/>
          <w:szCs w:val="16"/>
        </w:rPr>
        <w:t xml:space="preserve">MITI: National Industry ESG (i-ESG) Framework. </w:t>
      </w:r>
      <w:hyperlink w:history="1" r:id="rIdbxtgw9mbth-rkecoyfmxz">
        <w:r>
          <w:rPr>
            <w:rStyle w:val="Hyperlink"/>
            <w:sz w:val="15"/>
            <w:szCs w:val="15"/>
          </w:rPr>
          <w:t xml:space="preserve">https://www.miti.gov.my/index.php/pages/view/9849</w:t>
        </w:r>
      </w:hyperlink>
    </w:p>
    <w:p>
      <w:pPr>
        <w:spacing w:after="60" w:line="240"/>
        <w:ind w:left="480" w:hanging="480"/>
      </w:pPr>
      <w:r>
        <w:rPr>
          <w:b/>
          <w:bCs/>
          <w:color w:val="0B4F6C"/>
          <w:sz w:val="16"/>
          <w:szCs w:val="16"/>
        </w:rPr>
        <w:t xml:space="preserve">[32]	</w:t>
      </w:r>
      <w:r>
        <w:rPr>
          <w:sz w:val="16"/>
          <w:szCs w:val="16"/>
        </w:rPr>
        <w:t xml:space="preserve">SME Corp Malaysia: MSME statistics. </w:t>
      </w:r>
      <w:hyperlink w:history="1" r:id="rIdjhjl67x28v9fbcva_rzod">
        <w:r>
          <w:rPr>
            <w:rStyle w:val="Hyperlink"/>
            <w:sz w:val="15"/>
            <w:szCs w:val="15"/>
          </w:rPr>
          <w:t xml:space="preserve">https://smecorp.gov.my/index.php/my/news/4986-msmes-in-malaysia-scale-up-with-35-8-rise-in-small-enterprises</w:t>
        </w:r>
      </w:hyperlink>
    </w:p>
    <w:p>
      <w:pPr>
        <w:spacing w:after="60" w:line="240"/>
        <w:ind w:left="480" w:hanging="480"/>
      </w:pPr>
      <w:r>
        <w:rPr>
          <w:b/>
          <w:bCs/>
          <w:color w:val="0B4F6C"/>
          <w:sz w:val="16"/>
          <w:szCs w:val="16"/>
        </w:rPr>
        <w:t xml:space="preserve">[33]	</w:t>
      </w:r>
      <w:r>
        <w:rPr>
          <w:sz w:val="16"/>
          <w:szCs w:val="16"/>
        </w:rPr>
        <w:t xml:space="preserve">Bank Negara Malaysia: JC3 SME Focus Group climate conference for SMEs (2025). </w:t>
      </w:r>
      <w:hyperlink w:history="1" r:id="rIdhm3zamab0o0mo-asotpd6">
        <w:r>
          <w:rPr>
            <w:rStyle w:val="Hyperlink"/>
            <w:sz w:val="15"/>
            <w:szCs w:val="15"/>
          </w:rPr>
          <w:t xml:space="preserve">https://www.bnm.gov.my/-/sfg25pr</w:t>
        </w:r>
      </w:hyperlink>
    </w:p>
    <w:p>
      <w:pPr>
        <w:spacing w:after="60" w:line="240"/>
        <w:ind w:left="480" w:hanging="480"/>
      </w:pPr>
      <w:r>
        <w:rPr>
          <w:b/>
          <w:bCs/>
          <w:color w:val="0B4F6C"/>
          <w:sz w:val="16"/>
          <w:szCs w:val="16"/>
        </w:rPr>
        <w:t xml:space="preserve">[34]	</w:t>
      </w:r>
      <w:r>
        <w:rPr>
          <w:sz w:val="16"/>
          <w:szCs w:val="16"/>
        </w:rPr>
        <w:t xml:space="preserve">The Edge Malaysia: JC3 SME Focus Group launches ESG Jumpstart portal. </w:t>
      </w:r>
      <w:hyperlink w:history="1" r:id="rIdzjmj3dbe0mpziyhdwkad-">
        <w:r>
          <w:rPr>
            <w:rStyle w:val="Hyperlink"/>
            <w:sz w:val="15"/>
            <w:szCs w:val="15"/>
          </w:rPr>
          <w:t xml:space="preserve">https://theedgemalaysia.com/node/687376</w:t>
        </w:r>
      </w:hyperlink>
    </w:p>
    <w:p>
      <w:pPr>
        <w:spacing w:after="60" w:line="240"/>
        <w:ind w:left="480" w:hanging="480"/>
      </w:pPr>
      <w:r>
        <w:rPr>
          <w:b/>
          <w:bCs/>
          <w:color w:val="0B4F6C"/>
          <w:sz w:val="16"/>
          <w:szCs w:val="16"/>
        </w:rPr>
        <w:t xml:space="preserve">[35]	</w:t>
      </w:r>
      <w:r>
        <w:rPr>
          <w:sz w:val="16"/>
          <w:szCs w:val="16"/>
        </w:rPr>
        <w:t xml:space="preserve">MGTC: Low Carbon Operating System (LCOS). </w:t>
      </w:r>
      <w:hyperlink w:history="1" r:id="rIdgzajwftkmbyh-5ou5sohc">
        <w:r>
          <w:rPr>
            <w:rStyle w:val="Hyperlink"/>
            <w:sz w:val="15"/>
            <w:szCs w:val="15"/>
          </w:rPr>
          <w:t xml:space="preserve">https://www.mgtc.gov.my/lcos/</w:t>
        </w:r>
      </w:hyperlink>
    </w:p>
    <w:p>
      <w:pPr>
        <w:spacing w:after="60" w:line="240"/>
        <w:ind w:left="480" w:hanging="480"/>
      </w:pPr>
      <w:r>
        <w:rPr>
          <w:b/>
          <w:bCs/>
          <w:color w:val="0B4F6C"/>
          <w:sz w:val="16"/>
          <w:szCs w:val="16"/>
        </w:rPr>
        <w:t xml:space="preserve">[36]	</w:t>
      </w:r>
      <w:r>
        <w:rPr>
          <w:sz w:val="16"/>
          <w:szCs w:val="16"/>
        </w:rPr>
        <w:t xml:space="preserve">Wood Mackenzie: Johor data centre expansion. </w:t>
      </w:r>
      <w:hyperlink w:history="1" r:id="rIdqtixtfyqr997xsfwrzryx">
        <w:r>
          <w:rPr>
            <w:rStyle w:val="Hyperlink"/>
            <w:sz w:val="15"/>
            <w:szCs w:val="15"/>
          </w:rPr>
          <w:t xml:space="preserve">https://www.woodmac.com/press-releases/jb-data-center-expansion/</w:t>
        </w:r>
      </w:hyperlink>
    </w:p>
    <w:p>
      <w:pPr>
        <w:spacing w:after="60" w:line="240"/>
        <w:ind w:left="480" w:hanging="480"/>
      </w:pPr>
      <w:r>
        <w:rPr>
          <w:b/>
          <w:bCs/>
          <w:color w:val="0B4F6C"/>
          <w:sz w:val="16"/>
          <w:szCs w:val="16"/>
        </w:rPr>
        <w:t xml:space="preserve">[37]	</w:t>
      </w:r>
      <w:r>
        <w:rPr>
          <w:sz w:val="16"/>
          <w:szCs w:val="16"/>
        </w:rPr>
        <w:t xml:space="preserve">Eco-Business: Malaysia's chip boom risks soaring Scope 2 emissions. </w:t>
      </w:r>
      <w:hyperlink w:history="1" r:id="rIdthzaipo-oflsyncmhrxap">
        <w:r>
          <w:rPr>
            <w:rStyle w:val="Hyperlink"/>
            <w:sz w:val="15"/>
            <w:szCs w:val="15"/>
          </w:rPr>
          <w:t xml:space="preserve">https://www.eco-business.com/news/malaysias-chip-boom-risks-soaring-scope-2-emissions-experts-warn/</w:t>
        </w:r>
      </w:hyperlink>
    </w:p>
    <w:p>
      <w:pPr>
        <w:spacing w:after="60" w:line="240"/>
        <w:ind w:left="480" w:hanging="480"/>
      </w:pPr>
      <w:r>
        <w:rPr>
          <w:b/>
          <w:bCs/>
          <w:color w:val="0B4F6C"/>
          <w:sz w:val="16"/>
          <w:szCs w:val="16"/>
        </w:rPr>
        <w:t xml:space="preserve">[38]	</w:t>
      </w:r>
      <w:r>
        <w:rPr>
          <w:sz w:val="16"/>
          <w:szCs w:val="16"/>
        </w:rPr>
        <w:t xml:space="preserve">HKEX: Bursa Malaysia added as Recognised Stock Exchange (Jul 2026). </w:t>
      </w:r>
      <w:hyperlink w:history="1" r:id="rIddscrdg8o7_vk9iunhkgrb">
        <w:r>
          <w:rPr>
            <w:rStyle w:val="Hyperlink"/>
            <w:sz w:val="15"/>
            <w:szCs w:val="15"/>
          </w:rPr>
          <w:t xml:space="preserve">https://www.hkex.com.hk/News/News-Release/2026/260723news?sc_lang=en</w:t>
        </w:r>
      </w:hyperlink>
    </w:p>
    <w:p>
      <w:pPr>
        <w:spacing w:after="60" w:line="240"/>
        <w:ind w:left="480" w:hanging="480"/>
      </w:pPr>
      <w:r>
        <w:rPr>
          <w:b/>
          <w:bCs/>
          <w:color w:val="0B4F6C"/>
          <w:sz w:val="16"/>
          <w:szCs w:val="16"/>
        </w:rPr>
        <w:t xml:space="preserve">[39]	</w:t>
      </w:r>
      <w:r>
        <w:rPr>
          <w:sz w:val="16"/>
          <w:szCs w:val="16"/>
        </w:rPr>
        <w:t xml:space="preserve">Bernama: IGEM 2026. </w:t>
      </w:r>
      <w:hyperlink w:history="1" r:id="rIdrt38asi5inlimm4oi62du">
        <w:r>
          <w:rPr>
            <w:rStyle w:val="Hyperlink"/>
            <w:sz w:val="15"/>
            <w:szCs w:val="15"/>
          </w:rPr>
          <w:t xml:space="preserve">https://www.bernama.com/en/general/news.php?id=2610399</w:t>
        </w:r>
      </w:hyperlink>
    </w:p>
    <w:p>
      <w:pPr>
        <w:spacing w:after="60" w:line="240"/>
        <w:ind w:left="480" w:hanging="480"/>
      </w:pPr>
      <w:r>
        <w:rPr>
          <w:b/>
          <w:bCs/>
          <w:color w:val="0B4F6C"/>
          <w:sz w:val="16"/>
          <w:szCs w:val="16"/>
        </w:rPr>
        <w:t xml:space="preserve">[40]	</w:t>
      </w:r>
      <w:r>
        <w:rPr>
          <w:sz w:val="16"/>
          <w:szCs w:val="16"/>
        </w:rPr>
        <w:t xml:space="preserve">IAI: Indonesia launches Sustainability Disclosure Standards based on IFRS S1 and S2. </w:t>
      </w:r>
      <w:hyperlink w:history="1" r:id="rIdzmrrsy63wer1txu45hmro">
        <w:r>
          <w:rPr>
            <w:rStyle w:val="Hyperlink"/>
            <w:sz w:val="15"/>
            <w:szCs w:val="15"/>
          </w:rPr>
          <w:t xml:space="preserve">https://web.iaiglobal.or.id/Berita-IAI/detail/indonesia_launches_sustainability_disclosure_standards_based_on_ifrs_s1_and_s2</w:t>
        </w:r>
      </w:hyperlink>
    </w:p>
    <w:p>
      <w:pPr>
        <w:spacing w:after="60" w:line="240"/>
        <w:ind w:left="480" w:hanging="480"/>
      </w:pPr>
      <w:r>
        <w:rPr>
          <w:b/>
          <w:bCs/>
          <w:color w:val="0B4F6C"/>
          <w:sz w:val="16"/>
          <w:szCs w:val="16"/>
        </w:rPr>
        <w:t xml:space="preserve">[41]	</w:t>
      </w:r>
      <w:r>
        <w:rPr>
          <w:sz w:val="16"/>
          <w:szCs w:val="16"/>
        </w:rPr>
        <w:t xml:space="preserve">OJK: Draft regulation (RPOJK) on sustainable finance for financial institutions, issuers and public companies (2026). </w:t>
      </w:r>
      <w:hyperlink w:history="1" r:id="rIdqvf0gbnlwro21dnsfpgt_">
        <w:r>
          <w:rPr>
            <w:rStyle w:val="Hyperlink"/>
            <w:sz w:val="15"/>
            <w:szCs w:val="15"/>
          </w:rPr>
          <w:t xml:space="preserve">https://ojk.go.id/id/regulasi/otoritas-jasa-keuangan/rancangan-regulasi/Pages/default.aspx</w:t>
        </w:r>
      </w:hyperlink>
    </w:p>
    <w:p>
      <w:pPr>
        <w:spacing w:after="60" w:line="240"/>
        <w:ind w:left="480" w:hanging="480"/>
      </w:pPr>
      <w:r>
        <w:rPr>
          <w:b/>
          <w:bCs/>
          <w:color w:val="0B4F6C"/>
          <w:sz w:val="16"/>
          <w:szCs w:val="16"/>
        </w:rPr>
        <w:t xml:space="preserve">[42]	</w:t>
      </w:r>
      <w:r>
        <w:rPr>
          <w:sz w:val="16"/>
          <w:szCs w:val="16"/>
        </w:rPr>
        <w:t xml:space="preserve">IAS Plus: Indonesian regulator consults on mandating ISSB-aligned sustainability reporting (Feb 2026). </w:t>
      </w:r>
      <w:hyperlink w:history="1" r:id="rIdyj9i9ggdj1b-3aw5k63hm">
        <w:r>
          <w:rPr>
            <w:rStyle w:val="Hyperlink"/>
            <w:sz w:val="15"/>
            <w:szCs w:val="15"/>
          </w:rPr>
          <w:t xml:space="preserve">https://www.iasplus.com/en/news/2026/02/indonesia-issb</w:t>
        </w:r>
      </w:hyperlink>
    </w:p>
    <w:p>
      <w:pPr>
        <w:spacing w:after="60" w:line="240"/>
        <w:ind w:left="480" w:hanging="480"/>
      </w:pPr>
      <w:r>
        <w:rPr>
          <w:b/>
          <w:bCs/>
          <w:color w:val="0B4F6C"/>
          <w:sz w:val="16"/>
          <w:szCs w:val="16"/>
        </w:rPr>
        <w:t xml:space="preserve">[43]	</w:t>
      </w:r>
      <w:r>
        <w:rPr>
          <w:sz w:val="16"/>
          <w:szCs w:val="16"/>
        </w:rPr>
        <w:t xml:space="preserve">KPMG Indonesia: PSPK 1 and PSPK 2 at a glance (Oct 2025). </w:t>
      </w:r>
      <w:hyperlink w:history="1" r:id="rIdzextjkhxe5l9k8h1p22rr">
        <w:r>
          <w:rPr>
            <w:rStyle w:val="Hyperlink"/>
            <w:sz w:val="15"/>
            <w:szCs w:val="15"/>
          </w:rPr>
          <w:t xml:space="preserve">https://kpmg.com/id/en/insights/2025/10/id-at-a-glance-pspk1-pspk2.html</w:t>
        </w:r>
      </w:hyperlink>
    </w:p>
    <w:p>
      <w:pPr>
        <w:spacing w:after="60" w:line="240"/>
        <w:ind w:left="480" w:hanging="480"/>
      </w:pPr>
      <w:r>
        <w:rPr>
          <w:b/>
          <w:bCs/>
          <w:color w:val="0B4F6C"/>
          <w:sz w:val="16"/>
          <w:szCs w:val="16"/>
        </w:rPr>
        <w:t xml:space="preserve">[44]	</w:t>
      </w:r>
      <w:r>
        <w:rPr>
          <w:sz w:val="16"/>
          <w:szCs w:val="16"/>
        </w:rPr>
        <w:t xml:space="preserve">SSEK: New carbon trading framework under Presidential Regulation 110 of 2025. </w:t>
      </w:r>
      <w:hyperlink w:history="1" r:id="rIdgojrtiknmywhkpj1o57f4">
        <w:r>
          <w:rPr>
            <w:rStyle w:val="Hyperlink"/>
            <w:sz w:val="15"/>
            <w:szCs w:val="15"/>
          </w:rPr>
          <w:t xml:space="preserve">https://ssek.com/blog/indonesia-introduces-new-carbon-trading-framework-under-presidential-regulation-no-110-of-2025/</w:t>
        </w:r>
      </w:hyperlink>
    </w:p>
    <w:p>
      <w:pPr>
        <w:spacing w:after="60" w:line="240"/>
        <w:ind w:left="480" w:hanging="480"/>
      </w:pPr>
      <w:r>
        <w:rPr>
          <w:b/>
          <w:bCs/>
          <w:color w:val="0B4F6C"/>
          <w:sz w:val="16"/>
          <w:szCs w:val="16"/>
        </w:rPr>
        <w:t xml:space="preserve">[45]	</w:t>
      </w:r>
      <w:r>
        <w:rPr>
          <w:sz w:val="16"/>
          <w:szCs w:val="16"/>
        </w:rPr>
        <w:t xml:space="preserve">IISD: Carbon pricing in Southeast Asia, policy brief (Mar 2026). </w:t>
      </w:r>
      <w:hyperlink w:history="1" r:id="rIderf9igjd0npfiys6d3okt">
        <w:r>
          <w:rPr>
            <w:rStyle w:val="Hyperlink"/>
            <w:sz w:val="15"/>
            <w:szCs w:val="15"/>
          </w:rPr>
          <w:t xml:space="preserve">https://www.iisd.org/system/files/2026-03/carbon-pricing-southeast-asia.pdf</w:t>
        </w:r>
      </w:hyperlink>
    </w:p>
    <w:p>
      <w:pPr>
        <w:spacing w:after="60" w:line="240"/>
        <w:ind w:left="480" w:hanging="480"/>
      </w:pPr>
      <w:r>
        <w:rPr>
          <w:b/>
          <w:bCs/>
          <w:color w:val="0B4F6C"/>
          <w:sz w:val="16"/>
          <w:szCs w:val="16"/>
        </w:rPr>
        <w:t xml:space="preserve">[46]	</w:t>
      </w:r>
      <w:r>
        <w:rPr>
          <w:sz w:val="16"/>
          <w:szCs w:val="16"/>
        </w:rPr>
        <w:t xml:space="preserve">IDXCarbon: Monthly report, February 2026. </w:t>
      </w:r>
      <w:hyperlink w:history="1" r:id="rIdawgzbeys8-w_ijvwvu8qr">
        <w:r>
          <w:rPr>
            <w:rStyle w:val="Hyperlink"/>
            <w:sz w:val="15"/>
            <w:szCs w:val="15"/>
          </w:rPr>
          <w:t xml:space="preserve">https://www.idxcarbon.co.id/document/share/161/caf49365-34e4-4582-8cd3-bb660ebb126c</w:t>
        </w:r>
      </w:hyperlink>
    </w:p>
    <w:p>
      <w:pPr>
        <w:spacing w:after="60" w:line="240"/>
        <w:ind w:left="480" w:hanging="480"/>
      </w:pPr>
      <w:r>
        <w:rPr>
          <w:b/>
          <w:bCs/>
          <w:color w:val="0B4F6C"/>
          <w:sz w:val="16"/>
          <w:szCs w:val="16"/>
        </w:rPr>
        <w:t xml:space="preserve">[47]	</w:t>
      </w:r>
      <w:r>
        <w:rPr>
          <w:sz w:val="16"/>
          <w:szCs w:val="16"/>
        </w:rPr>
        <w:t xml:space="preserve">IEEFA: Two years after launch, Indonesia's carbon market struggles to find momentum. </w:t>
      </w:r>
      <w:hyperlink w:history="1" r:id="rIdxoc4hqopimn0sgv2eulrd">
        <w:r>
          <w:rPr>
            <w:rStyle w:val="Hyperlink"/>
            <w:sz w:val="15"/>
            <w:szCs w:val="15"/>
          </w:rPr>
          <w:t xml:space="preserve">https://ieefa.org/resources/two-years-after-launch-indonesias-carbon-market-struggles-find-momentum</w:t>
        </w:r>
      </w:hyperlink>
    </w:p>
    <w:p>
      <w:pPr>
        <w:spacing w:after="60" w:line="240"/>
        <w:ind w:left="480" w:hanging="480"/>
      </w:pPr>
      <w:r>
        <w:rPr>
          <w:b/>
          <w:bCs/>
          <w:color w:val="0B4F6C"/>
          <w:sz w:val="16"/>
          <w:szCs w:val="16"/>
        </w:rPr>
        <w:t xml:space="preserve">[48]	</w:t>
      </w:r>
      <w:r>
        <w:rPr>
          <w:sz w:val="16"/>
          <w:szCs w:val="16"/>
        </w:rPr>
        <w:t xml:space="preserve">ICAP: Indonesian Economic Value of Carbon trading scheme. </w:t>
      </w:r>
      <w:hyperlink w:history="1" r:id="rIdmabt0ujbaczvj-xztihro">
        <w:r>
          <w:rPr>
            <w:rStyle w:val="Hyperlink"/>
            <w:sz w:val="15"/>
            <w:szCs w:val="15"/>
          </w:rPr>
          <w:t xml:space="preserve">https://icapcarbonaction.com/en/ets/indonesian-economic-value-carbon-nilai-ekonomi-karbon-trading-scheme</w:t>
        </w:r>
      </w:hyperlink>
    </w:p>
    <w:p>
      <w:pPr>
        <w:spacing w:after="60" w:line="240"/>
        <w:ind w:left="480" w:hanging="480"/>
      </w:pPr>
      <w:r>
        <w:rPr>
          <w:b/>
          <w:bCs/>
          <w:color w:val="0B4F6C"/>
          <w:sz w:val="16"/>
          <w:szCs w:val="16"/>
        </w:rPr>
        <w:t xml:space="preserve">[49]	</w:t>
      </w:r>
      <w:r>
        <w:rPr>
          <w:sz w:val="16"/>
          <w:szCs w:val="16"/>
        </w:rPr>
        <w:t xml:space="preserve">ANTARA: Indonesia using SIINas to check industrial GHG emissions. </w:t>
      </w:r>
      <w:hyperlink w:history="1" r:id="rId7ruplvo0hecc2bcwyvcer">
        <w:r>
          <w:rPr>
            <w:rStyle w:val="Hyperlink"/>
            <w:sz w:val="15"/>
            <w:szCs w:val="15"/>
          </w:rPr>
          <w:t xml:space="preserve">https://en.antaranews.com/news/349697/indonesia-using-siinas-to-check-industrial-greenhouse-gas-emissions</w:t>
        </w:r>
      </w:hyperlink>
    </w:p>
    <w:p>
      <w:pPr>
        <w:spacing w:after="60" w:line="240"/>
        <w:ind w:left="480" w:hanging="480"/>
      </w:pPr>
      <w:r>
        <w:rPr>
          <w:b/>
          <w:bCs/>
          <w:color w:val="0B4F6C"/>
          <w:sz w:val="16"/>
          <w:szCs w:val="16"/>
        </w:rPr>
        <w:t xml:space="preserve">[50]	</w:t>
      </w:r>
      <w:r>
        <w:rPr>
          <w:sz w:val="16"/>
          <w:szCs w:val="16"/>
        </w:rPr>
        <w:t xml:space="preserve">IESR: Government finalises industrial decarbonisation roadmap. </w:t>
      </w:r>
      <w:hyperlink w:history="1" r:id="rIdrgkfunkuc0vfaxpsura5y">
        <w:r>
          <w:rPr>
            <w:rStyle w:val="Hyperlink"/>
            <w:sz w:val="15"/>
            <w:szCs w:val="15"/>
          </w:rPr>
          <w:t xml:space="preserve">https://iesr.or.id/en/government-finalizes-industrial-decarbonization-roadmap/</w:t>
        </w:r>
      </w:hyperlink>
    </w:p>
    <w:p>
      <w:pPr>
        <w:spacing w:after="60" w:line="240"/>
        <w:ind w:left="480" w:hanging="480"/>
      </w:pPr>
      <w:r>
        <w:rPr>
          <w:b/>
          <w:bCs/>
          <w:color w:val="0B4F6C"/>
          <w:sz w:val="16"/>
          <w:szCs w:val="16"/>
        </w:rPr>
        <w:t xml:space="preserve">[51]	</w:t>
      </w:r>
      <w:r>
        <w:rPr>
          <w:sz w:val="16"/>
          <w:szCs w:val="16"/>
        </w:rPr>
        <w:t xml:space="preserve">OJK: Indonesia Taxonomy for Sustainable Finance (TKBI) version 2. </w:t>
      </w:r>
      <w:hyperlink w:history="1" r:id="rId4ms7bcj3mguposr_btkdd">
        <w:r>
          <w:rPr>
            <w:rStyle w:val="Hyperlink"/>
            <w:sz w:val="15"/>
            <w:szCs w:val="15"/>
          </w:rPr>
          <w:t xml:space="preserve">https://ojk.go.id/en/Publikasi/Roadmap-dan-Pedoman/Sektor-Jasa-Keuangan/Keuangan-Berkelanjutan/Pages/Taxonomy-for-Indonesian-Sustainable-Finance-2nd-Edition.aspx</w:t>
        </w:r>
      </w:hyperlink>
    </w:p>
    <w:p>
      <w:pPr>
        <w:spacing w:after="60" w:line="240"/>
        <w:ind w:left="480" w:hanging="480"/>
      </w:pPr>
      <w:r>
        <w:rPr>
          <w:b/>
          <w:bCs/>
          <w:color w:val="0B4F6C"/>
          <w:sz w:val="16"/>
          <w:szCs w:val="16"/>
        </w:rPr>
        <w:t xml:space="preserve">[52]	</w:t>
      </w:r>
      <w:r>
        <w:rPr>
          <w:sz w:val="16"/>
          <w:szCs w:val="16"/>
        </w:rPr>
        <w:t xml:space="preserve">PV Tech: Indonesia ratifies plans for 42.6 GW of renewable capacity (RUPTL 2025-2034). </w:t>
      </w:r>
      <w:hyperlink w:history="1" r:id="rIdibwqmogorpz1uulortom0">
        <w:r>
          <w:rPr>
            <w:rStyle w:val="Hyperlink"/>
            <w:sz w:val="15"/>
            <w:szCs w:val="15"/>
          </w:rPr>
          <w:t xml:space="preserve">https://www.pv-tech.org/indonesian-government-ratifies-plans-for-42-6gw-of-renewable-energy-capacity/</w:t>
        </w:r>
      </w:hyperlink>
    </w:p>
    <w:p>
      <w:pPr>
        <w:spacing w:after="60" w:line="240"/>
        <w:ind w:left="480" w:hanging="480"/>
      </w:pPr>
      <w:r>
        <w:rPr>
          <w:b/>
          <w:bCs/>
          <w:color w:val="0B4F6C"/>
          <w:sz w:val="16"/>
          <w:szCs w:val="16"/>
        </w:rPr>
        <w:t xml:space="preserve">[53]	</w:t>
      </w:r>
      <w:r>
        <w:rPr>
          <w:sz w:val="16"/>
          <w:szCs w:val="16"/>
        </w:rPr>
        <w:t xml:space="preserve">Mongabay: Indonesia pledges energy transition, but the country's new NDC says otherwise (Nov 2025). </w:t>
      </w:r>
      <w:hyperlink w:history="1" r:id="rId2zpz_tbd32elshxip6mjq">
        <w:r>
          <w:rPr>
            <w:rStyle w:val="Hyperlink"/>
            <w:sz w:val="15"/>
            <w:szCs w:val="15"/>
          </w:rPr>
          <w:t xml:space="preserve">https://news.mongabay.com/2025/11/indonesia-pledges-energy-transition-but-the-countrys-new-ndc-says-otherwise/</w:t>
        </w:r>
      </w:hyperlink>
    </w:p>
    <w:p>
      <w:pPr>
        <w:spacing w:after="60" w:line="240"/>
        <w:ind w:left="480" w:hanging="480"/>
      </w:pPr>
      <w:r>
        <w:rPr>
          <w:b/>
          <w:bCs/>
          <w:color w:val="0B4F6C"/>
          <w:sz w:val="16"/>
          <w:szCs w:val="16"/>
        </w:rPr>
        <w:t xml:space="preserve">[54]	</w:t>
      </w:r>
      <w:r>
        <w:rPr>
          <w:sz w:val="16"/>
          <w:szCs w:val="16"/>
        </w:rPr>
        <w:t xml:space="preserve">ANTARA: IDX says 873 listed companies submitted sustainability reports. </w:t>
      </w:r>
      <w:hyperlink w:history="1" r:id="rIdxn39awa1i3rxlpgf0pl7e">
        <w:r>
          <w:rPr>
            <w:rStyle w:val="Hyperlink"/>
            <w:sz w:val="15"/>
            <w:szCs w:val="15"/>
          </w:rPr>
          <w:t xml:space="preserve">https://www.antaranews.com/berita/4575678/bei-ungkap-873-perusahaan-tercatat-penuhi-laporan-keberlanjutan</w:t>
        </w:r>
      </w:hyperlink>
    </w:p>
    <w:p>
      <w:pPr>
        <w:spacing w:after="60" w:line="240"/>
        <w:ind w:left="480" w:hanging="480"/>
      </w:pPr>
      <w:r>
        <w:rPr>
          <w:b/>
          <w:bCs/>
          <w:color w:val="0B4F6C"/>
          <w:sz w:val="16"/>
          <w:szCs w:val="16"/>
        </w:rPr>
        <w:t xml:space="preserve">[55]	</w:t>
      </w:r>
      <w:r>
        <w:rPr>
          <w:sz w:val="16"/>
          <w:szCs w:val="16"/>
        </w:rPr>
        <w:t xml:space="preserve">Katadata: Listed companies on the IDX through April 2026. </w:t>
      </w:r>
      <w:hyperlink w:history="1" r:id="rIdamgot56xt9xoiskwliyqq">
        <w:r>
          <w:rPr>
            <w:rStyle w:val="Hyperlink"/>
            <w:sz w:val="15"/>
            <w:szCs w:val="15"/>
          </w:rPr>
          <w:t xml:space="preserve">https://databoks.katadata.co.id/en/market/statistics/6a24e09f528c8/listed-companies-on-the-idx-remained-relatively-stagnant-through-april-2026</w:t>
        </w:r>
      </w:hyperlink>
    </w:p>
    <w:p>
      <w:pPr>
        <w:spacing w:after="60" w:line="240"/>
        <w:ind w:left="480" w:hanging="480"/>
      </w:pPr>
      <w:r>
        <w:rPr>
          <w:b/>
          <w:bCs/>
          <w:color w:val="0B4F6C"/>
          <w:sz w:val="16"/>
          <w:szCs w:val="16"/>
        </w:rPr>
        <w:t xml:space="preserve">[56]	</w:t>
      </w:r>
      <w:r>
        <w:rPr>
          <w:sz w:val="16"/>
          <w:szCs w:val="16"/>
        </w:rPr>
        <w:t xml:space="preserve">NCCR: Asia Sustainability Reporting Rating (ASRRAT) 2026. </w:t>
      </w:r>
      <w:hyperlink w:history="1" r:id="rIdi5-uuoefsaa4l14x-lxna">
        <w:r>
          <w:rPr>
            <w:rStyle w:val="Hyperlink"/>
            <w:sz w:val="15"/>
            <w:szCs w:val="15"/>
          </w:rPr>
          <w:t xml:space="preserve">https://nccr.id/asrrat-2026/</w:t>
        </w:r>
      </w:hyperlink>
    </w:p>
    <w:p>
      <w:pPr>
        <w:spacing w:after="60" w:line="240"/>
        <w:ind w:left="480" w:hanging="480"/>
      </w:pPr>
      <w:r>
        <w:rPr>
          <w:b/>
          <w:bCs/>
          <w:color w:val="0B4F6C"/>
          <w:sz w:val="16"/>
          <w:szCs w:val="16"/>
        </w:rPr>
        <w:t xml:space="preserve">[57]	</w:t>
      </w:r>
      <w:r>
        <w:rPr>
          <w:sz w:val="16"/>
          <w:szCs w:val="16"/>
        </w:rPr>
        <w:t xml:space="preserve">TNGlobal: Jejakin secures US$2.7m funding. </w:t>
      </w:r>
      <w:hyperlink w:history="1" r:id="rIdt0zpia5hha0qfj6ztsuox">
        <w:r>
          <w:rPr>
            <w:rStyle w:val="Hyperlink"/>
            <w:sz w:val="15"/>
            <w:szCs w:val="15"/>
          </w:rPr>
          <w:t xml:space="preserve">https://technode.global/2024/05/13/indonesian-carbon-management-provider-jejakin-secures-new-funding-of-2-7m/</w:t>
        </w:r>
      </w:hyperlink>
    </w:p>
    <w:p>
      <w:pPr>
        <w:spacing w:after="60" w:line="240"/>
        <w:ind w:left="480" w:hanging="480"/>
      </w:pPr>
      <w:r>
        <w:rPr>
          <w:b/>
          <w:bCs/>
          <w:color w:val="0B4F6C"/>
          <w:sz w:val="16"/>
          <w:szCs w:val="16"/>
        </w:rPr>
        <w:t xml:space="preserve">[58]	</w:t>
      </w:r>
      <w:r>
        <w:rPr>
          <w:sz w:val="16"/>
          <w:szCs w:val="16"/>
        </w:rPr>
        <w:t xml:space="preserve">IESR: Green SMEs as the backbone of economic transformation. </w:t>
      </w:r>
      <w:hyperlink w:history="1" r:id="rId7uf1ecsdiv3q-oczcfmei">
        <w:r>
          <w:rPr>
            <w:rStyle w:val="Hyperlink"/>
            <w:sz w:val="15"/>
            <w:szCs w:val="15"/>
          </w:rPr>
          <w:t xml:space="preserve">https://iesr.or.id/en/green-smes-as-the-backbone-of-economic-transformation/</w:t>
        </w:r>
      </w:hyperlink>
    </w:p>
    <w:p>
      <w:pPr>
        <w:spacing w:after="60" w:line="240"/>
        <w:ind w:left="480" w:hanging="480"/>
      </w:pPr>
      <w:r>
        <w:rPr>
          <w:b/>
          <w:bCs/>
          <w:color w:val="0B4F6C"/>
          <w:sz w:val="16"/>
          <w:szCs w:val="16"/>
        </w:rPr>
        <w:t xml:space="preserve">[59]	</w:t>
      </w:r>
      <w:r>
        <w:rPr>
          <w:sz w:val="16"/>
          <w:szCs w:val="16"/>
        </w:rPr>
        <w:t xml:space="preserve">PaDi UMKM marketplace listing: sustainability report service at IDR 330m (price anchor). </w:t>
      </w:r>
      <w:hyperlink w:history="1" r:id="rIdazqfzclyitb7quhd2kx3o">
        <w:r>
          <w:rPr>
            <w:rStyle w:val="Hyperlink"/>
            <w:sz w:val="15"/>
            <w:szCs w:val="15"/>
          </w:rPr>
          <w:t xml:space="preserve">https://padiumkm.id/store/673d6ebadd1761cb2352a713</w:t>
        </w:r>
      </w:hyperlink>
    </w:p>
    <w:p>
      <w:pPr>
        <w:spacing w:after="60" w:line="240"/>
        <w:ind w:left="480" w:hanging="480"/>
      </w:pPr>
      <w:r>
        <w:rPr>
          <w:b/>
          <w:bCs/>
          <w:color w:val="0B4F6C"/>
          <w:sz w:val="16"/>
          <w:szCs w:val="16"/>
        </w:rPr>
        <w:t xml:space="preserve">[60]	</w:t>
      </w:r>
      <w:r>
        <w:rPr>
          <w:sz w:val="16"/>
          <w:szCs w:val="16"/>
        </w:rPr>
        <w:t xml:space="preserve">CEPS: Compliance with the EU's battery carbon footprint requirements (2026). </w:t>
      </w:r>
      <w:hyperlink w:history="1" r:id="rIdm6ptlsonn-hrosdnijgpa">
        <w:r>
          <w:rPr>
            <w:rStyle w:val="Hyperlink"/>
            <w:sz w:val="15"/>
            <w:szCs w:val="15"/>
          </w:rPr>
          <w:t xml:space="preserve">https://cdn.ceps.eu/2026/02/IDA-2024-15_ERCC_BATRAW-2-1.pdf</w:t>
        </w:r>
      </w:hyperlink>
    </w:p>
    <w:p>
      <w:pPr>
        <w:spacing w:after="60" w:line="240"/>
        <w:ind w:left="480" w:hanging="480"/>
      </w:pPr>
      <w:r>
        <w:rPr>
          <w:b/>
          <w:bCs/>
          <w:color w:val="0B4F6C"/>
          <w:sz w:val="16"/>
          <w:szCs w:val="16"/>
        </w:rPr>
        <w:t xml:space="preserve">[61]	</w:t>
      </w:r>
      <w:r>
        <w:rPr>
          <w:sz w:val="16"/>
          <w:szCs w:val="16"/>
        </w:rPr>
        <w:t xml:space="preserve">Indonesia Sustainability Forum. </w:t>
      </w:r>
      <w:hyperlink w:history="1" r:id="rIdtsulvyqzrzyjwnmqs4fp3">
        <w:r>
          <w:rPr>
            <w:rStyle w:val="Hyperlink"/>
            <w:sz w:val="15"/>
            <w:szCs w:val="15"/>
          </w:rPr>
          <w:t xml:space="preserve">https://indonesiasustainabilityforum.co.id/</w:t>
        </w:r>
      </w:hyperlink>
    </w:p>
    <w:p>
      <w:pPr>
        <w:spacing w:after="60" w:line="240"/>
        <w:ind w:left="480" w:hanging="480"/>
      </w:pPr>
      <w:r>
        <w:rPr>
          <w:b/>
          <w:bCs/>
          <w:color w:val="0B4F6C"/>
          <w:sz w:val="16"/>
          <w:szCs w:val="16"/>
        </w:rPr>
        <w:t xml:space="preserve">[62]	</w:t>
      </w:r>
      <w:r>
        <w:rPr>
          <w:sz w:val="16"/>
          <w:szCs w:val="16"/>
        </w:rPr>
        <w:t xml:space="preserve">FSTB: Roadmap on Sustainability Disclosure in Hong Kong (Dec 2024). </w:t>
      </w:r>
      <w:hyperlink w:history="1" r:id="rIdxszbmue5a1ldcnlntxkxw">
        <w:r>
          <w:rPr>
            <w:rStyle w:val="Hyperlink"/>
            <w:sz w:val="15"/>
            <w:szCs w:val="15"/>
          </w:rPr>
          <w:t xml:space="preserve">https://www.fstb.gov.hk/fsb/en/publication/report/docs/FSTB_Roadmap2024_eBooklet_EN.pdf</w:t>
        </w:r>
      </w:hyperlink>
    </w:p>
    <w:p>
      <w:pPr>
        <w:spacing w:after="60" w:line="240"/>
        <w:ind w:left="480" w:hanging="480"/>
      </w:pPr>
      <w:r>
        <w:rPr>
          <w:b/>
          <w:bCs/>
          <w:color w:val="0B4F6C"/>
          <w:sz w:val="16"/>
          <w:szCs w:val="16"/>
        </w:rPr>
        <w:t xml:space="preserve">[63]	</w:t>
      </w:r>
      <w:r>
        <w:rPr>
          <w:sz w:val="16"/>
          <w:szCs w:val="16"/>
        </w:rPr>
        <w:t xml:space="preserve">AFRC: Press release on proposed mandatory sustainability assurance (29 Dec 2025). </w:t>
      </w:r>
      <w:hyperlink w:history="1" r:id="rId_2tiapjaqzw6ed0o9nilz">
        <w:r>
          <w:rPr>
            <w:rStyle w:val="Hyperlink"/>
            <w:sz w:val="15"/>
            <w:szCs w:val="15"/>
          </w:rPr>
          <w:t xml:space="preserve">https://www.afrc.org.hk/media/yjtbphlx/20251229-afrc-pr-consultation-paper-on-sustainability-assurance-en.pdf</w:t>
        </w:r>
      </w:hyperlink>
    </w:p>
    <w:p>
      <w:pPr>
        <w:spacing w:after="60" w:line="240"/>
        <w:ind w:left="480" w:hanging="480"/>
      </w:pPr>
      <w:r>
        <w:rPr>
          <w:b/>
          <w:bCs/>
          <w:color w:val="0B4F6C"/>
          <w:sz w:val="16"/>
          <w:szCs w:val="16"/>
        </w:rPr>
        <w:t xml:space="preserve">[64]	</w:t>
      </w:r>
      <w:r>
        <w:rPr>
          <w:sz w:val="16"/>
          <w:szCs w:val="16"/>
        </w:rPr>
        <w:t xml:space="preserve">AFRC: Consultation paper on sustainability assurance. </w:t>
      </w:r>
      <w:hyperlink w:history="1" r:id="rIdvg8ceotg5xk_pnfq7ynj2">
        <w:r>
          <w:rPr>
            <w:rStyle w:val="Hyperlink"/>
            <w:sz w:val="15"/>
            <w:szCs w:val="15"/>
          </w:rPr>
          <w:t xml:space="preserve">https://www.afrc.org.hk/media/bvadgtpj/afrc-consultation-paper-on-sustainability-assurance-en.pdf</w:t>
        </w:r>
      </w:hyperlink>
    </w:p>
    <w:p>
      <w:pPr>
        <w:spacing w:after="60" w:line="240"/>
        <w:ind w:left="480" w:hanging="480"/>
      </w:pPr>
      <w:r>
        <w:rPr>
          <w:b/>
          <w:bCs/>
          <w:color w:val="0B4F6C"/>
          <w:sz w:val="16"/>
          <w:szCs w:val="16"/>
        </w:rPr>
        <w:t xml:space="preserve">[65]	</w:t>
      </w:r>
      <w:r>
        <w:rPr>
          <w:sz w:val="16"/>
          <w:szCs w:val="16"/>
        </w:rPr>
        <w:t xml:space="preserve">HKEX: Annual Review of Issuers' Reports 2025. </w:t>
      </w:r>
      <w:hyperlink w:history="1" r:id="rIduetv1rp--uehzrsdzeymd">
        <w:r>
          <w:rPr>
            <w:rStyle w:val="Hyperlink"/>
            <w:sz w:val="15"/>
            <w:szCs w:val="15"/>
          </w:rPr>
          <w:t xml:space="preserve">https://www.hkex.com.hk/-/media/HKEX-Market/Listing/Rules-and-Guidance/Other-Resources/Exchanges-Review-of-Issuers-Annual-Disclosure/ARIR_2025.pdf</w:t>
        </w:r>
      </w:hyperlink>
    </w:p>
    <w:p>
      <w:pPr>
        <w:spacing w:after="60" w:line="240"/>
        <w:ind w:left="480" w:hanging="480"/>
      </w:pPr>
      <w:r>
        <w:rPr>
          <w:b/>
          <w:bCs/>
          <w:color w:val="0B4F6C"/>
          <w:sz w:val="16"/>
          <w:szCs w:val="16"/>
        </w:rPr>
        <w:t xml:space="preserve">[66]	</w:t>
      </w:r>
      <w:r>
        <w:rPr>
          <w:sz w:val="16"/>
          <w:szCs w:val="16"/>
        </w:rPr>
        <w:t xml:space="preserve">Skadden: HKEX consultation conclusions on enhancing climate-related disclosure. </w:t>
      </w:r>
      <w:hyperlink w:history="1" r:id="rIdekkni9csjtv_2kfqsnkk9">
        <w:r>
          <w:rPr>
            <w:rStyle w:val="Hyperlink"/>
            <w:sz w:val="15"/>
            <w:szCs w:val="15"/>
          </w:rPr>
          <w:t xml:space="preserve">https://www.skadden.com/insights/publications/2024/05/hkex-publishes-consultation-conclusions</w:t>
        </w:r>
      </w:hyperlink>
    </w:p>
    <w:p>
      <w:pPr>
        <w:spacing w:after="60" w:line="240"/>
        <w:ind w:left="480" w:hanging="480"/>
      </w:pPr>
      <w:r>
        <w:rPr>
          <w:b/>
          <w:bCs/>
          <w:color w:val="0B4F6C"/>
          <w:sz w:val="16"/>
          <w:szCs w:val="16"/>
        </w:rPr>
        <w:t xml:space="preserve">[67]	</w:t>
      </w:r>
      <w:r>
        <w:rPr>
          <w:sz w:val="16"/>
          <w:szCs w:val="16"/>
        </w:rPr>
        <w:t xml:space="preserve">HKSAR Government: Cross-Agency Steering Group strategic priorities 2026 to 2028. </w:t>
      </w:r>
      <w:hyperlink w:history="1" r:id="rId0vzrke36ymnwlm6fdzjjq">
        <w:r>
          <w:rPr>
            <w:rStyle w:val="Hyperlink"/>
            <w:sz w:val="15"/>
            <w:szCs w:val="15"/>
          </w:rPr>
          <w:t xml:space="preserve">https://www.info.gov.hk/gia/general/202601/30/P2026012900428.htm</w:t>
        </w:r>
      </w:hyperlink>
    </w:p>
    <w:p>
      <w:pPr>
        <w:spacing w:after="60" w:line="240"/>
        <w:ind w:left="480" w:hanging="480"/>
      </w:pPr>
      <w:r>
        <w:rPr>
          <w:b/>
          <w:bCs/>
          <w:color w:val="0B4F6C"/>
          <w:sz w:val="16"/>
          <w:szCs w:val="16"/>
        </w:rPr>
        <w:t xml:space="preserve">[68]	</w:t>
      </w:r>
      <w:r>
        <w:rPr>
          <w:sz w:val="16"/>
          <w:szCs w:val="16"/>
        </w:rPr>
        <w:t xml:space="preserve">HKSAR Government: First sector-based operational guide on transition finance (May 2026). </w:t>
      </w:r>
      <w:hyperlink w:history="1" r:id="rIdrwkq5ayaof3hmqoim2jjh">
        <w:r>
          <w:rPr>
            <w:rStyle w:val="Hyperlink"/>
            <w:sz w:val="15"/>
            <w:szCs w:val="15"/>
          </w:rPr>
          <w:t xml:space="preserve">https://www.info.gov.hk/gia/general/202605/15/P2026051500271.htm</w:t>
        </w:r>
      </w:hyperlink>
    </w:p>
    <w:p>
      <w:pPr>
        <w:spacing w:after="60" w:line="240"/>
        <w:ind w:left="480" w:hanging="480"/>
      </w:pPr>
      <w:r>
        <w:rPr>
          <w:b/>
          <w:bCs/>
          <w:color w:val="0B4F6C"/>
          <w:sz w:val="16"/>
          <w:szCs w:val="16"/>
        </w:rPr>
        <w:t xml:space="preserve">[69]	</w:t>
      </w:r>
      <w:r>
        <w:rPr>
          <w:sz w:val="16"/>
          <w:szCs w:val="16"/>
        </w:rPr>
        <w:t xml:space="preserve">HKMA: The Hong Kong bond market in 2025. </w:t>
      </w:r>
      <w:hyperlink w:history="1" r:id="rIdfvere2g8lvmo-qx902geq">
        <w:r>
          <w:rPr>
            <w:rStyle w:val="Hyperlink"/>
            <w:sz w:val="15"/>
            <w:szCs w:val="15"/>
          </w:rPr>
          <w:t xml:space="preserve">https://www.hkma.gov.hk/media/eng/publication-and-research/quarterly-bulletin/b202603/ra1.pdf</w:t>
        </w:r>
      </w:hyperlink>
    </w:p>
    <w:p>
      <w:pPr>
        <w:spacing w:after="60" w:line="240"/>
        <w:ind w:left="480" w:hanging="480"/>
      </w:pPr>
      <w:r>
        <w:rPr>
          <w:b/>
          <w:bCs/>
          <w:color w:val="0B4F6C"/>
          <w:sz w:val="16"/>
          <w:szCs w:val="16"/>
        </w:rPr>
        <w:t xml:space="preserve">[70]	</w:t>
      </w:r>
      <w:r>
        <w:rPr>
          <w:sz w:val="16"/>
          <w:szCs w:val="16"/>
        </w:rPr>
        <w:t xml:space="preserve">HKMA: Extension of the Green and Sustainable Finance Grant Scheme. </w:t>
      </w:r>
      <w:hyperlink w:history="1" r:id="rIdlminswh1jqidlxdmh-u5a">
        <w:r>
          <w:rPr>
            <w:rStyle w:val="Hyperlink"/>
            <w:sz w:val="15"/>
            <w:szCs w:val="15"/>
          </w:rPr>
          <w:t xml:space="preserve">https://www.hkma.gov.hk/eng/news-and-media/press-releases/2024/05/20240503-9/</w:t>
        </w:r>
      </w:hyperlink>
    </w:p>
    <w:p>
      <w:pPr>
        <w:spacing w:after="60" w:line="240"/>
        <w:ind w:left="480" w:hanging="480"/>
      </w:pPr>
      <w:r>
        <w:rPr>
          <w:b/>
          <w:bCs/>
          <w:color w:val="0B4F6C"/>
          <w:sz w:val="16"/>
          <w:szCs w:val="16"/>
        </w:rPr>
        <w:t xml:space="preserve">[71]	</w:t>
      </w:r>
      <w:r>
        <w:rPr>
          <w:sz w:val="16"/>
          <w:szCs w:val="16"/>
        </w:rPr>
        <w:t xml:space="preserve">CASG: Non-listed company questionnaire on climate and environmental risk. </w:t>
      </w:r>
      <w:hyperlink w:history="1" r:id="rIdteadfso7nofry-tot35wg">
        <w:r>
          <w:rPr>
            <w:rStyle w:val="Hyperlink"/>
            <w:sz w:val="15"/>
            <w:szCs w:val="15"/>
          </w:rPr>
          <w:t xml:space="preserve">https://www.sustainablefinance.org.hk/en/data-technology/casg-non-listed-company-questionnaire-on-climate-and-environmental-risk</w:t>
        </w:r>
      </w:hyperlink>
    </w:p>
    <w:p>
      <w:pPr>
        <w:spacing w:after="60" w:line="240"/>
        <w:ind w:left="480" w:hanging="480"/>
      </w:pPr>
      <w:r>
        <w:rPr>
          <w:b/>
          <w:bCs/>
          <w:color w:val="0B4F6C"/>
          <w:sz w:val="16"/>
          <w:szCs w:val="16"/>
        </w:rPr>
        <w:t xml:space="preserve">[72]	</w:t>
      </w:r>
      <w:r>
        <w:rPr>
          <w:sz w:val="16"/>
          <w:szCs w:val="16"/>
        </w:rPr>
        <w:t xml:space="preserve">Trade and Industry Department: What are SMEs (SME statistics). </w:t>
      </w:r>
      <w:hyperlink w:history="1" r:id="rIdb99upkzre9_z8u3gytqqr">
        <w:r>
          <w:rPr>
            <w:rStyle w:val="Hyperlink"/>
            <w:sz w:val="15"/>
            <w:szCs w:val="15"/>
          </w:rPr>
          <w:t xml:space="preserve">https://www.success.tid.gov.hk/english/aboutus/what_are_sme.html</w:t>
        </w:r>
      </w:hyperlink>
    </w:p>
    <w:p>
      <w:pPr>
        <w:spacing w:after="60" w:line="240"/>
        <w:ind w:left="480" w:hanging="480"/>
      </w:pPr>
      <w:r>
        <w:rPr>
          <w:b/>
          <w:bCs/>
          <w:color w:val="0B4F6C"/>
          <w:sz w:val="16"/>
          <w:szCs w:val="16"/>
        </w:rPr>
        <w:t xml:space="preserve">[73]	</w:t>
      </w:r>
      <w:r>
        <w:rPr>
          <w:sz w:val="16"/>
          <w:szCs w:val="16"/>
        </w:rPr>
        <w:t xml:space="preserve">HKU: Hong Kong SMEs show signs of uptake of sustainability and ESG. </w:t>
      </w:r>
      <w:hyperlink w:history="1" r:id="rIdbvohzgdiryfbfexa2n_4w">
        <w:r>
          <w:rPr>
            <w:rStyle w:val="Hyperlink"/>
            <w:sz w:val="15"/>
            <w:szCs w:val="15"/>
          </w:rPr>
          <w:t xml:space="preserve">https://hku.hk/press/press-releases/detail/24857.html</w:t>
        </w:r>
      </w:hyperlink>
    </w:p>
    <w:p>
      <w:pPr>
        <w:spacing w:after="60" w:line="240"/>
        <w:ind w:left="480" w:hanging="480"/>
      </w:pPr>
      <w:r>
        <w:rPr>
          <w:b/>
          <w:bCs/>
          <w:color w:val="0B4F6C"/>
          <w:sz w:val="16"/>
          <w:szCs w:val="16"/>
        </w:rPr>
        <w:t xml:space="preserve">[74]	</w:t>
      </w:r>
      <w:r>
        <w:rPr>
          <w:sz w:val="16"/>
          <w:szCs w:val="16"/>
        </w:rPr>
        <w:t xml:space="preserve">LegCo brief: Buildings Energy Efficiency (Amendment) Bill 2025. </w:t>
      </w:r>
      <w:hyperlink w:history="1" r:id="rIdgxstcmualhss10n2vlszy">
        <w:r>
          <w:rPr>
            <w:rStyle w:val="Hyperlink"/>
            <w:sz w:val="15"/>
            <w:szCs w:val="15"/>
          </w:rPr>
          <w:t xml:space="preserve">https://www.legco.gov.hk/yr2025/english/brief/eeb242622pt44_20250318-e.pdf</w:t>
        </w:r>
      </w:hyperlink>
    </w:p>
    <w:p>
      <w:pPr>
        <w:spacing w:after="60" w:line="240"/>
        <w:ind w:left="480" w:hanging="480"/>
      </w:pPr>
      <w:r>
        <w:rPr>
          <w:b/>
          <w:bCs/>
          <w:color w:val="0B4F6C"/>
          <w:sz w:val="16"/>
          <w:szCs w:val="16"/>
        </w:rPr>
        <w:t xml:space="preserve">[75]	</w:t>
      </w:r>
      <w:r>
        <w:rPr>
          <w:sz w:val="16"/>
          <w:szCs w:val="16"/>
        </w:rPr>
        <w:t xml:space="preserve">HKSAR Government: Climate targets of Hong Kong. </w:t>
      </w:r>
      <w:hyperlink w:history="1" r:id="rIddxenirfy78yrob37rrzv7">
        <w:r>
          <w:rPr>
            <w:rStyle w:val="Hyperlink"/>
            <w:sz w:val="15"/>
            <w:szCs w:val="15"/>
          </w:rPr>
          <w:t xml:space="preserve">https://cnsd.gov.hk/en/climate-ready/climate-targets-of-hk/</w:t>
        </w:r>
      </w:hyperlink>
    </w:p>
    <w:p>
      <w:pPr>
        <w:spacing w:after="60" w:line="240"/>
        <w:ind w:left="480" w:hanging="480"/>
      </w:pPr>
      <w:r>
        <w:rPr>
          <w:b/>
          <w:bCs/>
          <w:color w:val="0B4F6C"/>
          <w:sz w:val="16"/>
          <w:szCs w:val="16"/>
        </w:rPr>
        <w:t xml:space="preserve">[76]	</w:t>
      </w:r>
      <w:r>
        <w:rPr>
          <w:sz w:val="16"/>
          <w:szCs w:val="16"/>
        </w:rPr>
        <w:t xml:space="preserve">HKSAR: 2025 Policy Address. </w:t>
      </w:r>
      <w:hyperlink w:history="1" r:id="rId5ku6yzplzyerwbjrttljs">
        <w:r>
          <w:rPr>
            <w:rStyle w:val="Hyperlink"/>
            <w:sz w:val="15"/>
            <w:szCs w:val="15"/>
          </w:rPr>
          <w:t xml:space="preserve">https://www.policyaddress.gov.hk/2025/en/p65.html</w:t>
        </w:r>
      </w:hyperlink>
    </w:p>
    <w:p>
      <w:pPr>
        <w:spacing w:after="60" w:line="240"/>
        <w:ind w:left="480" w:hanging="480"/>
      </w:pPr>
      <w:r>
        <w:rPr>
          <w:b/>
          <w:bCs/>
          <w:color w:val="0B4F6C"/>
          <w:sz w:val="16"/>
          <w:szCs w:val="16"/>
        </w:rPr>
        <w:t xml:space="preserve">[77]	</w:t>
      </w:r>
      <w:r>
        <w:rPr>
          <w:sz w:val="16"/>
          <w:szCs w:val="16"/>
        </w:rPr>
        <w:t xml:space="preserve">CPA Compare: ESG reporting costs in Hong Kong 2026 (industry estimate). </w:t>
      </w:r>
      <w:hyperlink w:history="1" r:id="rIdcnhwdzeuylghqhrbm_4cy">
        <w:r>
          <w:rPr>
            <w:rStyle w:val="Hyperlink"/>
            <w:sz w:val="15"/>
            <w:szCs w:val="15"/>
          </w:rPr>
          <w:t xml:space="preserve">https://cpacompare.hk/blog/esg-%E5%A0%B1%E5%91%8A-%E9%A6%99%E6%B8%AF-2026-hkex-%E7%A2%B3%E6%8A%AB%E9%9C%B2-%E5%8F%AF%E6%8C%81%E7%BA%8C%E6%8A%AB%E9%9C%B2-%E4%B8%8A%E5%B8%82%E5%85%AC%E5%8F%B8</w:t>
        </w:r>
      </w:hyperlink>
    </w:p>
    <w:p>
      <w:pPr>
        <w:spacing w:after="60" w:line="240"/>
        <w:ind w:left="480" w:hanging="480"/>
      </w:pPr>
      <w:r>
        <w:rPr>
          <w:b/>
          <w:bCs/>
          <w:color w:val="0B4F6C"/>
          <w:sz w:val="16"/>
          <w:szCs w:val="16"/>
        </w:rPr>
        <w:t xml:space="preserve">[78]	</w:t>
      </w:r>
      <w:r>
        <w:rPr>
          <w:sz w:val="16"/>
          <w:szCs w:val="16"/>
        </w:rPr>
        <w:t xml:space="preserve">ESG Today: China releases corporate climate reporting standard. </w:t>
      </w:r>
      <w:hyperlink w:history="1" r:id="rIdixlzc0wbfoeb9cqgneg6m">
        <w:r>
          <w:rPr>
            <w:rStyle w:val="Hyperlink"/>
            <w:sz w:val="15"/>
            <w:szCs w:val="15"/>
          </w:rPr>
          <w:t xml:space="preserve">https://www.esgtoday.com/china-releases-corporate-climate-reporting-standard/</w:t>
        </w:r>
      </w:hyperlink>
    </w:p>
    <w:p>
      <w:pPr>
        <w:spacing w:after="60" w:line="240"/>
        <w:ind w:left="480" w:hanging="480"/>
      </w:pPr>
      <w:r>
        <w:rPr>
          <w:b/>
          <w:bCs/>
          <w:color w:val="0B4F6C"/>
          <w:sz w:val="16"/>
          <w:szCs w:val="16"/>
        </w:rPr>
        <w:t xml:space="preserve">[79]	</w:t>
      </w:r>
      <w:r>
        <w:rPr>
          <w:sz w:val="16"/>
          <w:szCs w:val="16"/>
        </w:rPr>
        <w:t xml:space="preserve">Messe Frankfurt: Eco Expo Asia. </w:t>
      </w:r>
      <w:hyperlink w:history="1" r:id="rIdvx9prwnylp1126qms8wif">
        <w:r>
          <w:rPr>
            <w:rStyle w:val="Hyperlink"/>
            <w:sz w:val="15"/>
            <w:szCs w:val="15"/>
          </w:rPr>
          <w:t xml:space="preserve">https://ecoexpoasia.hk.messefrankfurt.com/hongkong/en.html</w:t>
        </w:r>
      </w:hyperlink>
    </w:p>
    <w:p>
      <w:pPr>
        <w:spacing w:after="60" w:line="240"/>
        <w:ind w:left="480" w:hanging="480"/>
      </w:pPr>
      <w:r>
        <w:rPr>
          <w:b/>
          <w:bCs/>
          <w:color w:val="0B4F6C"/>
          <w:sz w:val="16"/>
          <w:szCs w:val="16"/>
        </w:rPr>
        <w:t xml:space="preserve">[80]	</w:t>
      </w:r>
      <w:r>
        <w:rPr>
          <w:sz w:val="16"/>
          <w:szCs w:val="16"/>
        </w:rPr>
        <w:t xml:space="preserve">The Standard: HKEX new listings and listed company count (2026). </w:t>
      </w:r>
      <w:hyperlink w:history="1" r:id="rIdq5hmqkfegmvjagjlgkznx">
        <w:r>
          <w:rPr>
            <w:rStyle w:val="Hyperlink"/>
            <w:sz w:val="15"/>
            <w:szCs w:val="15"/>
          </w:rPr>
          <w:t xml:space="preserve">https://www.thestandard.com.hk/finance/article/333364/HKEX-new-listings-reach-62-in-the-first-five-months-of-2026-500-applications-in-progress</w:t>
        </w:r>
      </w:hyperlink>
    </w:p>
    <w:p>
      <w:pPr>
        <w:spacing w:after="60" w:line="240"/>
        <w:ind w:left="480" w:hanging="480"/>
      </w:pPr>
      <w:r>
        <w:rPr>
          <w:b/>
          <w:bCs/>
          <w:color w:val="0B4F6C"/>
          <w:sz w:val="16"/>
          <w:szCs w:val="16"/>
        </w:rPr>
        <w:t xml:space="preserve">[81]	</w:t>
      </w:r>
      <w:r>
        <w:rPr>
          <w:sz w:val="16"/>
          <w:szCs w:val="16"/>
        </w:rPr>
        <w:t xml:space="preserve">DEHSt: CBAM definitive regime from 1 January 2026. </w:t>
      </w:r>
      <w:hyperlink w:history="1" r:id="rId7brlfwprlnmq2qkxcxopn">
        <w:r>
          <w:rPr>
            <w:rStyle w:val="Hyperlink"/>
            <w:sz w:val="15"/>
            <w:szCs w:val="15"/>
          </w:rPr>
          <w:t xml:space="preserve">https://www.dehst.de/EN/Topics/CBAM/CBAM-definitive-regime-2026/cbam-definitive-regime-2026_artikel.html</w:t>
        </w:r>
      </w:hyperlink>
    </w:p>
    <w:p>
      <w:pPr>
        <w:spacing w:after="60" w:line="240"/>
        <w:ind w:left="480" w:hanging="480"/>
      </w:pPr>
      <w:r>
        <w:rPr>
          <w:b/>
          <w:bCs/>
          <w:color w:val="0B4F6C"/>
          <w:sz w:val="16"/>
          <w:szCs w:val="16"/>
        </w:rPr>
        <w:t xml:space="preserve">[82]	</w:t>
      </w:r>
      <w:r>
        <w:rPr>
          <w:sz w:val="16"/>
          <w:szCs w:val="16"/>
        </w:rPr>
        <w:t xml:space="preserve">Mayer Brown: EUDR, what lies ahead in 2026. </w:t>
      </w:r>
      <w:hyperlink w:history="1" r:id="rIdsro9lvyhgv4rkpjvtmmvg">
        <w:r>
          <w:rPr>
            <w:rStyle w:val="Hyperlink"/>
            <w:sz w:val="15"/>
            <w:szCs w:val="15"/>
          </w:rPr>
          <w:t xml:space="preserve">https://www.mayerbrown.com/en/insights/publications/2026/02/eu-regulation-on-deforestation-free-products-eudr-what-lies-ahead-in-2026</w:t>
        </w:r>
      </w:hyperlink>
    </w:p>
    <w:p>
      <w:pPr>
        <w:spacing w:after="60" w:line="240"/>
        <w:ind w:left="480" w:hanging="480"/>
      </w:pPr>
      <w:r>
        <w:rPr>
          <w:b/>
          <w:bCs/>
          <w:color w:val="0B4F6C"/>
          <w:sz w:val="16"/>
          <w:szCs w:val="16"/>
        </w:rPr>
        <w:t xml:space="preserve">[83]	</w:t>
      </w:r>
      <w:r>
        <w:rPr>
          <w:sz w:val="16"/>
          <w:szCs w:val="16"/>
        </w:rPr>
        <w:t xml:space="preserve">Norton Rose Fulbright: EU adopts Omnibus Directive amending CSRD and CSDDD. </w:t>
      </w:r>
      <w:hyperlink w:history="1" r:id="rIdqzblg2omvfvqsgnq7s5po">
        <w:r>
          <w:rPr>
            <w:rStyle w:val="Hyperlink"/>
            <w:sz w:val="15"/>
            <w:szCs w:val="15"/>
          </w:rPr>
          <w:t xml:space="preserve">https://www.nortonrosefulbright.com/en/knowledge/publications/1679488b/european-parliament-votes-to-adopt-omnibus-proposal-amending-csrd-and-cs3d</w:t>
        </w:r>
      </w:hyperlink>
    </w:p>
    <w:p>
      <w:pPr>
        <w:spacing w:after="60" w:line="240"/>
        <w:ind w:left="480" w:hanging="480"/>
      </w:pPr>
      <w:r>
        <w:rPr>
          <w:b/>
          <w:bCs/>
          <w:color w:val="0B4F6C"/>
          <w:sz w:val="16"/>
          <w:szCs w:val="16"/>
        </w:rPr>
        <w:t xml:space="preserve">[84]	</w:t>
      </w:r>
      <w:r>
        <w:rPr>
          <w:sz w:val="16"/>
          <w:szCs w:val="16"/>
        </w:rPr>
        <w:t xml:space="preserve">IFRS Foundation: Update on the ISSB (Apr 2026). </w:t>
      </w:r>
      <w:hyperlink w:history="1" r:id="rIdoqjaqzihw4j84opwvmbys">
        <w:r>
          <w:rPr>
            <w:rStyle w:val="Hyperlink"/>
            <w:sz w:val="15"/>
            <w:szCs w:val="15"/>
          </w:rPr>
          <w:t xml:space="preserve">https://www.ifrs.org/content/dam/ifrs/meetings/2026/april/ac/ac5-issb-update.pdf</w:t>
        </w:r>
      </w:hyperlink>
    </w:p>
    <w:p>
      <w:pPr>
        <w:spacing w:after="60" w:line="240"/>
        <w:ind w:left="480" w:hanging="480"/>
      </w:pPr>
      <w:r>
        <w:rPr>
          <w:b/>
          <w:bCs/>
          <w:color w:val="0B4F6C"/>
          <w:sz w:val="16"/>
          <w:szCs w:val="16"/>
        </w:rPr>
        <w:t xml:space="preserve">[85]	</w:t>
      </w:r>
      <w:r>
        <w:rPr>
          <w:sz w:val="16"/>
          <w:szCs w:val="16"/>
        </w:rPr>
        <w:t xml:space="preserve">ADB AsianBondsOnline: Recent developments in ASEAN+3 sustainable bond markets (Sep 2025). </w:t>
      </w:r>
      <w:hyperlink w:history="1" r:id="rIdfcuac2byjf_qmfuiugnv6">
        <w:r>
          <w:rPr>
            <w:rStyle w:val="Hyperlink"/>
            <w:sz w:val="15"/>
            <w:szCs w:val="15"/>
          </w:rPr>
          <w:t xml:space="preserve">https://asianbondsonline.adb.org/documents/abm/abm_sep_2025_recent_developments_asean3_sustainable_bond_markets.pdf</w:t>
        </w:r>
      </w:hyperlink>
    </w:p>
    <w:p>
      <w:pPr>
        <w:spacing w:after="60" w:line="240"/>
        <w:ind w:left="480" w:hanging="480"/>
      </w:pPr>
      <w:r>
        <w:rPr>
          <w:b/>
          <w:bCs/>
          <w:color w:val="0B4F6C"/>
          <w:sz w:val="16"/>
          <w:szCs w:val="16"/>
        </w:rPr>
        <w:t xml:space="preserve">[86]	</w:t>
      </w:r>
      <w:r>
        <w:rPr>
          <w:sz w:val="16"/>
          <w:szCs w:val="16"/>
        </w:rPr>
        <w:t xml:space="preserve">Ecosperity Week 2026. </w:t>
      </w:r>
      <w:hyperlink w:history="1" r:id="rIdc34or1lfwllsbcpjbzt-1">
        <w:r>
          <w:rPr>
            <w:rStyle w:val="Hyperlink"/>
            <w:sz w:val="15"/>
            <w:szCs w:val="15"/>
          </w:rPr>
          <w:t xml:space="preserve">https://www.ecosperity.sg/en/our-events/ecosperity-week-2026/overview</w:t>
        </w:r>
      </w:hyperlink>
    </w:p>
    <w:p>
      <w:pPr>
        <w:spacing w:after="60" w:line="240"/>
        <w:ind w:left="480" w:hanging="480"/>
      </w:pPr>
      <w:r>
        <w:rPr>
          <w:b/>
          <w:bCs/>
          <w:color w:val="0B4F6C"/>
          <w:sz w:val="16"/>
          <w:szCs w:val="16"/>
        </w:rPr>
        <w:t xml:space="preserve">[87]	</w:t>
      </w:r>
      <w:r>
        <w:rPr>
          <w:sz w:val="16"/>
          <w:szCs w:val="16"/>
        </w:rPr>
        <w:t xml:space="preserve">PR Newswire: Singapore International Energy Week 2026. </w:t>
      </w:r>
      <w:hyperlink w:history="1" r:id="rIdvc7uqnamujosgqtaytiog">
        <w:r>
          <w:rPr>
            <w:rStyle w:val="Hyperlink"/>
            <w:sz w:val="15"/>
            <w:szCs w:val="15"/>
          </w:rPr>
          <w:t xml:space="preserve">https://www.prnewswire.com/apac/news-releases/singapore-international-energy-week-2026-sets-sights-on-connecting-energy-systems-powering-tomorrow-302726351.html</w:t>
        </w:r>
      </w:hyperlink>
    </w:p>
    <w:p>
      <w:pPr>
        <w:spacing w:after="60" w:line="240"/>
        <w:ind w:left="480" w:hanging="480"/>
      </w:pPr>
      <w:r>
        <w:rPr>
          <w:b/>
          <w:bCs/>
          <w:color w:val="0B4F6C"/>
          <w:sz w:val="16"/>
          <w:szCs w:val="16"/>
        </w:rPr>
        <w:t xml:space="preserve">[88]	</w:t>
      </w:r>
      <w:r>
        <w:rPr>
          <w:sz w:val="16"/>
          <w:szCs w:val="16"/>
        </w:rPr>
        <w:t xml:space="preserve">Mordor Intelligence: South-East Asia consulting services market. </w:t>
      </w:r>
      <w:hyperlink w:history="1" r:id="rId-edssb0ko-v9jabnu5prp">
        <w:r>
          <w:rPr>
            <w:rStyle w:val="Hyperlink"/>
            <w:sz w:val="15"/>
            <w:szCs w:val="15"/>
          </w:rPr>
          <w:t xml:space="preserve">https://www.mordorintelligence.com/industry-reports/south-east-asia-consulting-services-market</w:t>
        </w:r>
      </w:hyperlink>
    </w:p>
    <w:p>
      <w:pPr>
        <w:spacing w:after="60" w:line="240"/>
        <w:ind w:left="480" w:hanging="480"/>
      </w:pPr>
      <w:r>
        <w:rPr>
          <w:b/>
          <w:bCs/>
          <w:color w:val="0B4F6C"/>
          <w:sz w:val="16"/>
          <w:szCs w:val="16"/>
        </w:rPr>
        <w:t xml:space="preserve">[89]	</w:t>
      </w:r>
      <w:r>
        <w:rPr>
          <w:sz w:val="16"/>
          <w:szCs w:val="16"/>
        </w:rPr>
        <w:t xml:space="preserve">Presgo: Guide to NSRF Malaysia, timeline and IFRS S1 and S2 requirements (secondary summary of SC guidance). </w:t>
      </w:r>
      <w:hyperlink w:history="1" r:id="rIdqysqkqhhlyoqvaztumk65">
        <w:r>
          <w:rPr>
            <w:rStyle w:val="Hyperlink"/>
            <w:sz w:val="15"/>
            <w:szCs w:val="15"/>
          </w:rPr>
          <w:t xml:space="preserve">https://www.presgo.com/en-my/articles/nsrf-malaysia-guide/</w:t>
        </w:r>
      </w:hyperlink>
    </w:p>
    <w:p>
      <w:pPr>
        <w:spacing w:after="60" w:line="240"/>
        <w:ind w:left="480" w:hanging="480"/>
      </w:pPr>
      <w:r>
        <w:rPr>
          <w:b/>
          <w:bCs/>
          <w:color w:val="0B4F6C"/>
          <w:sz w:val="16"/>
          <w:szCs w:val="16"/>
        </w:rPr>
        <w:t xml:space="preserve">[90]	</w:t>
      </w:r>
      <w:r>
        <w:rPr>
          <w:sz w:val="16"/>
          <w:szCs w:val="16"/>
        </w:rPr>
        <w:t xml:space="preserve">Eco-Business: Malaysian companies must report Scope 3 emissions starting 2027. </w:t>
      </w:r>
      <w:hyperlink w:history="1" r:id="rIdfqay0mcaau9ltiory1wdm">
        <w:r>
          <w:rPr>
            <w:rStyle w:val="Hyperlink"/>
            <w:sz w:val="15"/>
            <w:szCs w:val="15"/>
          </w:rPr>
          <w:t xml:space="preserve">https://www.eco-business.com/news/malaysian-companies-must-report-scope-3-emissions-starting-2027/</w:t>
        </w:r>
      </w:hyperlink>
    </w:p>
    <w:sectPr>
      <w:headerReference w:type="default" r:id="rId21"/>
      <w:footerReference w:type="default" r:id="rId22"/>
      <w:pgSz w:w="11906" w:h="16838" w:orient="portrait"/>
      <w:pgMar w:top="1080" w:right="1080" w:bottom="1080" w:left="1080" w:header="500" w:footer="500" w:gutter="0"/>
      <w:pgNumType/>
      <w:titlePg w:val="fals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7606A"/>
        <w:sz w:val="16"/>
        <w:szCs w:val="16"/>
      </w:rPr>
      <w:t xml:space="preserve">Page </w:t>
    </w:r>
    <w:r>
      <w:rPr>
        <w:color w:val="57606A"/>
        <w:sz w:val="16"/>
        <w:szCs w:val="16"/>
      </w:rPr>
      <w:fldChar w:fldCharType="begin"/>
      <w:instrText xml:space="preserve">PAGE</w:instrText>
      <w:fldChar w:fldCharType="separate"/>
      <w:fldChar w:fldCharType="end"/>
    </w:r>
    <w:r>
      <w:rPr>
        <w:color w:val="57606A"/>
        <w:sz w:val="16"/>
        <w:szCs w:val="16"/>
      </w:rPr>
      <w:t xml:space="preserve"> of </w:t>
    </w:r>
    <w:r>
      <w:rPr>
        <w:color w:val="5760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1D9" w:sz="4" w:space="4"/>
      </w:pBdr>
      <w:jc w:val="right"/>
    </w:pPr>
    <w:r>
      <w:rPr>
        <w:color w:val="57606A"/>
        <w:sz w:val="15"/>
        <w:szCs w:val="15"/>
      </w:rPr>
      <w:t xml:space="preserve">ESG Services Opportunity Study  |  Indonesia, Malaysia, Singapore, Hong Kong  |  October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abstractNum w:abstractNumId="3" w15:restartNumberingAfterBreak="0">
    <w:multiLevelType w:val="hybridMultilevel"/>
    <w:lvl w:ilvl="0" w15:tentative="1">
      <w:start w:val="1"/>
      <w:numFmt w:val="bullet"/>
      <w:lvlText w:val="•"/>
      <w:lvlJc w:val="left"/>
      <w:pPr>
        <w:ind w:left="220" w:hanging="260"/>
      </w:pPr>
    </w:lvl>
    <w:lvl w:ilvl="1" w15:tentative="1">
      <w:start w:val="1"/>
      <w:numFmt w:val="bullet"/>
      <w:lvlText w:val="–"/>
      <w:lvlJc w:val="left"/>
      <w:pPr>
        <w:ind w:left="440" w:hanging="260"/>
      </w:pPr>
    </w:lvl>
  </w:abstractNum>
  <w:abstractNum w:abstractNumId="4" w15:restartNumberingAfterBreak="0">
    <w:multiLevelType w:val="hybridMultilevel"/>
    <w:lvl w:ilvl="0" w15:tentative="1">
      <w:start w:val="1"/>
      <w:numFmt w:val="decimal"/>
      <w:lvlText w:val="%1."/>
      <w:lvlJc w:val="left"/>
      <w:pPr>
        <w:ind w:left="400" w:hanging="300"/>
      </w:pPr>
    </w:lvl>
  </w:abstractNum>
  <w:abstractNum w:abstractNumId="5" w15:restartNumberingAfterBreak="0">
    <w:multiLevelType w:val="hybridMultilevel"/>
    <w:lvl w:ilvl="0" w15:tentative="1">
      <w:start w:val="1"/>
      <w:numFmt w:val="decimal"/>
      <w:lvlText w:val="%1."/>
      <w:lvlJc w:val="left"/>
      <w:pPr>
        <w:ind w:left="400" w:hanging="300"/>
      </w:pPr>
    </w:lvl>
  </w:abstractNum>
  <w:abstractNum w:abstractNumId="6" w15:restartNumberingAfterBreak="0">
    <w:multiLevelType w:val="hybridMultilevel"/>
    <w:lvl w:ilvl="0" w15:tentative="1">
      <w:start w:val="1"/>
      <w:numFmt w:val="decimal"/>
      <w:lvlText w:val="%1."/>
      <w:lvlJc w:val="left"/>
      <w:pPr>
        <w:ind w:left="400" w:hanging="300"/>
      </w:pPr>
    </w:lvl>
  </w:abstractNum>
  <w:abstractNum w:abstractNumId="7" w15:restartNumberingAfterBreak="0">
    <w:multiLevelType w:val="hybridMultilevel"/>
    <w:lvl w:ilvl="0" w15:tentative="1">
      <w:start w:val="1"/>
      <w:numFmt w:val="decimal"/>
      <w:lvlText w:val="%1."/>
      <w:lvlJc w:val="left"/>
      <w:pPr>
        <w:ind w:left="400" w:hanging="300"/>
      </w:pPr>
    </w:lvl>
  </w:abstractNum>
  <w:abstractNum w:abstractNumId="8" w15:restartNumberingAfterBreak="0">
    <w:multiLevelType w:val="hybridMultilevel"/>
    <w:lvl w:ilvl="0" w15:tentative="1">
      <w:start w:val="1"/>
      <w:numFmt w:val="decimal"/>
      <w:lvlText w:val="%1."/>
      <w:lvlJc w:val="left"/>
      <w:pPr>
        <w:ind w:left="400" w:hanging="300"/>
      </w:pPr>
    </w:lvl>
  </w:abstractNum>
  <w:num w:numId="1">
    <w:abstractNumId w:val="1"/>
    <w:lvlOverride w:ilvl="0">
      <w:startOverride w:val="1"/>
    </w:lvlOverride>
  </w:num>
  <w:num w:numId="2">
    <w:abstractNumId w:val="4"/>
    <w:lvlOverride w:ilvl="0">
      <w:startOverride w:val="1"/>
    </w:lvlOverride>
  </w:num>
  <w:num w:numId="3">
    <w:abstractNumId w:val="2"/>
    <w:lvlOverride w:ilvl="0">
      <w:startOverride w:val="1"/>
    </w:lvlOverride>
  </w:num>
  <w:num w:numId="4">
    <w:abstractNumId w:val="3"/>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32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Arial" w:cs="Arial" w:eastAsia="Arial" w:hAnsi="Arial"/>
      <w:b/>
      <w:bCs/>
      <w:color w:val="0B4F6C"/>
      <w:sz w:val="32"/>
      <w:szCs w:val="32"/>
    </w:rPr>
  </w:style>
  <w:style w:type="paragraph" w:styleId="Heading2">
    <w:name w:val="Heading 2"/>
    <w:basedOn w:val="Normal"/>
    <w:next w:val="Normal"/>
    <w:qFormat/>
    <w:pPr>
      <w:keepNext/>
      <w:spacing w:after="120" w:before="260"/>
      <w:outlineLvl w:val="1"/>
    </w:pPr>
    <w:rPr>
      <w:rFonts w:ascii="Arial" w:cs="Arial" w:eastAsia="Arial" w:hAnsi="Arial"/>
      <w:b/>
      <w:bCs/>
      <w:color w:val="0B4F6C"/>
      <w:sz w:val="25"/>
      <w:szCs w:val="25"/>
    </w:rPr>
  </w:style>
  <w:style w:type="paragraph" w:styleId="Heading3">
    <w:name w:val="Heading 3"/>
    <w:basedOn w:val="Normal"/>
    <w:next w:val="Normal"/>
    <w:qFormat/>
    <w:pPr>
      <w:keepNext/>
      <w:spacing w:after="100" w:before="200"/>
      <w:outlineLvl w:val="2"/>
    </w:pPr>
    <w:rPr>
      <w:rFonts w:ascii="Arial" w:cs="Arial" w:eastAsia="Arial" w:hAnsi="Arial"/>
      <w:b/>
      <w:bCs/>
      <w:color w:val="1C7C5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footer" Target="footer4.xml"/><Relationship Id="rId15" Type="http://schemas.openxmlformats.org/officeDocument/2006/relationships/header" Target="header5.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footer" Target="footer6.xml"/><Relationship Id="rId19" Type="http://schemas.openxmlformats.org/officeDocument/2006/relationships/header" Target="header7.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footer" Target="footer8.xml"/><Relationship Id="rIdq8f-djfd5nvnz01fsg3e8" Type="http://schemas.openxmlformats.org/officeDocument/2006/relationships/hyperlink" Target="https://www.acra.gov.sg/news-events/news-announcements/887/" TargetMode="External"/><Relationship Id="rIdwx0des6mtdsvouugdppyw" Type="http://schemas.openxmlformats.org/officeDocument/2006/relationships/hyperlink" Target="https://www.allenandgledhill.com/sg/publication/articles/31136/acra-and-sgx-regco-extend-timelines-for-most-climate-reporting-requirements" TargetMode="External"/><Relationship Id="rIdc-tyfxj5e8hnjbhhuvwmh" Type="http://schemas.openxmlformats.org/officeDocument/2006/relationships/hyperlink" Target="https://www.acra.gov.sg/regulations/sustainability-reporting/requirements-timeline/" TargetMode="External"/><Relationship Id="rId93ddygiilc0mr4u58cs-0" Type="http://schemas.openxmlformats.org/officeDocument/2006/relationships/hyperlink" Target="https://www.acra.gov.sg/public-consultations/public-consultation-on-singapore-s-sustainability-disclosure-standards/" TargetMode="External"/><Relationship Id="rId4xhhuukinmvabr5mm-lca" Type="http://schemas.openxmlformats.org/officeDocument/2006/relationships/hyperlink" Target="https://www.nccs.gov.sg/singapores-climate-action/mitigation-efforts/carbontax/" TargetMode="External"/><Relationship Id="rId4f56wc8te-2wndobl3rz7" Type="http://schemas.openxmlformats.org/officeDocument/2006/relationships/hyperlink" Target="https://www.enterprisesg.gov.sg/financial-support/sustainability-reporting-grant" TargetMode="External"/><Relationship Id="rIdpd9-se1mi3wgbglkb_zr-" Type="http://schemas.openxmlformats.org/officeDocument/2006/relationships/hyperlink" Target="https://www.enterprisesg.gov.sg/grow-your-business/boost-capabilities/sustainability/enterprise-sustainability-programme" TargetMode="External"/><Relationship Id="rIdotplg61k52pnb_1zej_d7" Type="http://schemas.openxmlformats.org/officeDocument/2006/relationships/hyperlink" Target="https://grants.sg/grants/edge-grant" TargetMode="External"/><Relationship Id="rIdky1iuecrpjn_e-_ddyao6" Type="http://schemas.openxmlformats.org/officeDocument/2006/relationships/hyperlink" Target="https://www.caas.gov.sg/resources/media-and-publication/newsroom/sustainable-aviation-fuel--saf--levy-to-be-deferred/" TargetMode="External"/><Relationship Id="rIdhdbewdypjsu7stzdr_glv" Type="http://schemas.openxmlformats.org/officeDocument/2006/relationships/hyperlink" Target="https://sustainablefutures.linklaters.com/post/102mnv6/the-monetary-authority-of-singapore-publishes-guidelines-on-transition-planning-f" TargetMode="External"/><Relationship Id="rIduoqzjen2fy4qv8ioaz09g" Type="http://schemas.openxmlformats.org/officeDocument/2006/relationships/hyperlink" Target="https://www.sbf.org.sg/newsroom/media/press-releases/detail/inaugural-study-by-gprnt-and-pwc-finds-smes-lagging-in-sustainability-readiness--urges-more-public-private-collaboration-and-ecosystem-support-to-help-them-go-green" TargetMode="External"/><Relationship Id="rIdiimei-ztdrtrmzqomaf-t" Type="http://schemas.openxmlformats.org/officeDocument/2006/relationships/hyperlink" Target="https://green100.sg/news-stories/gprnt-partners-sgx-group-to-strengthen-climate-reporting-transition-planning-on-esgenome" TargetMode="External"/><Relationship Id="rIdbzohngkolnh7fsv5seqyy" Type="http://schemas.openxmlformats.org/officeDocument/2006/relationships/hyperlink" Target="https://www.singstat.gov.sg/infographics/singapore-enterprise-landscape" TargetMode="External"/><Relationship Id="rIdcibermgopxts89znzodp6" Type="http://schemas.openxmlformats.org/officeDocument/2006/relationships/hyperlink" Target="https://amro-asia.org/wp-content/uploads/2025/12/SI-2-2.pdf" TargetMode="External"/><Relationship Id="rIdh7sxrpfut50eof9o9cwwk" Type="http://schemas.openxmlformats.org/officeDocument/2006/relationships/hyperlink" Target="https://www.terrascope.com/blog/carbon-accounting-software-costs-southeast-asia" TargetMode="External"/><Relationship Id="rId0cigws4gr7zlna1mb5cha" Type="http://schemas.openxmlformats.org/officeDocument/2006/relationships/hyperlink" Target="https://tracxn.com/d/explore/carbon-accounting-startups-in-singapore/__gD7OKsMVtYFVFVrnvd3G9NFP6HzwAnPAN9YLKUH9N7Q/companies" TargetMode="External"/><Relationship Id="rIdlvrpmm2g1jc1fyp2knuuv" Type="http://schemas.openxmlformats.org/officeDocument/2006/relationships/hyperlink" Target="https://www.eco-business.com/press-releases/singapore-based-climate-tech-startup-zuno-carbon-raises-us25-million-in-seed-funding/" TargetMode="External"/><Relationship Id="rId_bb1mfpdxivlp3xekr0ax" Type="http://schemas.openxmlformats.org/officeDocument/2006/relationships/hyperlink" Target="https://economicgraph.linkedin.com/blog/investing-in-green-jobs-and-skills-in-the-asia-pacific-region-will-pave-the-way-towards-a-sustainable-future" TargetMode="External"/><Relationship Id="rId8b46d-vfs8sf1gldpfklq" Type="http://schemas.openxmlformats.org/officeDocument/2006/relationships/hyperlink" Target="https://safety4sea.com/imo-decides-to-postpone-adoption-of-net-zero-framework/" TargetMode="External"/><Relationship Id="rId9_a3fbn5nwjicejs1oxnm" Type="http://schemas.openxmlformats.org/officeDocument/2006/relationships/hyperlink" Target="https://www.sc.com.my/api/documentms/download.ashx?id=2efe731e-20cf-4710-8104-d07762a4637b" TargetMode="External"/><Relationship Id="rIdnya1xbz-5dibzfj23l4io" Type="http://schemas.openxmlformats.org/officeDocument/2006/relationships/hyperlink" Target="https://www.ifrs.org/content/dam/ifrs/publications/sustainability-jurisdictions/pdf-profiles/malaysia-ifrs-profile.pdf" TargetMode="External"/><Relationship Id="rIdrx6bateqlxoda02t0wn9d" Type="http://schemas.openxmlformats.org/officeDocument/2006/relationships/hyperlink" Target="https://www.bursamalaysia.com/sites/5bb54be15f36ca0af339077a/content_entry5c11a9db758f8d31544574c6/6768e229e6414a4ba0eb9f4d/files/23122024__MEDIA_RELEASE_BURSA_MALAYSIA_REQUIRES_SUSTAINABILITY_REPORTING_USING_THE_IFRS_SUSTAINABILITY_DISCLOSURE_STANDARDS.pdf" TargetMode="External"/><Relationship Id="rIda00issu3ymdsalp95ikvp" Type="http://schemas.openxmlformats.org/officeDocument/2006/relationships/hyperlink" Target="https://www.thestar.com.my/news/nation/2026/04/21/carbon-tax-plan-put-on-hold-amid-middle-east-tensions-says-kurup" TargetMode="External"/><Relationship Id="rIda4znyzqyttzcpbt0szz5i" Type="http://schemas.openxmlformats.org/officeDocument/2006/relationships/hyperlink" Target="https://www.argusmedia.com/en/news-and-insights/latest-market-news/2741520-malaysia-unveils-2026-budget-to-implement-carbon-tax" TargetMode="External"/><Relationship Id="rIdip_bgedu86ia9rgkvwmyv" Type="http://schemas.openxmlformats.org/officeDocument/2006/relationships/hyperlink" Target="https://theedgemalaysia.com/node/800680" TargetMode="External"/><Relationship Id="rIdytyjw9x3m6muzuefmtrnx" Type="http://schemas.openxmlformats.org/officeDocument/2006/relationships/hyperlink" Target="https://www.malaymail.com/news/malaysia/2026/03/13/malaysias-climate-change-bill-to-pave-way-for-carbon-tax-from-2026-says-ministry/212564" TargetMode="External"/><Relationship Id="rIdrdpdjdds3ekq-k9871os1" Type="http://schemas.openxmlformats.org/officeDocument/2006/relationships/hyperlink" Target="https://unfccc.int/sites/default/files/2025-10/Malaysia%20NDC%203.0%20to%20UNFCCC%202025%20final.pdf" TargetMode="External"/><Relationship Id="rIdzl7n3i-pwgmsxgl9ptucm" Type="http://schemas.openxmlformats.org/officeDocument/2006/relationships/hyperlink" Target="https://www.capitalmarketsmalaysia.com/simplified-esg-disclosure-guide-sedg-for-smes/" TargetMode="External"/><Relationship Id="rIdirv0v9wdg58f2usjdw_sw" Type="http://schemas.openxmlformats.org/officeDocument/2006/relationships/hyperlink" Target="https://technode.global/2025/07/23/capital-markets-malaysia-expands-simplified-esg-disclosure-guide-with-ghg-emission-calculator-for-smes/" TargetMode="External"/><Relationship Id="rId9gmo9ltjltwi9l3jpziaf" Type="http://schemas.openxmlformats.org/officeDocument/2006/relationships/hyperlink" Target="https://www.grantthornton.com.my/insights/Tax/tax-alert-ESG-Tax-Deduction-Rules/" TargetMode="External"/><Relationship Id="rIdbxtgw9mbth-rkecoyfmxz" Type="http://schemas.openxmlformats.org/officeDocument/2006/relationships/hyperlink" Target="https://www.miti.gov.my/index.php/pages/view/9849" TargetMode="External"/><Relationship Id="rIdjhjl67x28v9fbcva_rzod" Type="http://schemas.openxmlformats.org/officeDocument/2006/relationships/hyperlink" Target="https://smecorp.gov.my/index.php/my/news/4986-msmes-in-malaysia-scale-up-with-35-8-rise-in-small-enterprises" TargetMode="External"/><Relationship Id="rIdhm3zamab0o0mo-asotpd6" Type="http://schemas.openxmlformats.org/officeDocument/2006/relationships/hyperlink" Target="https://www.bnm.gov.my/-/sfg25pr" TargetMode="External"/><Relationship Id="rIdzjmj3dbe0mpziyhdwkad-" Type="http://schemas.openxmlformats.org/officeDocument/2006/relationships/hyperlink" Target="https://theedgemalaysia.com/node/687376" TargetMode="External"/><Relationship Id="rIdgzajwftkmbyh-5ou5sohc" Type="http://schemas.openxmlformats.org/officeDocument/2006/relationships/hyperlink" Target="https://www.mgtc.gov.my/lcos/" TargetMode="External"/><Relationship Id="rIdqtixtfyqr997xsfwrzryx" Type="http://schemas.openxmlformats.org/officeDocument/2006/relationships/hyperlink" Target="https://www.woodmac.com/press-releases/jb-data-center-expansion/" TargetMode="External"/><Relationship Id="rIdthzaipo-oflsyncmhrxap" Type="http://schemas.openxmlformats.org/officeDocument/2006/relationships/hyperlink" Target="https://www.eco-business.com/news/malaysias-chip-boom-risks-soaring-scope-2-emissions-experts-warn/" TargetMode="External"/><Relationship Id="rIddscrdg8o7_vk9iunhkgrb" Type="http://schemas.openxmlformats.org/officeDocument/2006/relationships/hyperlink" Target="https://www.hkex.com.hk/News/News-Release/2026/260723news?sc_lang=en" TargetMode="External"/><Relationship Id="rIdrt38asi5inlimm4oi62du" Type="http://schemas.openxmlformats.org/officeDocument/2006/relationships/hyperlink" Target="https://www.bernama.com/en/general/news.php?id=2610399" TargetMode="External"/><Relationship Id="rIdzmrrsy63wer1txu45hmro" Type="http://schemas.openxmlformats.org/officeDocument/2006/relationships/hyperlink" Target="https://web.iaiglobal.or.id/Berita-IAI/detail/indonesia_launches_sustainability_disclosure_standards_based_on_ifrs_s1_and_s2" TargetMode="External"/><Relationship Id="rIdqvf0gbnlwro21dnsfpgt_" Type="http://schemas.openxmlformats.org/officeDocument/2006/relationships/hyperlink" Target="https://ojk.go.id/id/regulasi/otoritas-jasa-keuangan/rancangan-regulasi/Pages/default.aspx" TargetMode="External"/><Relationship Id="rIdyj9i9ggdj1b-3aw5k63hm" Type="http://schemas.openxmlformats.org/officeDocument/2006/relationships/hyperlink" Target="https://www.iasplus.com/en/news/2026/02/indonesia-issb" TargetMode="External"/><Relationship Id="rIdzextjkhxe5l9k8h1p22rr" Type="http://schemas.openxmlformats.org/officeDocument/2006/relationships/hyperlink" Target="https://kpmg.com/id/en/insights/2025/10/id-at-a-glance-pspk1-pspk2.html" TargetMode="External"/><Relationship Id="rIdgojrtiknmywhkpj1o57f4" Type="http://schemas.openxmlformats.org/officeDocument/2006/relationships/hyperlink" Target="https://ssek.com/blog/indonesia-introduces-new-carbon-trading-framework-under-presidential-regulation-no-110-of-2025/" TargetMode="External"/><Relationship Id="rIderf9igjd0npfiys6d3okt" Type="http://schemas.openxmlformats.org/officeDocument/2006/relationships/hyperlink" Target="https://www.iisd.org/system/files/2026-03/carbon-pricing-southeast-asia.pdf" TargetMode="External"/><Relationship Id="rIdawgzbeys8-w_ijvwvu8qr" Type="http://schemas.openxmlformats.org/officeDocument/2006/relationships/hyperlink" Target="https://www.idxcarbon.co.id/document/share/161/caf49365-34e4-4582-8cd3-bb660ebb126c" TargetMode="External"/><Relationship Id="rIdxoc4hqopimn0sgv2eulrd" Type="http://schemas.openxmlformats.org/officeDocument/2006/relationships/hyperlink" Target="https://ieefa.org/resources/two-years-after-launch-indonesias-carbon-market-struggles-find-momentum" TargetMode="External"/><Relationship Id="rIdmabt0ujbaczvj-xztihro" Type="http://schemas.openxmlformats.org/officeDocument/2006/relationships/hyperlink" Target="https://icapcarbonaction.com/en/ets/indonesian-economic-value-carbon-nilai-ekonomi-karbon-trading-scheme" TargetMode="External"/><Relationship Id="rId7ruplvo0hecc2bcwyvcer" Type="http://schemas.openxmlformats.org/officeDocument/2006/relationships/hyperlink" Target="https://en.antaranews.com/news/349697/indonesia-using-siinas-to-check-industrial-greenhouse-gas-emissions" TargetMode="External"/><Relationship Id="rIdrgkfunkuc0vfaxpsura5y" Type="http://schemas.openxmlformats.org/officeDocument/2006/relationships/hyperlink" Target="https://iesr.or.id/en/government-finalizes-industrial-decarbonization-roadmap/" TargetMode="External"/><Relationship Id="rId4ms7bcj3mguposr_btkdd" Type="http://schemas.openxmlformats.org/officeDocument/2006/relationships/hyperlink" Target="https://ojk.go.id/en/Publikasi/Roadmap-dan-Pedoman/Sektor-Jasa-Keuangan/Keuangan-Berkelanjutan/Pages/Taxonomy-for-Indonesian-Sustainable-Finance-2nd-Edition.aspx" TargetMode="External"/><Relationship Id="rIdibwqmogorpz1uulortom0" Type="http://schemas.openxmlformats.org/officeDocument/2006/relationships/hyperlink" Target="https://www.pv-tech.org/indonesian-government-ratifies-plans-for-42-6gw-of-renewable-energy-capacity/" TargetMode="External"/><Relationship Id="rId2zpz_tbd32elshxip6mjq" Type="http://schemas.openxmlformats.org/officeDocument/2006/relationships/hyperlink" Target="https://news.mongabay.com/2025/11/indonesia-pledges-energy-transition-but-the-countrys-new-ndc-says-otherwise/" TargetMode="External"/><Relationship Id="rIdxn39awa1i3rxlpgf0pl7e" Type="http://schemas.openxmlformats.org/officeDocument/2006/relationships/hyperlink" Target="https://www.antaranews.com/berita/4575678/bei-ungkap-873-perusahaan-tercatat-penuhi-laporan-keberlanjutan" TargetMode="External"/><Relationship Id="rIdamgot56xt9xoiskwliyqq" Type="http://schemas.openxmlformats.org/officeDocument/2006/relationships/hyperlink" Target="https://databoks.katadata.co.id/en/market/statistics/6a24e09f528c8/listed-companies-on-the-idx-remained-relatively-stagnant-through-april-2026" TargetMode="External"/><Relationship Id="rIdi5-uuoefsaa4l14x-lxna" Type="http://schemas.openxmlformats.org/officeDocument/2006/relationships/hyperlink" Target="https://nccr.id/asrrat-2026/" TargetMode="External"/><Relationship Id="rIdt0zpia5hha0qfj6ztsuox" Type="http://schemas.openxmlformats.org/officeDocument/2006/relationships/hyperlink" Target="https://technode.global/2024/05/13/indonesian-carbon-management-provider-jejakin-secures-new-funding-of-2-7m/" TargetMode="External"/><Relationship Id="rId7uf1ecsdiv3q-oczcfmei" Type="http://schemas.openxmlformats.org/officeDocument/2006/relationships/hyperlink" Target="https://iesr.or.id/en/green-smes-as-the-backbone-of-economic-transformation/" TargetMode="External"/><Relationship Id="rIdazqfzclyitb7quhd2kx3o" Type="http://schemas.openxmlformats.org/officeDocument/2006/relationships/hyperlink" Target="https://padiumkm.id/store/673d6ebadd1761cb2352a713" TargetMode="External"/><Relationship Id="rIdm6ptlsonn-hrosdnijgpa" Type="http://schemas.openxmlformats.org/officeDocument/2006/relationships/hyperlink" Target="https://cdn.ceps.eu/2026/02/IDA-2024-15_ERCC_BATRAW-2-1.pdf" TargetMode="External"/><Relationship Id="rIdtsulvyqzrzyjwnmqs4fp3" Type="http://schemas.openxmlformats.org/officeDocument/2006/relationships/hyperlink" Target="https://indonesiasustainabilityforum.co.id/" TargetMode="External"/><Relationship Id="rIdxszbmue5a1ldcnlntxkxw" Type="http://schemas.openxmlformats.org/officeDocument/2006/relationships/hyperlink" Target="https://www.fstb.gov.hk/fsb/en/publication/report/docs/FSTB_Roadmap2024_eBooklet_EN.pdf" TargetMode="External"/><Relationship Id="rId_2tiapjaqzw6ed0o9nilz" Type="http://schemas.openxmlformats.org/officeDocument/2006/relationships/hyperlink" Target="https://www.afrc.org.hk/media/yjtbphlx/20251229-afrc-pr-consultation-paper-on-sustainability-assurance-en.pdf" TargetMode="External"/><Relationship Id="rIdvg8ceotg5xk_pnfq7ynj2" Type="http://schemas.openxmlformats.org/officeDocument/2006/relationships/hyperlink" Target="https://www.afrc.org.hk/media/bvadgtpj/afrc-consultation-paper-on-sustainability-assurance-en.pdf" TargetMode="External"/><Relationship Id="rIduetv1rp--uehzrsdzeymd" Type="http://schemas.openxmlformats.org/officeDocument/2006/relationships/hyperlink" Target="https://www.hkex.com.hk/-/media/HKEX-Market/Listing/Rules-and-Guidance/Other-Resources/Exchanges-Review-of-Issuers-Annual-Disclosure/ARIR_2025.pdf" TargetMode="External"/><Relationship Id="rIdekkni9csjtv_2kfqsnkk9" Type="http://schemas.openxmlformats.org/officeDocument/2006/relationships/hyperlink" Target="https://www.skadden.com/insights/publications/2024/05/hkex-publishes-consultation-conclusions" TargetMode="External"/><Relationship Id="rId0vzrke36ymnwlm6fdzjjq" Type="http://schemas.openxmlformats.org/officeDocument/2006/relationships/hyperlink" Target="https://www.info.gov.hk/gia/general/202601/30/P2026012900428.htm" TargetMode="External"/><Relationship Id="rIdrwkq5ayaof3hmqoim2jjh" Type="http://schemas.openxmlformats.org/officeDocument/2006/relationships/hyperlink" Target="https://www.info.gov.hk/gia/general/202605/15/P2026051500271.htm" TargetMode="External"/><Relationship Id="rIdfvere2g8lvmo-qx902geq" Type="http://schemas.openxmlformats.org/officeDocument/2006/relationships/hyperlink" Target="https://www.hkma.gov.hk/media/eng/publication-and-research/quarterly-bulletin/b202603/ra1.pdf" TargetMode="External"/><Relationship Id="rIdlminswh1jqidlxdmh-u5a" Type="http://schemas.openxmlformats.org/officeDocument/2006/relationships/hyperlink" Target="https://www.hkma.gov.hk/eng/news-and-media/press-releases/2024/05/20240503-9/" TargetMode="External"/><Relationship Id="rIdteadfso7nofry-tot35wg" Type="http://schemas.openxmlformats.org/officeDocument/2006/relationships/hyperlink" Target="https://www.sustainablefinance.org.hk/en/data-technology/casg-non-listed-company-questionnaire-on-climate-and-environmental-risk" TargetMode="External"/><Relationship Id="rIdb99upkzre9_z8u3gytqqr" Type="http://schemas.openxmlformats.org/officeDocument/2006/relationships/hyperlink" Target="https://www.success.tid.gov.hk/english/aboutus/what_are_sme.html" TargetMode="External"/><Relationship Id="rIdbvohzgdiryfbfexa2n_4w" Type="http://schemas.openxmlformats.org/officeDocument/2006/relationships/hyperlink" Target="https://hku.hk/press/press-releases/detail/24857.html" TargetMode="External"/><Relationship Id="rIdgxstcmualhss10n2vlszy" Type="http://schemas.openxmlformats.org/officeDocument/2006/relationships/hyperlink" Target="https://www.legco.gov.hk/yr2025/english/brief/eeb242622pt44_20250318-e.pdf" TargetMode="External"/><Relationship Id="rIddxenirfy78yrob37rrzv7" Type="http://schemas.openxmlformats.org/officeDocument/2006/relationships/hyperlink" Target="https://cnsd.gov.hk/en/climate-ready/climate-targets-of-hk/" TargetMode="External"/><Relationship Id="rId5ku6yzplzyerwbjrttljs" Type="http://schemas.openxmlformats.org/officeDocument/2006/relationships/hyperlink" Target="https://www.policyaddress.gov.hk/2025/en/p65.html" TargetMode="External"/><Relationship Id="rIdcnhwdzeuylghqhrbm_4cy" Type="http://schemas.openxmlformats.org/officeDocument/2006/relationships/hyperlink" Target="https://cpacompare.hk/blog/esg-%E5%A0%B1%E5%91%8A-%E9%A6%99%E6%B8%AF-2026-hkex-%E7%A2%B3%E6%8A%AB%E9%9C%B2-%E5%8F%AF%E6%8C%81%E7%BA%8C%E6%8A%AB%E9%9C%B2-%E4%B8%8A%E5%B8%82%E5%85%AC%E5%8F%B8" TargetMode="External"/><Relationship Id="rIdixlzc0wbfoeb9cqgneg6m" Type="http://schemas.openxmlformats.org/officeDocument/2006/relationships/hyperlink" Target="https://www.esgtoday.com/china-releases-corporate-climate-reporting-standard/" TargetMode="External"/><Relationship Id="rIdvx9prwnylp1126qms8wif" Type="http://schemas.openxmlformats.org/officeDocument/2006/relationships/hyperlink" Target="https://ecoexpoasia.hk.messefrankfurt.com/hongkong/en.html" TargetMode="External"/><Relationship Id="rIdq5hmqkfegmvjagjlgkznx" Type="http://schemas.openxmlformats.org/officeDocument/2006/relationships/hyperlink" Target="https://www.thestandard.com.hk/finance/article/333364/HKEX-new-listings-reach-62-in-the-first-five-months-of-2026-500-applications-in-progress" TargetMode="External"/><Relationship Id="rId7brlfwprlnmq2qkxcxopn" Type="http://schemas.openxmlformats.org/officeDocument/2006/relationships/hyperlink" Target="https://www.dehst.de/EN/Topics/CBAM/CBAM-definitive-regime-2026/cbam-definitive-regime-2026_artikel.html" TargetMode="External"/><Relationship Id="rIdsro9lvyhgv4rkpjvtmmvg" Type="http://schemas.openxmlformats.org/officeDocument/2006/relationships/hyperlink" Target="https://www.mayerbrown.com/en/insights/publications/2026/02/eu-regulation-on-deforestation-free-products-eudr-what-lies-ahead-in-2026" TargetMode="External"/><Relationship Id="rIdqzblg2omvfvqsgnq7s5po" Type="http://schemas.openxmlformats.org/officeDocument/2006/relationships/hyperlink" Target="https://www.nortonrosefulbright.com/en/knowledge/publications/1679488b/european-parliament-votes-to-adopt-omnibus-proposal-amending-csrd-and-cs3d" TargetMode="External"/><Relationship Id="rIdoqjaqzihw4j84opwvmbys" Type="http://schemas.openxmlformats.org/officeDocument/2006/relationships/hyperlink" Target="https://www.ifrs.org/content/dam/ifrs/meetings/2026/april/ac/ac5-issb-update.pdf" TargetMode="External"/><Relationship Id="rIdfcuac2byjf_qmfuiugnv6" Type="http://schemas.openxmlformats.org/officeDocument/2006/relationships/hyperlink" Target="https://asianbondsonline.adb.org/documents/abm/abm_sep_2025_recent_developments_asean3_sustainable_bond_markets.pdf" TargetMode="External"/><Relationship Id="rIdc34or1lfwllsbcpjbzt-1" Type="http://schemas.openxmlformats.org/officeDocument/2006/relationships/hyperlink" Target="https://www.ecosperity.sg/en/our-events/ecosperity-week-2026/overview" TargetMode="External"/><Relationship Id="rIdvc7uqnamujosgqtaytiog" Type="http://schemas.openxmlformats.org/officeDocument/2006/relationships/hyperlink" Target="https://www.prnewswire.com/apac/news-releases/singapore-international-energy-week-2026-sets-sights-on-connecting-energy-systems-powering-tomorrow-302726351.html" TargetMode="External"/><Relationship Id="rId-edssb0ko-v9jabnu5prp" Type="http://schemas.openxmlformats.org/officeDocument/2006/relationships/hyperlink" Target="https://www.mordorintelligence.com/industry-reports/south-east-asia-consulting-services-market" TargetMode="External"/><Relationship Id="rIdqysqkqhhlyoqvaztumk65" Type="http://schemas.openxmlformats.org/officeDocument/2006/relationships/hyperlink" Target="https://www.presgo.com/en-my/articles/nsrf-malaysia-guide/" TargetMode="External"/><Relationship Id="rIdfqay0mcaau9ltiory1wdm" Type="http://schemas.openxmlformats.org/officeDocument/2006/relationships/hyperlink" Target="https://www.eco-business.com/news/malaysian-companies-must-report-scope-3-emissions-starting-2027/" TargetMode="External"/><Relationship Id="rId23" Type="http://schemas.openxmlformats.org/officeDocument/2006/relationships/image" Target="media/cde9175bb2fa6405d2bedcabbaec3b04b066b122.png"/><Relationship Id="rId24" Type="http://schemas.openxmlformats.org/officeDocument/2006/relationships/image" Target="media/216c2108e7d18ac8ae318ad332455f5d4cf84d06.png"/><Relationship Id="rId1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ESG Services Opportunity Study: Indonesia, Malaysia, Singapore, Hong Kong (2026-2029)</dc:title>
  <dc:creator>ESG market research</dc:creator>
  <dc:description>Business opportunity study for an independent ESG consultant</dc:description>
  <cp:lastModifiedBy>Un-named</cp:lastModifiedBy>
  <cp:revision>1</cp:revision>
  <dcterms:created xsi:type="dcterms:W3CDTF">2026-10-02T23:01:24.870Z</dcterms:created>
  <dcterms:modified xsi:type="dcterms:W3CDTF">2026-10-02T23:01:24.870Z</dcterms:modified>
</cp:coreProperties>
</file>

<file path=docProps/custom.xml><?xml version="1.0" encoding="utf-8"?>
<Properties xmlns="http://schemas.openxmlformats.org/officeDocument/2006/custom-properties" xmlns:vt="http://schemas.openxmlformats.org/officeDocument/2006/docPropsVTypes"/>
</file>