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EE0353" w14:textId="77777777" w:rsidR="008429B8" w:rsidRPr="000679CC" w:rsidRDefault="008429B8" w:rsidP="008429B8">
      <w:pPr>
        <w:pStyle w:val="a4"/>
        <w:numPr>
          <w:ilvl w:val="0"/>
          <w:numId w:val="1"/>
        </w:numPr>
        <w:ind w:firstLineChars="200" w:firstLine="361"/>
        <w:jc w:val="left"/>
        <w:rPr>
          <w:rStyle w:val="a3"/>
          <w:rFonts w:ascii="Times New Roman" w:eastAsia="楷体" w:hAnsi="Times New Roman" w:cs="Times New Roman"/>
          <w:i w:val="0"/>
          <w:iCs w:val="0"/>
          <w:sz w:val="18"/>
          <w:szCs w:val="18"/>
        </w:rPr>
      </w:pPr>
      <w:r w:rsidRPr="000679CC">
        <w:rPr>
          <w:rStyle w:val="a3"/>
          <w:rFonts w:ascii="Times New Roman" w:eastAsia="楷体" w:hAnsi="Times New Roman" w:cs="Times New Roman"/>
          <w:sz w:val="18"/>
          <w:szCs w:val="18"/>
        </w:rPr>
        <w:t>觀察者效應的</w:t>
      </w:r>
      <w:r>
        <w:rPr>
          <w:rStyle w:val="a3"/>
          <w:rFonts w:ascii="Times New Roman" w:eastAsia="楷体" w:hAnsi="Times New Roman" w:cs="Times New Roman" w:hint="eastAsia"/>
          <w:i w:val="0"/>
          <w:iCs w:val="0"/>
          <w:sz w:val="18"/>
          <w:szCs w:val="18"/>
        </w:rPr>
        <w:t>可能</w:t>
      </w:r>
      <w:r w:rsidRPr="000679CC">
        <w:rPr>
          <w:rStyle w:val="a3"/>
          <w:rFonts w:ascii="Times New Roman" w:eastAsia="楷体" w:hAnsi="Times New Roman" w:cs="Times New Roman"/>
          <w:sz w:val="18"/>
          <w:szCs w:val="18"/>
        </w:rPr>
        <w:t>根源</w:t>
      </w:r>
    </w:p>
    <w:p w14:paraId="0C02893B"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我們生活在經典宇宙之中，</w:t>
      </w:r>
      <w:r w:rsidRPr="000679CC">
        <w:rPr>
          <w:rFonts w:ascii="Times New Roman" w:eastAsia="楷体" w:hAnsi="Times New Roman" w:cs="Times New Roman" w:hint="eastAsia"/>
          <w:sz w:val="18"/>
          <w:szCs w:val="18"/>
        </w:rPr>
        <w:t>但</w:t>
      </w:r>
      <w:r w:rsidRPr="000679CC">
        <w:rPr>
          <w:rFonts w:ascii="Times New Roman" w:eastAsia="楷体" w:hAnsi="Times New Roman" w:cs="Times New Roman"/>
          <w:sz w:val="18"/>
          <w:szCs w:val="18"/>
        </w:rPr>
        <w:t>量子宇宙學告訴我們，大爆炸後的早期宇宙必定是量子的。因此，在量子宇宙學中，退相干導致宇宙趨向經典的想法十分重要。通常返相干的論證依賴於存在系統與外部系統的相互作用，但對於整個宇宙而言，通常不存在外部的觀察者和環境，量子測量何在？為什麼我們的宇宙會變成經典的？回答這一問題的關鍵在於，描述宇宙時我們忽略了其內部的信息。而宇宙內部的細節，雖然不改變其集體運動的狀態，但會與之糾纏起來，使之發生退相干。</w:t>
      </w:r>
      <w:r w:rsidRPr="000679CC">
        <w:rPr>
          <w:rFonts w:ascii="Times New Roman" w:eastAsia="楷体" w:hAnsi="Times New Roman" w:cs="Times New Roman"/>
          <w:sz w:val="18"/>
          <w:szCs w:val="18"/>
        </w:rPr>
        <w:t>Griffiths</w:t>
      </w:r>
      <w:r w:rsidRPr="000679CC">
        <w:rPr>
          <w:rFonts w:ascii="Times New Roman" w:eastAsia="楷体" w:hAnsi="Times New Roman" w:cs="Times New Roman"/>
          <w:sz w:val="18"/>
          <w:szCs w:val="18"/>
        </w:rPr>
        <w:t>、</w:t>
      </w:r>
      <w:proofErr w:type="spellStart"/>
      <w:r w:rsidRPr="000679CC">
        <w:rPr>
          <w:rFonts w:ascii="Times New Roman" w:eastAsia="楷体" w:hAnsi="Times New Roman" w:cs="Times New Roman"/>
          <w:sz w:val="18"/>
          <w:szCs w:val="18"/>
        </w:rPr>
        <w:t>Omnes</w:t>
      </w:r>
      <w:proofErr w:type="spellEnd"/>
      <w:r w:rsidRPr="000679CC">
        <w:rPr>
          <w:rFonts w:ascii="Times New Roman" w:eastAsia="楷体" w:hAnsi="Times New Roman" w:cs="Times New Roman"/>
          <w:sz w:val="18"/>
          <w:szCs w:val="18"/>
        </w:rPr>
        <w:t>、</w:t>
      </w:r>
      <w:proofErr w:type="spellStart"/>
      <w:r w:rsidRPr="000679CC">
        <w:rPr>
          <w:rFonts w:ascii="Times New Roman" w:eastAsia="楷体" w:hAnsi="Times New Roman" w:cs="Times New Roman"/>
          <w:sz w:val="18"/>
          <w:szCs w:val="18"/>
        </w:rPr>
        <w:t>Hartale</w:t>
      </w:r>
      <w:proofErr w:type="spellEnd"/>
      <w:r w:rsidRPr="000679CC">
        <w:rPr>
          <w:rFonts w:ascii="Times New Roman" w:eastAsia="楷体" w:hAnsi="Times New Roman" w:cs="Times New Roman"/>
          <w:sz w:val="18"/>
          <w:szCs w:val="18"/>
        </w:rPr>
        <w:t>和蓋爾曼等人曾深入地研究過這種「沒有觀察者」的量子宇宙學，指出了廣義測量導致退相干的實質。他們借用了</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退相干歷史</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的概念。其大意是，整個宇宙是處於一個量子純態上，它描述了宇宙各個部分之間的彼此關聯，代表了完全精粒化的歷史。然而，人們所關心和能夠「看到」的是一種粗粒化的歷史</w:t>
      </w:r>
      <w:r w:rsidRPr="000679CC">
        <w:rPr>
          <w:rFonts w:ascii="Times New Roman" w:eastAsia="楷体" w:hAnsi="Times New Roman" w:cs="Times New Roman" w:hint="eastAsia"/>
          <w:sz w:val="18"/>
          <w:szCs w:val="18"/>
        </w:rPr>
        <w:t>，</w:t>
      </w:r>
      <w:r w:rsidRPr="000679CC">
        <w:rPr>
          <w:rFonts w:ascii="Times New Roman" w:eastAsia="楷体" w:hAnsi="Times New Roman" w:cs="Times New Roman"/>
          <w:sz w:val="18"/>
          <w:szCs w:val="18"/>
        </w:rPr>
        <w:t>它可以視為各種精粒化歷史的等價類，對於這些等價類而言，無需外部測量，量子退相干就發生了。</w:t>
      </w:r>
    </w:p>
    <w:p w14:paraId="58575C7F"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物理學家們已經注意到經典物理中的麥克斯韋方程組及薛定諤方程式中所沒有解釋的能量場的存在</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標量波</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也稱縱波</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w:t>
      </w:r>
    </w:p>
    <w:p w14:paraId="2A845997"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標量波在大的範疇里，屬於量子技術的研究領域。標量的存在已經被近代物理學的創立者所熟知，麥克斯韋在</w:t>
      </w:r>
      <w:r w:rsidRPr="000679CC">
        <w:rPr>
          <w:rFonts w:ascii="Times New Roman" w:eastAsia="楷体" w:hAnsi="Times New Roman" w:cs="Times New Roman"/>
          <w:sz w:val="18"/>
          <w:szCs w:val="18"/>
        </w:rPr>
        <w:t>1873</w:t>
      </w:r>
      <w:r w:rsidRPr="000679CC">
        <w:rPr>
          <w:rFonts w:ascii="Times New Roman" w:eastAsia="楷体" w:hAnsi="Times New Roman" w:cs="Times New Roman"/>
          <w:sz w:val="18"/>
          <w:szCs w:val="18"/>
        </w:rPr>
        <w:t>年提出的電磁學理論既包含磁矢量勢也包含靜電標量勢場，但此後由亥維賽、吉希斯赫茲修正的電磁學理論並沒有把電勢和磁勢看作是場的物理學實際分量，其中麥克斯韋方程的標量術語被忽略了，導致長期以來，無論是理論研究還是電子學和信息工程學應用，標量場、標量波一直沒有得到重視。</w:t>
      </w:r>
    </w:p>
    <w:p w14:paraId="326DCD73"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標量波最早由</w:t>
      </w:r>
      <w:r w:rsidRPr="000679CC">
        <w:rPr>
          <w:rFonts w:ascii="Times New Roman" w:eastAsia="楷体" w:hAnsi="Times New Roman" w:cs="Times New Roman"/>
          <w:sz w:val="18"/>
          <w:szCs w:val="18"/>
        </w:rPr>
        <w:t>100</w:t>
      </w:r>
      <w:r w:rsidRPr="000679CC">
        <w:rPr>
          <w:rFonts w:ascii="Times New Roman" w:eastAsia="楷体" w:hAnsi="Times New Roman" w:cs="Times New Roman"/>
          <w:sz w:val="18"/>
          <w:szCs w:val="18"/>
        </w:rPr>
        <w:t>多年前由尼古拉</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特斯拉</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現代科技文明的創始人之一髮現並首次應用到無線輸電，因此一般稱為特斯拉標量波。標量波不但可用於能量和信息傳輸，而且非常有趣。標量場被稱為「零矢量電磁場」：這種場的力（電和磁分量）趨向於零，但它的標勢是守恆的，並且是實在的</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具有物理學效應。</w:t>
      </w:r>
    </w:p>
    <w:p w14:paraId="396F7537"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經典物理學一向認為只有力才能造成物理作用效果，現代科學中確有非力效應情況的存在，如</w:t>
      </w:r>
      <w:proofErr w:type="spellStart"/>
      <w:r w:rsidRPr="000679CC">
        <w:rPr>
          <w:rFonts w:ascii="Times New Roman" w:eastAsia="楷体" w:hAnsi="Times New Roman" w:cs="Times New Roman"/>
          <w:sz w:val="18"/>
          <w:szCs w:val="18"/>
        </w:rPr>
        <w:t>Aharonov</w:t>
      </w:r>
      <w:proofErr w:type="spellEnd"/>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Bohm</w:t>
      </w:r>
      <w:r w:rsidRPr="000679CC">
        <w:rPr>
          <w:rFonts w:ascii="Times New Roman" w:eastAsia="楷体" w:hAnsi="Times New Roman" w:cs="Times New Roman"/>
          <w:sz w:val="18"/>
          <w:szCs w:val="18"/>
        </w:rPr>
        <w:t>效應和量子糾纏態，證實了由標量所產生的微妙的物理方面的實驗效應。</w:t>
      </w:r>
      <w:r w:rsidRPr="000679CC">
        <w:rPr>
          <w:rFonts w:ascii="Times New Roman" w:eastAsia="楷体" w:hAnsi="Times New Roman" w:cs="Times New Roman"/>
          <w:sz w:val="18"/>
          <w:szCs w:val="18"/>
        </w:rPr>
        <w:t>AB</w:t>
      </w:r>
      <w:r w:rsidRPr="000679CC">
        <w:rPr>
          <w:rFonts w:ascii="Times New Roman" w:eastAsia="楷体" w:hAnsi="Times New Roman" w:cs="Times New Roman"/>
          <w:sz w:val="18"/>
          <w:szCs w:val="18"/>
        </w:rPr>
        <w:t>效應在科學認識史上有極重要意義，它證實了量子力學中非定域性的存在，證實了電磁理論與量子理論聯繫起來研究的必要性，表明經典理論中的電、磁分量不能完全描述自然界的電磁現象，「無力」的場實際上對帶電粒子的運動產生真正的和可測量的效應：分別代表場的電和磁分量為零</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意味著場不傳輸實際的力，但其勢不為零，零場區域</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但有位勢</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會影響帶電粒子的運動，因而是有物理意義的量。在沒有電力線、磁力線的空間</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沒有電磁場的空間</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，也有某種物理作用存在，標量波攜帶信息卻不攜帶力。</w:t>
      </w:r>
    </w:p>
    <w:p w14:paraId="03F0A0EA"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在論文</w:t>
      </w:r>
      <w:r w:rsidRPr="000679CC">
        <w:rPr>
          <w:rFonts w:ascii="Times New Roman" w:eastAsia="楷体" w:hAnsi="Times New Roman" w:cs="Times New Roman"/>
          <w:sz w:val="18"/>
          <w:szCs w:val="18"/>
        </w:rPr>
        <w:t>[1]</w:t>
      </w:r>
      <w:r w:rsidRPr="000679CC">
        <w:rPr>
          <w:rFonts w:ascii="Times New Roman" w:eastAsia="楷体" w:hAnsi="Times New Roman" w:cs="Times New Roman"/>
          <w:sz w:val="18"/>
          <w:szCs w:val="18"/>
        </w:rPr>
        <w:t>中，結合</w:t>
      </w:r>
      <w:proofErr w:type="spellStart"/>
      <w:r w:rsidRPr="000679CC">
        <w:rPr>
          <w:rFonts w:ascii="Times New Roman" w:eastAsia="楷体" w:hAnsi="Times New Roman" w:cs="Times New Roman"/>
          <w:sz w:val="18"/>
          <w:szCs w:val="18"/>
        </w:rPr>
        <w:t>Aharonov</w:t>
      </w:r>
      <w:proofErr w:type="spellEnd"/>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Bohm</w:t>
      </w:r>
      <w:r w:rsidRPr="000679CC">
        <w:rPr>
          <w:rFonts w:ascii="Times New Roman" w:eastAsia="楷体" w:hAnsi="Times New Roman" w:cs="Times New Roman"/>
          <w:sz w:val="18"/>
          <w:szCs w:val="18"/>
        </w:rPr>
        <w:t>效應具有量子力學非定域性以及具有類消失態的天線近區場效應，已在實驗中推導出</w:t>
      </w:r>
      <w:r w:rsidRPr="000679CC">
        <w:rPr>
          <w:rFonts w:ascii="Times New Roman" w:eastAsia="楷体" w:hAnsi="Times New Roman" w:cs="Times New Roman"/>
          <w:sz w:val="18"/>
          <w:szCs w:val="18"/>
        </w:rPr>
        <w:t>Tesla</w:t>
      </w:r>
      <w:r w:rsidRPr="000679CC">
        <w:rPr>
          <w:rFonts w:ascii="Times New Roman" w:eastAsia="楷体" w:hAnsi="Times New Roman" w:cs="Times New Roman"/>
          <w:sz w:val="18"/>
          <w:szCs w:val="18"/>
        </w:rPr>
        <w:t>標量波以超光速傳播是可能的，這可能解釋宇宙中准瞬時的相互關聯和由此而產生的相干性即使在天文學距離上也能出現。但其物理機制尚有待闡明，仍需要可靠、可信的實驗支撐。</w:t>
      </w:r>
    </w:p>
    <w:p w14:paraId="4159F3FE"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標量波技術和俄羅斯獨立研究</w:t>
      </w:r>
      <w:r w:rsidRPr="000679CC">
        <w:rPr>
          <w:rFonts w:ascii="Times New Roman" w:eastAsia="楷体" w:hAnsi="Times New Roman" w:cs="Times New Roman"/>
          <w:sz w:val="18"/>
          <w:szCs w:val="18"/>
        </w:rPr>
        <w:t>50</w:t>
      </w:r>
      <w:r w:rsidRPr="000679CC">
        <w:rPr>
          <w:rFonts w:ascii="Times New Roman" w:eastAsia="楷体" w:hAnsi="Times New Roman" w:cs="Times New Roman"/>
          <w:sz w:val="18"/>
          <w:szCs w:val="18"/>
        </w:rPr>
        <w:t>餘年的撓場技術本質相同，均為渦旋。</w:t>
      </w:r>
    </w:p>
    <w:p w14:paraId="32F23FF3"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眾所周知，無線電波和光波都是橫波，遇到障礙物如水或金屬等，要麼被吸收，要麼被反射，能量隨距離增加迅速衰減（與距離的平方成反比）；但標量波屬於縱波，與聲波類似，是電磁勢在傳播方向上的擴張和收縮。標量的縱向傳播，允許線性波前相互疊加而不是相互貫穿。由標量產生的干涉波圖樣是所謂的「薛定諤全息圖」</w:t>
      </w:r>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它們保持著相信息。如同所有全息圖一樣，這種信息以一種分布的形式存在於全息圖的所有點中。這可能能夠解釋為什麼在一定的、可以想象的廣闊範圍內產生相干性的相互關聯幾乎是瞬時的。</w:t>
      </w:r>
    </w:p>
    <w:p w14:paraId="128C1D9B"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德國的</w:t>
      </w:r>
      <w:proofErr w:type="spellStart"/>
      <w:r w:rsidRPr="000679CC">
        <w:rPr>
          <w:rFonts w:ascii="Times New Roman" w:eastAsia="楷体" w:hAnsi="Times New Roman" w:cs="Times New Roman"/>
          <w:sz w:val="18"/>
          <w:szCs w:val="18"/>
        </w:rPr>
        <w:t>K.Meyl</w:t>
      </w:r>
      <w:proofErr w:type="spellEnd"/>
      <w:r w:rsidRPr="000679CC">
        <w:rPr>
          <w:rFonts w:ascii="Times New Roman" w:eastAsia="楷体" w:hAnsi="Times New Roman" w:cs="Times New Roman"/>
          <w:sz w:val="18"/>
          <w:szCs w:val="18"/>
        </w:rPr>
        <w:t>教授對特斯拉的縱波進行了現代的解讀，並列舉了很多實驗</w:t>
      </w:r>
      <w:r w:rsidRPr="000679CC">
        <w:rPr>
          <w:rFonts w:ascii="Times New Roman" w:eastAsia="楷体" w:hAnsi="Times New Roman" w:cs="Times New Roman"/>
          <w:sz w:val="18"/>
          <w:szCs w:val="18"/>
        </w:rPr>
        <w:t>[2]</w:t>
      </w:r>
      <w:r w:rsidRPr="000679CC">
        <w:rPr>
          <w:rFonts w:ascii="Times New Roman" w:eastAsia="楷体" w:hAnsi="Times New Roman" w:cs="Times New Roman"/>
          <w:sz w:val="18"/>
          <w:szCs w:val="18"/>
        </w:rPr>
        <w:t>。</w:t>
      </w:r>
    </w:p>
    <w:p w14:paraId="24586BFF"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實驗結果支持數學和物理的推導結論，表明通常被忽略的標量波由於特殊的性質在信息和能源技術方面的實際應用是非常有趣的。實驗顯示以下幾點結論：</w:t>
      </w:r>
    </w:p>
    <w:p w14:paraId="6F33E150"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(1)</w:t>
      </w:r>
      <w:r w:rsidRPr="000679CC">
        <w:rPr>
          <w:rFonts w:ascii="Times New Roman" w:eastAsia="楷体" w:hAnsi="Times New Roman" w:cs="Times New Roman"/>
          <w:sz w:val="18"/>
          <w:szCs w:val="18"/>
        </w:rPr>
        <w:t>電能的無線傳輸；在實驗中被證明可遠距離傳輸能量和信息，衰減很少；有別於普通電磁波，不隨距離增大而衰減；</w:t>
      </w:r>
    </w:p>
    <w:p w14:paraId="3457A570"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(2)</w:t>
      </w:r>
      <w:r w:rsidRPr="000679CC">
        <w:rPr>
          <w:rFonts w:ascii="Times New Roman" w:eastAsia="楷体" w:hAnsi="Times New Roman" w:cs="Times New Roman"/>
          <w:sz w:val="18"/>
          <w:szCs w:val="18"/>
        </w:rPr>
        <w:t>接收器對發射器的反作用；</w:t>
      </w:r>
    </w:p>
    <w:p w14:paraId="21727868"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lastRenderedPageBreak/>
        <w:t>(3)</w:t>
      </w:r>
      <w:r w:rsidRPr="000679CC">
        <w:rPr>
          <w:rFonts w:ascii="Times New Roman" w:eastAsia="楷体" w:hAnsi="Times New Roman" w:cs="Times New Roman"/>
          <w:sz w:val="18"/>
          <w:szCs w:val="18"/>
        </w:rPr>
        <w:t>獲得能效比約為</w:t>
      </w:r>
      <w:r w:rsidRPr="000679CC">
        <w:rPr>
          <w:rFonts w:ascii="Times New Roman" w:eastAsia="楷体" w:hAnsi="Times New Roman" w:cs="Times New Roman"/>
          <w:sz w:val="18"/>
          <w:szCs w:val="18"/>
        </w:rPr>
        <w:t>10</w:t>
      </w:r>
      <w:r w:rsidRPr="000679CC">
        <w:rPr>
          <w:rFonts w:ascii="Times New Roman" w:eastAsia="楷体" w:hAnsi="Times New Roman" w:cs="Times New Roman"/>
          <w:sz w:val="18"/>
          <w:szCs w:val="18"/>
        </w:rPr>
        <w:t>的自由能量；對能量的遠距離傳輸衰減很少；</w:t>
      </w:r>
    </w:p>
    <w:p w14:paraId="3F81E288"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(4)</w:t>
      </w:r>
      <w:r w:rsidRPr="000679CC">
        <w:rPr>
          <w:rFonts w:ascii="Times New Roman" w:eastAsia="楷体" w:hAnsi="Times New Roman" w:cs="Times New Roman"/>
          <w:sz w:val="18"/>
          <w:szCs w:val="18"/>
        </w:rPr>
        <w:t>標量波的波速約為光速的</w:t>
      </w:r>
      <w:r w:rsidRPr="000679CC">
        <w:rPr>
          <w:rFonts w:ascii="Times New Roman" w:eastAsia="楷体" w:hAnsi="Times New Roman" w:cs="Times New Roman"/>
          <w:sz w:val="18"/>
          <w:szCs w:val="18"/>
        </w:rPr>
        <w:t>1.5</w:t>
      </w:r>
      <w:r w:rsidRPr="000679CC">
        <w:rPr>
          <w:rFonts w:ascii="Times New Roman" w:eastAsia="楷体" w:hAnsi="Times New Roman" w:cs="Times New Roman"/>
          <w:sz w:val="18"/>
          <w:szCs w:val="18"/>
        </w:rPr>
        <w:t>倍；</w:t>
      </w:r>
    </w:p>
    <w:p w14:paraId="74DC5072" w14:textId="77777777" w:rsidR="008429B8" w:rsidRPr="000679CC" w:rsidRDefault="008429B8" w:rsidP="008429B8">
      <w:pPr>
        <w:ind w:firstLineChars="200" w:firstLine="360"/>
        <w:jc w:val="both"/>
        <w:rPr>
          <w:rFonts w:ascii="Times New Roman" w:eastAsia="楷体" w:hAnsi="Times New Roman" w:cs="Times New Roman"/>
          <w:sz w:val="18"/>
          <w:szCs w:val="18"/>
        </w:rPr>
      </w:pPr>
      <w:r w:rsidRPr="000679CC">
        <w:rPr>
          <w:rFonts w:ascii="Times New Roman" w:eastAsia="楷体" w:hAnsi="Times New Roman" w:cs="Times New Roman"/>
          <w:sz w:val="18"/>
          <w:szCs w:val="18"/>
        </w:rPr>
        <w:t>(5)</w:t>
      </w:r>
      <w:r w:rsidRPr="000679CC">
        <w:rPr>
          <w:rFonts w:ascii="Times New Roman" w:eastAsia="楷体" w:hAnsi="Times New Roman" w:cs="Times New Roman"/>
          <w:sz w:val="18"/>
          <w:szCs w:val="18"/>
        </w:rPr>
        <w:t>使用法拉第籠</w:t>
      </w:r>
      <w:r w:rsidRPr="000679CC">
        <w:rPr>
          <w:rFonts w:ascii="Times New Roman" w:eastAsia="楷体" w:hAnsi="Times New Roman" w:cs="Times New Roman"/>
          <w:sz w:val="18"/>
          <w:szCs w:val="18"/>
        </w:rPr>
        <w:t>(</w:t>
      </w:r>
      <w:proofErr w:type="spellStart"/>
      <w:r w:rsidRPr="000679CC">
        <w:rPr>
          <w:rFonts w:ascii="Times New Roman" w:eastAsia="楷体" w:hAnsi="Times New Roman" w:cs="Times New Roman"/>
          <w:sz w:val="18"/>
          <w:szCs w:val="18"/>
        </w:rPr>
        <w:t>Faradaycage</w:t>
      </w:r>
      <w:proofErr w:type="spellEnd"/>
      <w:r w:rsidRPr="000679CC">
        <w:rPr>
          <w:rFonts w:ascii="Times New Roman" w:eastAsia="楷体" w:hAnsi="Times New Roman" w:cs="Times New Roman"/>
          <w:sz w:val="18"/>
          <w:szCs w:val="18"/>
        </w:rPr>
        <w:t>)</w:t>
      </w:r>
      <w:r w:rsidRPr="000679CC">
        <w:rPr>
          <w:rFonts w:ascii="Times New Roman" w:eastAsia="楷体" w:hAnsi="Times New Roman" w:cs="Times New Roman"/>
          <w:sz w:val="18"/>
          <w:szCs w:val="18"/>
        </w:rPr>
        <w:t>來屏蔽標量波無效。它能穿透任何堅硬的物體，甚至可穿透法拉第屏和整個地球。</w:t>
      </w:r>
    </w:p>
    <w:p w14:paraId="43072BD6" w14:textId="77777777" w:rsidR="008429B8" w:rsidRPr="000679CC" w:rsidRDefault="008429B8" w:rsidP="008429B8">
      <w:pPr>
        <w:ind w:firstLineChars="200" w:firstLine="360"/>
        <w:jc w:val="both"/>
        <w:rPr>
          <w:rFonts w:ascii="Times New Roman" w:eastAsia="楷体" w:hAnsi="Times New Roman" w:cs="Times New Roman"/>
          <w:sz w:val="18"/>
          <w:szCs w:val="18"/>
          <w:lang w:val="en-GB"/>
        </w:rPr>
      </w:pPr>
      <w:r w:rsidRPr="000679CC">
        <w:rPr>
          <w:rFonts w:ascii="Times New Roman" w:eastAsia="楷体" w:hAnsi="Times New Roman" w:cs="Times New Roman"/>
          <w:sz w:val="18"/>
          <w:szCs w:val="18"/>
          <w:lang w:val="en-GB"/>
        </w:rPr>
        <w:t>雖然這些實驗的嚴謹性是否達到現代科學的要求，還值得探討，但這些工作對自由能源的研究具有啓發意義。</w:t>
      </w:r>
    </w:p>
    <w:p w14:paraId="0529857D" w14:textId="77777777" w:rsidR="008429B8" w:rsidRPr="000679CC" w:rsidRDefault="008429B8" w:rsidP="008429B8">
      <w:pPr>
        <w:ind w:firstLineChars="200" w:firstLine="360"/>
        <w:jc w:val="both"/>
        <w:rPr>
          <w:rFonts w:ascii="Times New Roman" w:eastAsia="楷体" w:hAnsi="Times New Roman" w:cs="Times New Roman"/>
          <w:sz w:val="18"/>
          <w:szCs w:val="18"/>
          <w:lang w:val="en-GB"/>
        </w:rPr>
      </w:pPr>
      <w:r w:rsidRPr="000679CC">
        <w:rPr>
          <w:rFonts w:ascii="Times New Roman" w:eastAsia="楷体" w:hAnsi="Times New Roman" w:cs="Times New Roman"/>
          <w:sz w:val="18"/>
          <w:szCs w:val="18"/>
          <w:lang w:val="en-GB"/>
        </w:rPr>
        <w:t>我們從自組織理論來看人類意識領域的群體現象的物理學解釋。自組織理論與量子力學、相對論一起並稱</w:t>
      </w:r>
      <w:r w:rsidRPr="000679CC">
        <w:rPr>
          <w:rFonts w:ascii="Times New Roman" w:eastAsia="楷体" w:hAnsi="Times New Roman" w:cs="Times New Roman"/>
          <w:sz w:val="18"/>
          <w:szCs w:val="18"/>
          <w:lang w:val="en-GB"/>
        </w:rPr>
        <w:t>20</w:t>
      </w:r>
      <w:r w:rsidRPr="000679CC">
        <w:rPr>
          <w:rFonts w:ascii="Times New Roman" w:eastAsia="楷体" w:hAnsi="Times New Roman" w:cs="Times New Roman"/>
          <w:sz w:val="18"/>
          <w:szCs w:val="18"/>
          <w:lang w:val="en-GB"/>
        </w:rPr>
        <w:t>世紀自然科學理論的三大基石。大腦是複雜、開放、有意識的自組織系統。自組織系統具有幾個條件：遠離平衡態，存在漲落，有「自複製」機制，有非線性作用，有反饋，有模式選擇機制。以科學為例，自然科學的觀點、思想、基本方程、定律、原理、學說、學派，都是自組織的結果。起初，眾說紛紜，即漲落。不同的意見和觀點通過比較、競爭、反饋，某種觀點及其預言被更多的實驗和決定性的實驗證實，這種觀點就成為相應層次上的主模和序參數，也都有複雜的演化過程。學術觀點是吸引子，定律是更大的吸引子，基本原理是最高級、最巨大的吸引子。各學科的研究結果都要匯集到基本原理吸引子。當然，自然科學中的吸引子都不是絕對穩定的、一成不變的，而是在實踐中不斷演化與發展的。簡言之，一個群體的意識總會互相干擾各自思想最後形成某種社群文化意識波群。</w:t>
      </w:r>
    </w:p>
    <w:p w14:paraId="24F2D099" w14:textId="77777777" w:rsidR="008429B8" w:rsidRPr="000679CC" w:rsidRDefault="008429B8" w:rsidP="008429B8">
      <w:pPr>
        <w:ind w:firstLineChars="200" w:firstLine="360"/>
        <w:jc w:val="both"/>
        <w:rPr>
          <w:rFonts w:ascii="Times New Roman" w:eastAsia="楷体" w:hAnsi="Times New Roman" w:cs="Times New Roman"/>
          <w:sz w:val="18"/>
          <w:szCs w:val="18"/>
          <w:lang w:val="en-GB"/>
        </w:rPr>
      </w:pPr>
      <w:r w:rsidRPr="000679CC">
        <w:rPr>
          <w:rFonts w:ascii="Times New Roman" w:eastAsia="楷体" w:hAnsi="Times New Roman" w:cs="Times New Roman"/>
          <w:sz w:val="18"/>
          <w:szCs w:val="18"/>
          <w:lang w:val="en-GB"/>
        </w:rPr>
        <w:t>2009</w:t>
      </w:r>
      <w:r w:rsidRPr="000679CC">
        <w:rPr>
          <w:rFonts w:ascii="Times New Roman" w:eastAsia="楷体" w:hAnsi="Times New Roman" w:cs="Times New Roman"/>
          <w:sz w:val="18"/>
          <w:szCs w:val="18"/>
          <w:lang w:val="en-GB"/>
        </w:rPr>
        <w:t>年</w:t>
      </w:r>
      <w:r w:rsidRPr="000679CC">
        <w:rPr>
          <w:rFonts w:ascii="Times New Roman" w:eastAsia="楷体" w:hAnsi="Times New Roman" w:cs="Times New Roman"/>
          <w:sz w:val="18"/>
          <w:szCs w:val="18"/>
          <w:lang w:val="en-GB"/>
        </w:rPr>
        <w:t>N</w:t>
      </w:r>
      <w:r w:rsidRPr="000679CC">
        <w:rPr>
          <w:rFonts w:ascii="Times New Roman" w:eastAsia="楷体" w:hAnsi="Times New Roman" w:cs="Times New Roman"/>
          <w:sz w:val="18"/>
          <w:szCs w:val="18"/>
          <w:lang w:val="en-GB"/>
        </w:rPr>
        <w:t>．</w:t>
      </w:r>
      <w:r w:rsidRPr="000679CC">
        <w:rPr>
          <w:rFonts w:ascii="Times New Roman" w:eastAsia="楷体" w:hAnsi="Times New Roman" w:cs="Times New Roman"/>
          <w:sz w:val="18"/>
          <w:szCs w:val="18"/>
          <w:lang w:val="en-GB"/>
        </w:rPr>
        <w:t>Budko</w:t>
      </w:r>
      <w:r w:rsidRPr="000679CC">
        <w:rPr>
          <w:rFonts w:ascii="Times New Roman" w:eastAsia="楷体" w:hAnsi="Times New Roman" w:cs="Times New Roman"/>
          <w:sz w:val="18"/>
          <w:szCs w:val="18"/>
          <w:lang w:val="en-GB"/>
        </w:rPr>
        <w:t>［</w:t>
      </w:r>
      <w:r w:rsidRPr="000679CC">
        <w:rPr>
          <w:rFonts w:ascii="Times New Roman" w:eastAsia="楷体" w:hAnsi="Times New Roman" w:cs="Times New Roman"/>
          <w:sz w:val="18"/>
          <w:szCs w:val="18"/>
          <w:lang w:val="en-GB"/>
        </w:rPr>
        <w:t>21</w:t>
      </w:r>
      <w:r w:rsidRPr="000679CC">
        <w:rPr>
          <w:rFonts w:ascii="Times New Roman" w:eastAsia="楷体" w:hAnsi="Times New Roman" w:cs="Times New Roman"/>
          <w:sz w:val="18"/>
          <w:szCs w:val="18"/>
          <w:lang w:val="en-GB"/>
        </w:rPr>
        <w:t>］以理論和實驗證明，矢量電磁場的近場、中場電力學比簡單的理解</w:t>
      </w:r>
      <w:r w:rsidRPr="000679CC">
        <w:rPr>
          <w:rFonts w:ascii="Times New Roman" w:eastAsia="楷体" w:hAnsi="Times New Roman" w:cs="Times New Roman"/>
          <w:sz w:val="18"/>
          <w:szCs w:val="18"/>
          <w:lang w:val="en-GB"/>
        </w:rPr>
        <w:t>(</w:t>
      </w:r>
      <w:r w:rsidRPr="000679CC">
        <w:rPr>
          <w:rFonts w:ascii="Times New Roman" w:eastAsia="楷体" w:hAnsi="Times New Roman" w:cs="Times New Roman"/>
          <w:sz w:val="18"/>
          <w:szCs w:val="18"/>
          <w:lang w:val="en-GB"/>
        </w:rPr>
        <w:t>由內向外傳播</w:t>
      </w:r>
      <w:r w:rsidRPr="000679CC">
        <w:rPr>
          <w:rFonts w:ascii="Times New Roman" w:eastAsia="楷体" w:hAnsi="Times New Roman" w:cs="Times New Roman"/>
          <w:sz w:val="18"/>
          <w:szCs w:val="18"/>
          <w:lang w:val="en-GB"/>
        </w:rPr>
        <w:t>)</w:t>
      </w:r>
      <w:r w:rsidRPr="000679CC">
        <w:rPr>
          <w:rFonts w:ascii="Times New Roman" w:eastAsia="楷体" w:hAnsi="Times New Roman" w:cs="Times New Roman"/>
          <w:sz w:val="18"/>
          <w:szCs w:val="18"/>
          <w:lang w:val="en-GB"/>
        </w:rPr>
        <w:t>要複雜得多，在近區甚至可能出現波的反時間行進</w:t>
      </w:r>
      <w:r w:rsidRPr="000679CC">
        <w:rPr>
          <w:rFonts w:ascii="Times New Roman" w:eastAsia="楷体" w:hAnsi="Times New Roman" w:cs="Times New Roman"/>
          <w:sz w:val="18"/>
          <w:szCs w:val="18"/>
          <w:lang w:val="en-GB"/>
        </w:rPr>
        <w:t>(</w:t>
      </w:r>
      <w:proofErr w:type="spellStart"/>
      <w:r w:rsidRPr="000679CC">
        <w:rPr>
          <w:rFonts w:ascii="Times New Roman" w:eastAsia="楷体" w:hAnsi="Times New Roman" w:cs="Times New Roman"/>
          <w:sz w:val="18"/>
          <w:szCs w:val="18"/>
          <w:lang w:val="en-GB"/>
        </w:rPr>
        <w:t>travelbackintime</w:t>
      </w:r>
      <w:proofErr w:type="spellEnd"/>
      <w:r w:rsidRPr="000679CC">
        <w:rPr>
          <w:rFonts w:ascii="Times New Roman" w:eastAsia="楷体" w:hAnsi="Times New Roman" w:cs="Times New Roman"/>
          <w:sz w:val="18"/>
          <w:szCs w:val="18"/>
          <w:lang w:val="en-GB"/>
        </w:rPr>
        <w:t>)</w:t>
      </w:r>
      <w:r w:rsidRPr="000679CC">
        <w:rPr>
          <w:rFonts w:ascii="Times New Roman" w:eastAsia="楷体" w:hAnsi="Times New Roman" w:cs="Times New Roman"/>
          <w:sz w:val="18"/>
          <w:szCs w:val="18"/>
          <w:lang w:val="en-GB"/>
        </w:rPr>
        <w:t>，即發現了近場區存在負波速現象。結合俄羅斯科學家的撓場工作成果說明，時間可以向後走。</w:t>
      </w:r>
    </w:p>
    <w:p w14:paraId="27F85BA0" w14:textId="77777777" w:rsidR="000664C1" w:rsidRPr="008429B8" w:rsidRDefault="000664C1">
      <w:pPr>
        <w:rPr>
          <w:lang w:val="en-GB"/>
        </w:rPr>
      </w:pPr>
    </w:p>
    <w:sectPr w:rsidR="000664C1" w:rsidRPr="008429B8"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029AC"/>
    <w:multiLevelType w:val="hybridMultilevel"/>
    <w:tmpl w:val="EFB0FCE0"/>
    <w:lvl w:ilvl="0" w:tplc="48E0234C">
      <w:start w:val="1"/>
      <w:numFmt w:val="decimal"/>
      <w:lvlText w:val="%1."/>
      <w:lvlJc w:val="left"/>
      <w:pPr>
        <w:ind w:left="0" w:hanging="420"/>
      </w:pPr>
      <w:rPr>
        <w:rFonts w:hint="default"/>
        <w:b/>
      </w:rPr>
    </w:lvl>
    <w:lvl w:ilvl="1" w:tplc="04090019">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9B8"/>
    <w:rsid w:val="000664C1"/>
    <w:rsid w:val="008429B8"/>
    <w:rsid w:val="008D1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A5B452"/>
  <w15:chartTrackingRefBased/>
  <w15:docId w15:val="{319BC5A4-C987-024A-9270-C0B1AF71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9B8"/>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8429B8"/>
    <w:rPr>
      <w:i/>
      <w:iCs/>
    </w:rPr>
  </w:style>
  <w:style w:type="paragraph" w:styleId="a4">
    <w:name w:val="Title"/>
    <w:basedOn w:val="a"/>
    <w:next w:val="a"/>
    <w:link w:val="a5"/>
    <w:uiPriority w:val="10"/>
    <w:qFormat/>
    <w:rsid w:val="008429B8"/>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8429B8"/>
    <w:rPr>
      <w:rFonts w:asciiTheme="majorHAnsi" w:eastAsiaTheme="majorEastAsia" w:hAnsiTheme="majorHAnsi" w:cstheme="majorBidi"/>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cp:revision>
  <dcterms:created xsi:type="dcterms:W3CDTF">2023-05-30T07:34:00Z</dcterms:created>
  <dcterms:modified xsi:type="dcterms:W3CDTF">2023-05-30T07:35:00Z</dcterms:modified>
</cp:coreProperties>
</file>