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10C151" w14:textId="77777777" w:rsidR="000A70D1" w:rsidRPr="003E2768" w:rsidRDefault="000A70D1" w:rsidP="000A70D1">
      <w:pPr>
        <w:widowControl/>
        <w:shd w:val="clear" w:color="auto" w:fill="FFFFFF"/>
        <w:spacing w:line="360" w:lineRule="atLeast"/>
        <w:ind w:firstLine="420"/>
        <w:jc w:val="left"/>
        <w:rPr>
          <w:rFonts w:ascii="Helvetica Neue" w:eastAsia="宋体" w:hAnsi="Helvetica Neue" w:cs="宋体"/>
          <w:color w:val="333333"/>
          <w:kern w:val="0"/>
          <w:szCs w:val="21"/>
          <w:lang w:val="en-US"/>
        </w:rPr>
      </w:pPr>
      <w:r w:rsidRPr="003E2768">
        <w:rPr>
          <w:rFonts w:ascii="Helvetica Neue" w:eastAsia="宋体" w:hAnsi="Helvetica Neue" w:cs="宋体"/>
          <w:color w:val="333333"/>
          <w:kern w:val="0"/>
          <w:szCs w:val="21"/>
          <w:lang w:val="en-US"/>
        </w:rPr>
        <w:t>观察者效应，广义上指我们几乎没办法不影响我们观察的事物</w:t>
      </w:r>
      <w:r w:rsidRPr="003E2768">
        <w:rPr>
          <w:rFonts w:ascii="Helvetica Neue" w:eastAsia="宋体" w:hAnsi="Helvetica Neue" w:cs="宋体"/>
          <w:color w:val="333333"/>
          <w:kern w:val="0"/>
          <w:szCs w:val="21"/>
          <w:lang w:val="en-US"/>
        </w:rPr>
        <w:t>——</w:t>
      </w:r>
      <w:r w:rsidRPr="003E2768">
        <w:rPr>
          <w:rFonts w:ascii="Helvetica Neue" w:eastAsia="宋体" w:hAnsi="Helvetica Neue" w:cs="宋体"/>
          <w:color w:val="333333"/>
          <w:kern w:val="0"/>
          <w:szCs w:val="21"/>
          <w:lang w:val="en-US"/>
        </w:rPr>
        <w:t>只不过是程度高低不同而已。</w:t>
      </w:r>
    </w:p>
    <w:p w14:paraId="265E64F3" w14:textId="78E51C05" w:rsidR="000A70D1" w:rsidRDefault="000A70D1" w:rsidP="00ED687E">
      <w:pPr>
        <w:widowControl/>
        <w:shd w:val="clear" w:color="auto" w:fill="FFFFFF"/>
        <w:spacing w:line="360" w:lineRule="atLeast"/>
        <w:ind w:firstLine="420"/>
        <w:jc w:val="left"/>
        <w:rPr>
          <w:rFonts w:ascii="Helvetica Neue" w:eastAsia="宋体" w:hAnsi="Helvetica Neue" w:cs="宋体"/>
          <w:color w:val="333333"/>
          <w:kern w:val="0"/>
          <w:szCs w:val="21"/>
          <w:lang w:val="en-US"/>
        </w:rPr>
      </w:pPr>
      <w:r w:rsidRPr="003E2768">
        <w:rPr>
          <w:rFonts w:ascii="Helvetica Neue" w:eastAsia="宋体" w:hAnsi="Helvetica Neue" w:cs="宋体"/>
          <w:color w:val="333333"/>
          <w:kern w:val="0"/>
          <w:szCs w:val="21"/>
          <w:lang w:val="en-US"/>
        </w:rPr>
        <w:t>需要注意的是，</w:t>
      </w:r>
      <w:r w:rsidRPr="003E2768">
        <w:rPr>
          <w:rFonts w:ascii="Helvetica Neue" w:eastAsia="宋体" w:hAnsi="Helvetica Neue" w:cs="宋体"/>
          <w:color w:val="333333"/>
          <w:kern w:val="0"/>
          <w:szCs w:val="21"/>
          <w:lang w:val="en-US"/>
        </w:rPr>
        <w:t>“</w:t>
      </w:r>
      <w:r w:rsidRPr="003E2768">
        <w:rPr>
          <w:rFonts w:ascii="Helvetica Neue" w:eastAsia="宋体" w:hAnsi="Helvetica Neue" w:cs="宋体"/>
          <w:color w:val="333333"/>
          <w:kern w:val="0"/>
          <w:szCs w:val="21"/>
          <w:lang w:val="en-US"/>
        </w:rPr>
        <w:t>观察者效应</w:t>
      </w:r>
      <w:r w:rsidRPr="003E2768">
        <w:rPr>
          <w:rFonts w:ascii="Helvetica Neue" w:eastAsia="宋体" w:hAnsi="Helvetica Neue" w:cs="宋体"/>
          <w:color w:val="333333"/>
          <w:kern w:val="0"/>
          <w:szCs w:val="21"/>
          <w:lang w:val="en-US"/>
        </w:rPr>
        <w:t>”</w:t>
      </w:r>
      <w:r w:rsidRPr="003E2768">
        <w:rPr>
          <w:rFonts w:ascii="Helvetica Neue" w:eastAsia="宋体" w:hAnsi="Helvetica Neue" w:cs="宋体"/>
          <w:color w:val="333333"/>
          <w:kern w:val="0"/>
          <w:szCs w:val="21"/>
          <w:lang w:val="en-US"/>
        </w:rPr>
        <w:t>和</w:t>
      </w:r>
      <w:r w:rsidRPr="003E2768">
        <w:rPr>
          <w:rFonts w:ascii="Helvetica Neue" w:eastAsia="宋体" w:hAnsi="Helvetica Neue" w:cs="宋体"/>
          <w:color w:val="333333"/>
          <w:kern w:val="0"/>
          <w:szCs w:val="21"/>
          <w:lang w:val="en-US"/>
        </w:rPr>
        <w:t>“</w:t>
      </w:r>
      <w:hyperlink r:id="rId4" w:tgtFrame="_blank" w:history="1">
        <w:r w:rsidRPr="003E2768">
          <w:rPr>
            <w:rFonts w:ascii="Helvetica Neue" w:eastAsia="宋体" w:hAnsi="Helvetica Neue" w:cs="宋体"/>
            <w:color w:val="136EC2"/>
            <w:kern w:val="0"/>
            <w:szCs w:val="21"/>
            <w:u w:val="single"/>
            <w:lang w:val="en-US"/>
          </w:rPr>
          <w:t>不确定原理</w:t>
        </w:r>
      </w:hyperlink>
      <w:r w:rsidRPr="003E2768">
        <w:rPr>
          <w:rFonts w:ascii="Helvetica Neue" w:eastAsia="宋体" w:hAnsi="Helvetica Neue" w:cs="宋体"/>
          <w:color w:val="333333"/>
          <w:kern w:val="0"/>
          <w:szCs w:val="21"/>
          <w:lang w:val="en-US"/>
        </w:rPr>
        <w:t>”</w:t>
      </w:r>
      <w:r w:rsidRPr="003E2768">
        <w:rPr>
          <w:rFonts w:ascii="Helvetica Neue" w:eastAsia="宋体" w:hAnsi="Helvetica Neue" w:cs="宋体"/>
          <w:color w:val="333333"/>
          <w:kern w:val="0"/>
          <w:szCs w:val="21"/>
          <w:lang w:val="en-US"/>
        </w:rPr>
        <w:t>（</w:t>
      </w:r>
      <w:r w:rsidRPr="003E2768">
        <w:rPr>
          <w:rFonts w:ascii="Helvetica Neue" w:eastAsia="宋体" w:hAnsi="Helvetica Neue" w:cs="宋体"/>
          <w:color w:val="333333"/>
          <w:kern w:val="0"/>
          <w:szCs w:val="21"/>
          <w:lang w:val="en-US"/>
        </w:rPr>
        <w:t>Heisenberg Uncertainty Principle</w:t>
      </w:r>
      <w:r w:rsidRPr="003E2768">
        <w:rPr>
          <w:rFonts w:ascii="Helvetica Neue" w:eastAsia="宋体" w:hAnsi="Helvetica Neue" w:cs="宋体"/>
          <w:color w:val="333333"/>
          <w:kern w:val="0"/>
          <w:szCs w:val="21"/>
          <w:lang w:val="en-US"/>
        </w:rPr>
        <w:t>）并不相同，尽管人们常常对这两个概念误解误用。前者重点在</w:t>
      </w:r>
      <w:r w:rsidRPr="003E2768">
        <w:rPr>
          <w:rFonts w:ascii="Helvetica Neue" w:eastAsia="宋体" w:hAnsi="Helvetica Neue" w:cs="宋体"/>
          <w:color w:val="333333"/>
          <w:kern w:val="0"/>
          <w:szCs w:val="21"/>
          <w:lang w:val="en-US"/>
        </w:rPr>
        <w:t>“</w:t>
      </w:r>
      <w:r w:rsidRPr="003E2768">
        <w:rPr>
          <w:rFonts w:ascii="Helvetica Neue" w:eastAsia="宋体" w:hAnsi="Helvetica Neue" w:cs="宋体"/>
          <w:color w:val="333333"/>
          <w:kern w:val="0"/>
          <w:szCs w:val="21"/>
          <w:lang w:val="en-US"/>
        </w:rPr>
        <w:t>观察</w:t>
      </w:r>
      <w:r w:rsidRPr="003E2768">
        <w:rPr>
          <w:rFonts w:ascii="Helvetica Neue" w:eastAsia="宋体" w:hAnsi="Helvetica Neue" w:cs="宋体"/>
          <w:color w:val="333333"/>
          <w:kern w:val="0"/>
          <w:szCs w:val="21"/>
          <w:lang w:val="en-US"/>
        </w:rPr>
        <w:t>”</w:t>
      </w:r>
      <w:r w:rsidRPr="003E2768">
        <w:rPr>
          <w:rFonts w:ascii="Helvetica Neue" w:eastAsia="宋体" w:hAnsi="Helvetica Neue" w:cs="宋体"/>
          <w:color w:val="333333"/>
          <w:kern w:val="0"/>
          <w:szCs w:val="21"/>
          <w:lang w:val="en-US"/>
        </w:rPr>
        <w:t>，后者重点在</w:t>
      </w:r>
      <w:r w:rsidRPr="003E2768">
        <w:rPr>
          <w:rFonts w:ascii="Helvetica Neue" w:eastAsia="宋体" w:hAnsi="Helvetica Neue" w:cs="宋体"/>
          <w:color w:val="333333"/>
          <w:kern w:val="0"/>
          <w:szCs w:val="21"/>
          <w:lang w:val="en-US"/>
        </w:rPr>
        <w:t>“</w:t>
      </w:r>
      <w:r w:rsidRPr="003E2768">
        <w:rPr>
          <w:rFonts w:ascii="Helvetica Neue" w:eastAsia="宋体" w:hAnsi="Helvetica Neue" w:cs="宋体"/>
          <w:color w:val="333333"/>
          <w:kern w:val="0"/>
          <w:szCs w:val="21"/>
          <w:lang w:val="en-US"/>
        </w:rPr>
        <w:t>测量</w:t>
      </w:r>
      <w:r w:rsidRPr="003E2768">
        <w:rPr>
          <w:rFonts w:ascii="Helvetica Neue" w:eastAsia="宋体" w:hAnsi="Helvetica Neue" w:cs="宋体"/>
          <w:color w:val="333333"/>
          <w:kern w:val="0"/>
          <w:szCs w:val="21"/>
          <w:lang w:val="en-US"/>
        </w:rPr>
        <w:t>”</w:t>
      </w:r>
      <w:r w:rsidRPr="003E2768">
        <w:rPr>
          <w:rFonts w:ascii="Helvetica Neue" w:eastAsia="宋体" w:hAnsi="Helvetica Neue" w:cs="宋体"/>
          <w:color w:val="333333"/>
          <w:kern w:val="0"/>
          <w:szCs w:val="21"/>
          <w:lang w:val="en-US"/>
        </w:rPr>
        <w:t>。</w:t>
      </w:r>
    </w:p>
    <w:p w14:paraId="0870E02F" w14:textId="77777777" w:rsidR="00ED687E" w:rsidRPr="00ED687E" w:rsidRDefault="00ED687E" w:rsidP="00ED687E">
      <w:pPr>
        <w:widowControl/>
        <w:shd w:val="clear" w:color="auto" w:fill="FFFFFF"/>
        <w:spacing w:line="360" w:lineRule="atLeast"/>
        <w:ind w:firstLine="420"/>
        <w:jc w:val="left"/>
        <w:rPr>
          <w:rFonts w:ascii="Helvetica Neue" w:eastAsia="宋体" w:hAnsi="Helvetica Neue" w:cs="宋体" w:hint="eastAsia"/>
          <w:color w:val="333333"/>
          <w:kern w:val="0"/>
          <w:szCs w:val="21"/>
          <w:lang w:val="en-US"/>
        </w:rPr>
      </w:pPr>
    </w:p>
    <w:p w14:paraId="5A8B7338" w14:textId="69100360" w:rsidR="003E2768" w:rsidRDefault="003E2768" w:rsidP="003E2768">
      <w:pPr>
        <w:pStyle w:val="a3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23"/>
          <w:szCs w:val="23"/>
        </w:rPr>
      </w:pPr>
      <w:r>
        <w:rPr>
          <w:rFonts w:ascii="Arial" w:hAnsi="Arial" w:cs="Arial"/>
          <w:b/>
          <w:bCs/>
          <w:color w:val="202122"/>
          <w:sz w:val="23"/>
          <w:szCs w:val="23"/>
        </w:rPr>
        <w:t>观测者效应</w:t>
      </w:r>
      <w:r>
        <w:rPr>
          <w:rFonts w:ascii="Arial" w:hAnsi="Arial" w:cs="Arial"/>
          <w:color w:val="202122"/>
          <w:sz w:val="23"/>
          <w:szCs w:val="23"/>
        </w:rPr>
        <w:t>（</w:t>
      </w:r>
      <w:r>
        <w:rPr>
          <w:rFonts w:ascii="Arial" w:hAnsi="Arial" w:cs="Arial"/>
          <w:color w:val="202122"/>
          <w:sz w:val="23"/>
          <w:szCs w:val="23"/>
        </w:rPr>
        <w:t>Observer effect</w:t>
      </w:r>
      <w:r>
        <w:rPr>
          <w:rFonts w:ascii="Arial" w:hAnsi="Arial" w:cs="Arial"/>
          <w:color w:val="202122"/>
          <w:sz w:val="23"/>
          <w:szCs w:val="23"/>
        </w:rPr>
        <w:t>），是指</w:t>
      </w:r>
      <w:r>
        <w:rPr>
          <w:rFonts w:ascii="Arial" w:hAnsi="Arial" w:cs="Arial"/>
          <w:color w:val="202122"/>
          <w:sz w:val="23"/>
          <w:szCs w:val="23"/>
        </w:rPr>
        <w:t>“</w:t>
      </w:r>
      <w:r>
        <w:rPr>
          <w:rFonts w:ascii="Arial" w:hAnsi="Arial" w:cs="Arial"/>
          <w:color w:val="202122"/>
          <w:sz w:val="23"/>
          <w:szCs w:val="23"/>
        </w:rPr>
        <w:t>观测</w:t>
      </w:r>
      <w:r>
        <w:rPr>
          <w:rFonts w:ascii="Arial" w:hAnsi="Arial" w:cs="Arial"/>
          <w:color w:val="202122"/>
          <w:sz w:val="23"/>
          <w:szCs w:val="23"/>
        </w:rPr>
        <w:t>”</w:t>
      </w:r>
      <w:r>
        <w:rPr>
          <w:rFonts w:ascii="Arial" w:hAnsi="Arial" w:cs="Arial"/>
          <w:color w:val="202122"/>
          <w:sz w:val="23"/>
          <w:szCs w:val="23"/>
        </w:rPr>
        <w:t>这种行为对被观测对象造成一定影响的效应。</w:t>
      </w:r>
    </w:p>
    <w:p w14:paraId="32D00E66" w14:textId="77777777" w:rsidR="003E2768" w:rsidRDefault="003E2768" w:rsidP="003E2768">
      <w:pPr>
        <w:pStyle w:val="a3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23"/>
          <w:szCs w:val="23"/>
        </w:rPr>
      </w:pPr>
      <w:r>
        <w:rPr>
          <w:rFonts w:ascii="Arial" w:hAnsi="Arial" w:cs="Arial"/>
          <w:color w:val="202122"/>
          <w:sz w:val="23"/>
          <w:szCs w:val="23"/>
        </w:rPr>
        <w:t>在</w:t>
      </w:r>
      <w:hyperlink r:id="rId5" w:tooltip="量子力学" w:history="1">
        <w:r>
          <w:rPr>
            <w:rStyle w:val="a4"/>
            <w:rFonts w:ascii="Arial" w:hAnsi="Arial" w:cs="Arial"/>
            <w:color w:val="0645AD"/>
            <w:sz w:val="23"/>
            <w:szCs w:val="23"/>
          </w:rPr>
          <w:t>量子力学</w:t>
        </w:r>
      </w:hyperlink>
      <w:r>
        <w:rPr>
          <w:rFonts w:ascii="Arial" w:hAnsi="Arial" w:cs="Arial"/>
          <w:color w:val="202122"/>
          <w:sz w:val="23"/>
          <w:szCs w:val="23"/>
        </w:rPr>
        <w:t>实验中，如果要测算一个</w:t>
      </w:r>
      <w:hyperlink r:id="rId6" w:tooltip="电子" w:history="1">
        <w:r>
          <w:rPr>
            <w:rStyle w:val="a4"/>
            <w:rFonts w:ascii="Arial" w:hAnsi="Arial" w:cs="Arial"/>
            <w:color w:val="0645AD"/>
            <w:sz w:val="23"/>
            <w:szCs w:val="23"/>
          </w:rPr>
          <w:t>电子</w:t>
        </w:r>
      </w:hyperlink>
      <w:r>
        <w:rPr>
          <w:rFonts w:ascii="Arial" w:hAnsi="Arial" w:cs="Arial"/>
          <w:color w:val="202122"/>
          <w:sz w:val="23"/>
          <w:szCs w:val="23"/>
        </w:rPr>
        <w:t>所处的速度，就要用两个</w:t>
      </w:r>
      <w:hyperlink r:id="rId7" w:tooltip="光子" w:history="1">
        <w:r>
          <w:rPr>
            <w:rStyle w:val="a4"/>
            <w:rFonts w:ascii="Arial" w:hAnsi="Arial" w:cs="Arial"/>
            <w:color w:val="0645AD"/>
            <w:sz w:val="23"/>
            <w:szCs w:val="23"/>
          </w:rPr>
          <w:t>光子</w:t>
        </w:r>
      </w:hyperlink>
      <w:r>
        <w:rPr>
          <w:rFonts w:ascii="Arial" w:hAnsi="Arial" w:cs="Arial"/>
          <w:color w:val="202122"/>
          <w:sz w:val="23"/>
          <w:szCs w:val="23"/>
        </w:rPr>
        <w:t>隔一段时间去撞击这个电子，但第一个光子就已经把这个电子撞飞了，便改变了电子的原有速度，我们便无法测出真正准确的速度（</w:t>
      </w:r>
      <w:hyperlink r:id="rId8" w:tooltip="不确定原理" w:history="1">
        <w:r>
          <w:rPr>
            <w:rStyle w:val="a4"/>
            <w:rFonts w:ascii="Arial" w:hAnsi="Arial" w:cs="Arial"/>
            <w:color w:val="0645AD"/>
            <w:sz w:val="23"/>
            <w:szCs w:val="23"/>
          </w:rPr>
          <w:t>不确定原理</w:t>
        </w:r>
      </w:hyperlink>
      <w:r>
        <w:rPr>
          <w:rFonts w:ascii="Arial" w:hAnsi="Arial" w:cs="Arial"/>
          <w:color w:val="202122"/>
          <w:sz w:val="23"/>
          <w:szCs w:val="23"/>
        </w:rPr>
        <w:t>）</w:t>
      </w:r>
      <w:hyperlink r:id="rId9" w:anchor="cite_note-1" w:history="1">
        <w:r>
          <w:rPr>
            <w:rStyle w:val="a4"/>
            <w:rFonts w:ascii="Arial" w:hAnsi="Arial" w:cs="Arial"/>
            <w:color w:val="0645AD"/>
            <w:sz w:val="23"/>
            <w:szCs w:val="23"/>
            <w:vertAlign w:val="superscript"/>
          </w:rPr>
          <w:t>[1]</w:t>
        </w:r>
      </w:hyperlink>
      <w:r>
        <w:rPr>
          <w:rFonts w:ascii="Arial" w:hAnsi="Arial" w:cs="Arial"/>
          <w:color w:val="202122"/>
          <w:sz w:val="23"/>
          <w:szCs w:val="23"/>
        </w:rPr>
        <w:t>。时间流逝的快慢也会受到观测者的影响，用很高的频率去观测粒子的</w:t>
      </w:r>
      <w:hyperlink r:id="rId10" w:tooltip="粒子衰变" w:history="1">
        <w:r>
          <w:rPr>
            <w:rStyle w:val="a4"/>
            <w:rFonts w:ascii="Arial" w:hAnsi="Arial" w:cs="Arial"/>
            <w:color w:val="0645AD"/>
            <w:sz w:val="23"/>
            <w:szCs w:val="23"/>
          </w:rPr>
          <w:t>衰变</w:t>
        </w:r>
      </w:hyperlink>
      <w:r>
        <w:rPr>
          <w:rFonts w:ascii="Arial" w:hAnsi="Arial" w:cs="Arial"/>
          <w:color w:val="202122"/>
          <w:sz w:val="23"/>
          <w:szCs w:val="23"/>
        </w:rPr>
        <w:t>，反而使得粒子长时间不衰变</w:t>
      </w:r>
      <w:hyperlink r:id="rId11" w:anchor="cite_note-2" w:history="1">
        <w:r>
          <w:rPr>
            <w:rStyle w:val="a4"/>
            <w:rFonts w:ascii="Arial" w:hAnsi="Arial" w:cs="Arial"/>
            <w:color w:val="0645AD"/>
            <w:sz w:val="23"/>
            <w:szCs w:val="23"/>
            <w:vertAlign w:val="superscript"/>
          </w:rPr>
          <w:t>[2]</w:t>
        </w:r>
      </w:hyperlink>
      <w:r>
        <w:rPr>
          <w:rFonts w:ascii="Arial" w:hAnsi="Arial" w:cs="Arial"/>
          <w:color w:val="202122"/>
          <w:sz w:val="23"/>
          <w:szCs w:val="23"/>
        </w:rPr>
        <w:t>。</w:t>
      </w:r>
    </w:p>
    <w:p w14:paraId="6EBD0CD5" w14:textId="77777777" w:rsidR="003E2768" w:rsidRPr="003E2768" w:rsidRDefault="003E2768" w:rsidP="003E2768">
      <w:pPr>
        <w:widowControl/>
        <w:jc w:val="left"/>
        <w:rPr>
          <w:rFonts w:ascii="宋体" w:eastAsia="宋体" w:hAnsi="宋体" w:cs="宋体"/>
          <w:kern w:val="0"/>
          <w:sz w:val="24"/>
          <w:lang w:val="en-US"/>
        </w:rPr>
      </w:pPr>
      <w:r w:rsidRPr="003E2768">
        <w:rPr>
          <w:rFonts w:ascii="Arial" w:eastAsia="宋体" w:hAnsi="Arial" w:cs="Arial"/>
          <w:color w:val="202122"/>
          <w:kern w:val="0"/>
          <w:sz w:val="23"/>
          <w:szCs w:val="23"/>
          <w:shd w:val="clear" w:color="auto" w:fill="FFFFFF"/>
          <w:lang w:val="en-US"/>
        </w:rPr>
        <w:t>这种效应在生活中极其常见。有人称：</w:t>
      </w:r>
      <w:r w:rsidRPr="003E2768">
        <w:rPr>
          <w:rFonts w:ascii="Arial" w:eastAsia="宋体" w:hAnsi="Arial" w:cs="Arial"/>
          <w:color w:val="202122"/>
          <w:kern w:val="0"/>
          <w:sz w:val="23"/>
          <w:szCs w:val="23"/>
          <w:shd w:val="clear" w:color="auto" w:fill="FFFFFF"/>
          <w:lang w:val="en-US"/>
        </w:rPr>
        <w:t>“‘</w:t>
      </w:r>
      <w:hyperlink r:id="rId12" w:tooltip="螳螂" w:history="1">
        <w:r w:rsidRPr="003E2768">
          <w:rPr>
            <w:rFonts w:ascii="Arial" w:eastAsia="宋体" w:hAnsi="Arial" w:cs="Arial"/>
            <w:color w:val="0645AD"/>
            <w:kern w:val="0"/>
            <w:sz w:val="23"/>
            <w:szCs w:val="23"/>
            <w:u w:val="single"/>
            <w:shd w:val="clear" w:color="auto" w:fill="FFFFFF"/>
            <w:lang w:val="en-US"/>
          </w:rPr>
          <w:t>螳螂</w:t>
        </w:r>
      </w:hyperlink>
      <w:r w:rsidRPr="003E2768">
        <w:rPr>
          <w:rFonts w:ascii="Arial" w:eastAsia="宋体" w:hAnsi="Arial" w:cs="Arial"/>
          <w:color w:val="202122"/>
          <w:kern w:val="0"/>
          <w:sz w:val="23"/>
          <w:szCs w:val="23"/>
          <w:shd w:val="clear" w:color="auto" w:fill="FFFFFF"/>
          <w:lang w:val="en-US"/>
        </w:rPr>
        <w:t>吃夫</w:t>
      </w:r>
      <w:r w:rsidRPr="003E2768">
        <w:rPr>
          <w:rFonts w:ascii="Arial" w:eastAsia="宋体" w:hAnsi="Arial" w:cs="Arial"/>
          <w:color w:val="202122"/>
          <w:kern w:val="0"/>
          <w:sz w:val="23"/>
          <w:szCs w:val="23"/>
          <w:shd w:val="clear" w:color="auto" w:fill="FFFFFF"/>
          <w:lang w:val="en-US"/>
        </w:rPr>
        <w:t>’</w:t>
      </w:r>
      <w:r w:rsidRPr="003E2768">
        <w:rPr>
          <w:rFonts w:ascii="Arial" w:eastAsia="宋体" w:hAnsi="Arial" w:cs="Arial"/>
          <w:color w:val="202122"/>
          <w:kern w:val="0"/>
          <w:sz w:val="23"/>
          <w:szCs w:val="23"/>
          <w:shd w:val="clear" w:color="auto" w:fill="FFFFFF"/>
          <w:lang w:val="en-US"/>
        </w:rPr>
        <w:t>是众人皆知的常见生物现象。但后来却有学者发现自然界中其实并不存在这一现象，雌螳螂之所以吃掉雄螳螂，是因为观察者在场引起了它的紧张，误把自己的丈夫当成了敌人</w:t>
      </w:r>
      <w:hyperlink r:id="rId13" w:anchor="cite_note-3" w:history="1">
        <w:r w:rsidRPr="003E2768">
          <w:rPr>
            <w:rFonts w:ascii="Arial" w:eastAsia="宋体" w:hAnsi="Arial" w:cs="Arial"/>
            <w:color w:val="0645AD"/>
            <w:kern w:val="0"/>
            <w:sz w:val="24"/>
            <w:u w:val="single"/>
            <w:shd w:val="clear" w:color="auto" w:fill="FFFFFF"/>
            <w:vertAlign w:val="superscript"/>
            <w:lang w:val="en-US"/>
          </w:rPr>
          <w:t>[3]</w:t>
        </w:r>
      </w:hyperlink>
      <w:r w:rsidRPr="003E2768">
        <w:rPr>
          <w:rFonts w:ascii="Arial" w:eastAsia="宋体" w:hAnsi="Arial" w:cs="Arial"/>
          <w:color w:val="202122"/>
          <w:kern w:val="0"/>
          <w:sz w:val="23"/>
          <w:szCs w:val="23"/>
          <w:shd w:val="clear" w:color="auto" w:fill="FFFFFF"/>
          <w:lang w:val="en-US"/>
        </w:rPr>
        <w:t>”</w:t>
      </w:r>
      <w:r w:rsidRPr="003E2768">
        <w:rPr>
          <w:rFonts w:ascii="Arial" w:eastAsia="宋体" w:hAnsi="Arial" w:cs="Arial"/>
          <w:color w:val="202122"/>
          <w:kern w:val="0"/>
          <w:sz w:val="23"/>
          <w:szCs w:val="23"/>
          <w:shd w:val="clear" w:color="auto" w:fill="FFFFFF"/>
          <w:lang w:val="en-US"/>
        </w:rPr>
        <w:t>云云，然而，此种说法是否正确尚有疑问。</w:t>
      </w:r>
    </w:p>
    <w:p w14:paraId="217C0894" w14:textId="17D1F8F0" w:rsidR="00ED687E" w:rsidRDefault="00ED687E" w:rsidP="00ED687E">
      <w:pPr>
        <w:rPr>
          <w:rFonts w:hint="eastAsia"/>
          <w:lang w:val="en-US"/>
        </w:rPr>
      </w:pPr>
    </w:p>
    <w:p w14:paraId="78BBC012" w14:textId="6222D668" w:rsidR="00ED687E" w:rsidRPr="00ED687E" w:rsidRDefault="00ED687E" w:rsidP="00ED687E">
      <w:pPr>
        <w:rPr>
          <w:lang w:val="en-US"/>
        </w:rPr>
      </w:pPr>
      <w:r w:rsidRPr="00ED687E">
        <w:rPr>
          <w:lang w:val="en-US"/>
        </w:rPr>
        <w:t>惠勒延迟选择实验（英语：Wheeler's delayed choice experiment）</w:t>
      </w:r>
      <w:r>
        <w:rPr>
          <w:rFonts w:hint="eastAsia"/>
          <w:lang w:val="en-US"/>
        </w:rPr>
        <w:t>(</w:t>
      </w:r>
      <w:r w:rsidRPr="00ED687E">
        <w:rPr>
          <w:lang w:val="en-US"/>
        </w:rPr>
        <w:t>维基百科，自由的百科全书</w:t>
      </w:r>
      <w:r>
        <w:rPr>
          <w:lang w:val="en-US"/>
        </w:rPr>
        <w:t>)</w:t>
      </w:r>
      <w:r w:rsidRPr="00ED687E">
        <w:rPr>
          <w:lang w:val="en-US"/>
        </w:rPr>
        <w:t>是美国理论物理学家约翰·惠勒提出的一个思想实验，属于双缝实验的一种变形，该实验很好地体现了量子力学与传统实在观间的巨大分歧。</w:t>
      </w:r>
    </w:p>
    <w:p w14:paraId="55C47D9B" w14:textId="77777777" w:rsidR="00ED687E" w:rsidRPr="00ED687E" w:rsidRDefault="00ED687E" w:rsidP="00ED687E">
      <w:pPr>
        <w:rPr>
          <w:lang w:val="en-US"/>
        </w:rPr>
      </w:pPr>
    </w:p>
    <w:p w14:paraId="6E1381F1" w14:textId="77777777" w:rsidR="00ED687E" w:rsidRPr="00ED687E" w:rsidRDefault="00ED687E" w:rsidP="00ED687E">
      <w:pPr>
        <w:rPr>
          <w:lang w:val="en-US"/>
        </w:rPr>
      </w:pPr>
      <w:r w:rsidRPr="00ED687E">
        <w:rPr>
          <w:lang w:val="en-US"/>
        </w:rPr>
        <w:t>1979年，惠勒在美国普林斯顿大学纪念爱因斯坦诞辰100周年讨论会上正式提出延迟选择实验，该实验源自爱因斯坦曾提出的分光实验[注 1]。实验是按如下方式进行的：从一光源发出一光子，让其通过一半镀银镜，光子被反射与透射的概率各为50%。之后，在反射或透射后光子的行进路径上分别各放置一反射镜A和B，使两条路径反射后在C处汇合。而C处则放有两探测器，分别可以观察A路径或B路径是否有光子。此时只有一个探测器能够测得光子，即能确定光子走的是哪一路径（A→C或B→C）。</w:t>
      </w:r>
    </w:p>
    <w:p w14:paraId="557B56DC" w14:textId="4DC8933F" w:rsidR="00ED687E" w:rsidRPr="00ED687E" w:rsidRDefault="00ED687E" w:rsidP="00ED687E">
      <w:pPr>
        <w:rPr>
          <w:lang w:val="en-US"/>
        </w:rPr>
      </w:pPr>
    </w:p>
    <w:p w14:paraId="77C02A22" w14:textId="77777777" w:rsidR="00ED687E" w:rsidRPr="00ED687E" w:rsidRDefault="00ED687E" w:rsidP="00ED687E">
      <w:pPr>
        <w:rPr>
          <w:lang w:val="en-US"/>
        </w:rPr>
      </w:pPr>
      <w:r w:rsidRPr="00ED687E">
        <w:rPr>
          <w:lang w:val="en-US"/>
        </w:rPr>
        <w:t>而如果在两个探测器前再放置一个半镀银镜，可以使光子自我干涉。如适当调整光程差，可使得在某一方向（A或B）上干涉光相消，此方向上的探测器将无法收到信号，另一方向上的探测器则必定会接收到信号。按量子力学理论，这说明光子同时经过了两条路径。</w:t>
      </w:r>
    </w:p>
    <w:p w14:paraId="221D4FFE" w14:textId="77777777" w:rsidR="00ED687E" w:rsidRPr="00ED687E" w:rsidRDefault="00ED687E" w:rsidP="00ED687E">
      <w:pPr>
        <w:rPr>
          <w:lang w:val="en-US"/>
        </w:rPr>
      </w:pPr>
    </w:p>
    <w:p w14:paraId="59927DA4" w14:textId="77777777" w:rsidR="00ED687E" w:rsidRPr="00ED687E" w:rsidRDefault="00ED687E" w:rsidP="00ED687E">
      <w:pPr>
        <w:rPr>
          <w:lang w:val="en-US"/>
        </w:rPr>
      </w:pPr>
      <w:r w:rsidRPr="00ED687E">
        <w:rPr>
          <w:lang w:val="en-US"/>
        </w:rPr>
        <w:t>事实上，我们可以在光子已经通过A或B后再决定是否放置第二块半镀银镜（此即实验名称“延迟选择”的由来）。如不放置，则根据前一种情况，光子只通过一条路径；如放置，则根据后一种情况，光子通过两条路径。也就是说，观察者现在的行为可以决定过去发生的事，而这一结论是与传统实在观相违背的。</w:t>
      </w:r>
    </w:p>
    <w:p w14:paraId="63EAE986" w14:textId="77777777" w:rsidR="00ED687E" w:rsidRPr="00ED687E" w:rsidRDefault="00ED687E" w:rsidP="00ED687E">
      <w:pPr>
        <w:rPr>
          <w:lang w:val="en-US"/>
        </w:rPr>
      </w:pPr>
    </w:p>
    <w:p w14:paraId="19BB35C3" w14:textId="460D9791" w:rsidR="003E2768" w:rsidRPr="003E2768" w:rsidRDefault="00ED687E" w:rsidP="00ED687E">
      <w:pPr>
        <w:rPr>
          <w:lang w:val="en-US"/>
        </w:rPr>
      </w:pPr>
      <w:r w:rsidRPr="00DD3BCD">
        <w:rPr>
          <w:highlight w:val="yellow"/>
          <w:lang w:val="en-US"/>
        </w:rPr>
        <w:t>哥本哈根学派对此的解释是，我们不能将观察仪器与观察对象分开来讨论，尽管实验中的两种情况只有最后部分不同，但这局部的变化使得整个物理过程发生了改变，这两种情况其实是两个完全不同的实验</w:t>
      </w:r>
      <w:r w:rsidRPr="00ED687E">
        <w:rPr>
          <w:lang w:val="en-US"/>
        </w:rPr>
        <w:t>。玻尔对此就曾说：“事实上，在粒子路径上再加任何一件仪器，例如一个镜子，都可能意味着一些新的干涉效应，它们将本质地影响关于最后记录结果的预言。”</w:t>
      </w:r>
    </w:p>
    <w:sectPr w:rsidR="003E2768" w:rsidRPr="003E2768" w:rsidSect="008D10F7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 Neue">
    <w:altName w:val="﷽﷽﷽﷽﷽﷽﷽﷽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768"/>
    <w:rsid w:val="000004E6"/>
    <w:rsid w:val="000664C1"/>
    <w:rsid w:val="000A70D1"/>
    <w:rsid w:val="003E2768"/>
    <w:rsid w:val="008D10F7"/>
    <w:rsid w:val="00DD3BCD"/>
    <w:rsid w:val="00ED6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3847BF"/>
  <w15:chartTrackingRefBased/>
  <w15:docId w15:val="{3EB9982C-3E55-5147-9B36-73920BAFC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E276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lang w:val="en-US"/>
    </w:rPr>
  </w:style>
  <w:style w:type="character" w:styleId="a4">
    <w:name w:val="Hyperlink"/>
    <w:basedOn w:val="a0"/>
    <w:uiPriority w:val="99"/>
    <w:semiHidden/>
    <w:unhideWhenUsed/>
    <w:rsid w:val="003E276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623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65838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6361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15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h.wikipedia.org/wiki/%E4%B8%8D%E7%A1%AE%E5%AE%9A%E5%8E%9F%E7%90%86" TargetMode="External"/><Relationship Id="rId13" Type="http://schemas.openxmlformats.org/officeDocument/2006/relationships/hyperlink" Target="https://zh.wikipedia.org/zh-hans/%E8%A7%82%E6%B5%8B%E8%80%85%E6%95%88%E5%BA%94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zh.wikipedia.org/wiki/%E5%85%89%E5%AD%90" TargetMode="External"/><Relationship Id="rId12" Type="http://schemas.openxmlformats.org/officeDocument/2006/relationships/hyperlink" Target="https://zh.wikipedia.org/wiki/%E8%9E%B3%E8%9E%82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zh.wikipedia.org/wiki/%E7%94%B5%E5%AD%90" TargetMode="External"/><Relationship Id="rId11" Type="http://schemas.openxmlformats.org/officeDocument/2006/relationships/hyperlink" Target="https://zh.wikipedia.org/zh-hans/%E8%A7%82%E6%B5%8B%E8%80%85%E6%95%88%E5%BA%94" TargetMode="External"/><Relationship Id="rId5" Type="http://schemas.openxmlformats.org/officeDocument/2006/relationships/hyperlink" Target="https://zh.wikipedia.org/wiki/%E9%87%8F%E5%AD%90%E5%8A%9B%E5%AD%A6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zh.wikipedia.org/wiki/%E7%B2%92%E5%AD%90%E8%A1%B0%E8%AE%8A" TargetMode="External"/><Relationship Id="rId4" Type="http://schemas.openxmlformats.org/officeDocument/2006/relationships/hyperlink" Target="https://baike.baidu.com/item/%E4%B8%8D%E7%A1%AE%E5%AE%9A%E5%8E%9F%E7%90%86/4661362?fromModule=lemma_inlink" TargetMode="External"/><Relationship Id="rId9" Type="http://schemas.openxmlformats.org/officeDocument/2006/relationships/hyperlink" Target="https://zh.wikipedia.org/zh-hans/%E8%A7%82%E6%B5%8B%E8%80%85%E6%95%88%E5%BA%94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332</Words>
  <Characters>1896</Characters>
  <Application>Microsoft Office Word</Application>
  <DocSecurity>0</DocSecurity>
  <Lines>15</Lines>
  <Paragraphs>4</Paragraphs>
  <ScaleCrop>false</ScaleCrop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吴敏</dc:creator>
  <cp:keywords/>
  <dc:description/>
  <cp:lastModifiedBy>吴敏</cp:lastModifiedBy>
  <cp:revision>4</cp:revision>
  <dcterms:created xsi:type="dcterms:W3CDTF">2023-05-18T04:11:00Z</dcterms:created>
  <dcterms:modified xsi:type="dcterms:W3CDTF">2023-05-18T08:34:00Z</dcterms:modified>
</cp:coreProperties>
</file>