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bidi w:val="0"/>
        <w:spacing w:before="200" w:after="120"/>
        <w:jc w:val="left"/>
        <w:rPr>
          <w:color w:val="000000"/>
        </w:rPr>
      </w:pPr>
      <w:r>
        <w:rPr>
          <w:color w:val="000000"/>
        </w:rPr>
        <w:t>1. Introduction</w:t>
      </w:r>
    </w:p>
    <w:p>
      <w:pPr>
        <w:pStyle w:val="Normal"/>
        <w:bidi w:val="0"/>
        <w:jc w:val="left"/>
        <w:rPr>
          <w:color w:val="000000"/>
          <w:sz w:val="20"/>
          <w:szCs w:val="20"/>
        </w:rPr>
      </w:pPr>
      <w:r>
        <w:rPr>
          <w:color w:val="000000"/>
          <w:sz w:val="20"/>
          <w:szCs w:val="20"/>
        </w:rPr>
        <w:t>Morphological reinflection is the task of generating a word inflection from a lemma (source word). Given the diversity of morphological systems, it presents many hurdles to computational approaches. The SIGMORPHON shared task series is devoted to this challenge. In recent years, neural networks have been without a doubt the top performer in NLP tasks and have repeatedly achieved state of the art performance on a wide variety of challenges, including morphological reinflection.</w:t>
      </w:r>
    </w:p>
    <w:p>
      <w:pPr>
        <w:pStyle w:val="Normal"/>
        <w:bidi w:val="0"/>
        <w:jc w:val="left"/>
        <w:rPr>
          <w:color w:val="000000"/>
          <w:sz w:val="20"/>
          <w:szCs w:val="20"/>
        </w:rPr>
      </w:pPr>
      <w:r>
        <w:rPr>
          <w:color w:val="000000"/>
          <w:sz w:val="20"/>
          <w:szCs w:val="20"/>
        </w:rPr>
      </w:r>
    </w:p>
    <w:p>
      <w:pPr>
        <w:pStyle w:val="Normal"/>
        <w:bidi w:val="0"/>
        <w:jc w:val="left"/>
        <w:rPr>
          <w:color w:val="000000"/>
          <w:sz w:val="20"/>
          <w:szCs w:val="20"/>
        </w:rPr>
      </w:pPr>
      <w:r>
        <w:rPr>
          <w:color w:val="000000"/>
          <w:sz w:val="20"/>
          <w:szCs w:val="20"/>
        </w:rPr>
        <w:t xml:space="preserve">The aim of this report is to investigate modern neural-network based approaches to languages, their performance and limitations. In particular, it details the implementation, evaluation and potential methods of improvement of neural models for the task of morphological inflection. To achieve this, we utilise the SIGMORPHON shared task ‘morphological inflection’ challenge, and the accompanying inflection datasets, as a framework for which to base our investigation. </w:t>
      </w:r>
    </w:p>
    <w:p>
      <w:pPr>
        <w:pStyle w:val="Normal"/>
        <w:bidi w:val="0"/>
        <w:jc w:val="left"/>
        <w:rPr>
          <w:color w:val="000000"/>
          <w:sz w:val="20"/>
          <w:szCs w:val="20"/>
        </w:rPr>
      </w:pPr>
      <w:r>
        <w:rPr>
          <w:color w:val="000000"/>
          <w:sz w:val="20"/>
          <w:szCs w:val="20"/>
        </w:rPr>
      </w:r>
    </w:p>
    <w:p>
      <w:pPr>
        <w:pStyle w:val="Normal"/>
        <w:bidi w:val="0"/>
        <w:jc w:val="left"/>
        <w:rPr>
          <w:color w:val="000000"/>
          <w:sz w:val="20"/>
          <w:szCs w:val="20"/>
        </w:rPr>
      </w:pPr>
      <w:r>
        <w:rPr>
          <w:color w:val="000000"/>
          <w:sz w:val="20"/>
          <w:szCs w:val="20"/>
        </w:rPr>
        <w:t xml:space="preserve">A brief discussion of recent work in morphological inflection is presented in Section 2. Section 3 details the implementation of a hard-attention model (Aharoni &amp; Goldberg, 2017) and a transformer model (Wu et al., 2021), as well as the experiments conducted to improve their performance on several low-resource languages. Low-resource languages (small datasets) are chosen for our evaluation as they present a good opportunity for increasing performance, and our attempts are primarly focussed on data augmentation techniques. Finally, evaluation and error analysis of each approach are discussed in section 4. </w:t>
      </w:r>
    </w:p>
    <w:p>
      <w:pPr>
        <w:pStyle w:val="Normal"/>
        <w:bidi w:val="0"/>
        <w:jc w:val="left"/>
        <w:rPr>
          <w:color w:val="000000"/>
        </w:rPr>
      </w:pPr>
      <w:r>
        <w:rPr>
          <w:color w:val="000000"/>
        </w:rPr>
      </w:r>
    </w:p>
    <w:p>
      <w:pPr>
        <w:pStyle w:val="Normal"/>
        <w:bidi w:val="0"/>
        <w:jc w:val="left"/>
        <w:rPr>
          <w:color w:val="000000"/>
        </w:rPr>
      </w:pPr>
      <w:r>
        <w:rPr>
          <w:color w:val="000000"/>
        </w:rPr>
      </w:r>
    </w:p>
    <w:p>
      <w:pPr>
        <w:pStyle w:val="Heading2"/>
        <w:numPr>
          <w:ilvl w:val="1"/>
          <w:numId w:val="3"/>
        </w:numPr>
        <w:bidi w:val="0"/>
        <w:jc w:val="left"/>
        <w:rPr>
          <w:color w:val="000000"/>
        </w:rPr>
      </w:pPr>
      <w:r>
        <w:rPr>
          <w:color w:val="000000"/>
        </w:rPr>
        <w:t>2. Related Work</w:t>
      </w:r>
    </w:p>
    <w:p>
      <w:pPr>
        <w:pStyle w:val="Normal"/>
        <w:bidi w:val="0"/>
        <w:jc w:val="left"/>
        <w:rPr>
          <w:color w:val="000000"/>
        </w:rPr>
      </w:pPr>
      <w:r>
        <w:rPr>
          <w:color w:val="000000"/>
          <w:sz w:val="20"/>
          <w:szCs w:val="20"/>
        </w:rPr>
        <w:t>Prior to 2017, many of the proposed systems took a non-neural approach using deterministic and stochastic alignment methods often with linguistic heuristics, and had reasonable success. In recent years, neural methods have become the norm and they have been very succesful. The 2016 SIGMORPHON shared task reports on the outstanding performance gains that neural methods have over classical approaches.</w:t>
      </w:r>
    </w:p>
    <w:p>
      <w:pPr>
        <w:pStyle w:val="Normal"/>
        <w:bidi w:val="0"/>
        <w:jc w:val="left"/>
        <w:rPr>
          <w:sz w:val="20"/>
          <w:szCs w:val="20"/>
        </w:rPr>
      </w:pPr>
      <w:r>
        <w:rPr>
          <w:sz w:val="20"/>
          <w:szCs w:val="20"/>
        </w:rPr>
      </w:r>
    </w:p>
    <w:p>
      <w:pPr>
        <w:pStyle w:val="Normal"/>
        <w:bidi w:val="0"/>
        <w:jc w:val="left"/>
        <w:rPr/>
      </w:pPr>
      <w:r>
        <w:rPr>
          <w:color w:val="000000"/>
          <w:sz w:val="20"/>
          <w:szCs w:val="20"/>
        </w:rPr>
        <w:t xml:space="preserve">(Graves, 2014) reports on the benefits of using LSTM recurrent neural networks to generate long-term dependent sequences. These have been applied to character-level transduction tasks such as morphological inflection successfully(Faruqui et al., 2016). where the problem is modeled as a simple sequence to sequence task. Future work improved on this primarily in two ways- first by making an assumption about the often- monotonic alignment of characters, and either building a system that has nearly-monotonic constraints(Aharoni &amp; Goldberg, 2017) or exact-monotonic constraints (Wu &amp; Cotterell, 2019). Second, the use of an attention mechanismto allow direct conditioning on the whole input sequence, mitigating the RNN bottleneck issues. Recently, a transformer (attention-only) model as been applied to the task with the intuiting that as transformer models are outperforming RNNs in many NLP tasks, they warrant investigation for character level (Wu et al., 2021). Transformer-based models currently  currently hold state of the art performance (Liu &amp; Hulden, 2020) on the SIGMORPHON challenge of morphological reinflection (Vylomova et al., 2020) and (more broadly) is a popular choice for many NLP tasks. </w:t>
      </w:r>
    </w:p>
    <w:p>
      <w:pPr>
        <w:pStyle w:val="Normal"/>
        <w:bidi w:val="0"/>
        <w:jc w:val="left"/>
        <w:rPr>
          <w:color w:val="C9211E"/>
          <w:sz w:val="20"/>
          <w:szCs w:val="20"/>
        </w:rPr>
      </w:pPr>
      <w:r>
        <w:rPr>
          <w:color w:val="C9211E"/>
          <w:sz w:val="20"/>
          <w:szCs w:val="20"/>
        </w:rPr>
      </w:r>
    </w:p>
    <w:p>
      <w:pPr>
        <w:pStyle w:val="Normal"/>
        <w:bidi w:val="0"/>
        <w:jc w:val="left"/>
        <w:rPr/>
      </w:pPr>
      <w:r>
        <w:rPr/>
      </w:r>
    </w:p>
    <w:p>
      <w:pPr>
        <w:pStyle w:val="Normal"/>
        <w:bidi w:val="0"/>
        <w:jc w:val="left"/>
        <w:rPr/>
      </w:pPr>
      <w:r>
        <w:rPr/>
      </w:r>
    </w:p>
    <w:p>
      <w:pPr>
        <w:pStyle w:val="Heading2"/>
        <w:numPr>
          <w:ilvl w:val="1"/>
          <w:numId w:val="2"/>
        </w:numPr>
        <w:bidi w:val="0"/>
        <w:jc w:val="left"/>
        <w:rPr/>
      </w:pPr>
      <w:r>
        <w:rPr/>
        <w:t>3. Baseline and Experimental Methods</w:t>
      </w:r>
    </w:p>
    <w:p>
      <w:pPr>
        <w:pStyle w:val="Normal"/>
        <w:bidi w:val="0"/>
        <w:jc w:val="left"/>
        <w:rPr>
          <w:sz w:val="20"/>
          <w:szCs w:val="20"/>
        </w:rPr>
      </w:pPr>
      <w:r>
        <w:rPr>
          <w:sz w:val="20"/>
          <w:szCs w:val="20"/>
        </w:rPr>
      </w:r>
    </w:p>
    <w:p>
      <w:pPr>
        <w:pStyle w:val="Normal"/>
        <w:bidi w:val="0"/>
        <w:jc w:val="left"/>
        <w:rPr/>
      </w:pPr>
      <w:r>
        <w:rPr>
          <w:sz w:val="20"/>
          <w:szCs w:val="20"/>
        </w:rPr>
        <w:t>This section is broken into two parts. The initial section introduces the two neural baseline methods’ for the task of morphological inflection, with summary differences explored conceptually (section 4 compares their performance). In the second part, expriments to improve upon these initial methods are detailed. We aim to investigate the performance of the various models and potential improvements- specifically on low-resource languages. To this end, baseline experiments are conducted on Crimean-Turkish (crh), Swahili (swa), Maltese (mlt), Ingrian (izh) and Murrinh-Patha (mwf); and improved methods are applied to Maltese (mlt), Ingrian (izh) and Murrinh-Patha (mwf). Ingrian and Murrinh-Patha are chosen as low-resource data sets (n&lt;1000), with Maltese as a type of cross-over ‘control’ with the baseline experiments.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2"/>
        </w:numPr>
        <w:bidi w:val="0"/>
        <w:jc w:val="left"/>
        <w:rPr/>
      </w:pPr>
      <w:r>
        <w:rPr/>
        <w:t>3.1 Baseline Systems</w:t>
      </w:r>
    </w:p>
    <w:p>
      <w:pPr>
        <w:pStyle w:val="Normal"/>
        <w:bidi w:val="0"/>
        <w:jc w:val="left"/>
        <w:rPr>
          <w:u w:val="single"/>
        </w:rPr>
      </w:pPr>
      <w:r>
        <w:rPr>
          <w:u w:val="single"/>
        </w:rPr>
        <w:t>Model 1: Hard-Attention model (Aharoni &amp; Goldberg, 2017 SIGMORPHON baseline model)</w:t>
      </w:r>
    </w:p>
    <w:p>
      <w:pPr>
        <w:pStyle w:val="Normal"/>
        <w:bidi w:val="0"/>
        <w:jc w:val="left"/>
        <w:rPr/>
      </w:pPr>
      <w:r>
        <w:rPr/>
      </w:r>
    </w:p>
    <w:p>
      <w:pPr>
        <w:pStyle w:val="Normal"/>
        <w:bidi w:val="0"/>
        <w:jc w:val="left"/>
        <w:rPr>
          <w:sz w:val="20"/>
          <w:szCs w:val="20"/>
        </w:rPr>
      </w:pPr>
      <w:r>
        <w:rPr>
          <w:sz w:val="20"/>
          <w:szCs w:val="20"/>
        </w:rPr>
        <w:t xml:space="preserve">This model uses a combination of bi-directional RNN for encoding/decoding sequences, with an attention mechanism with a nearly-monotonic hard alignmement constraint- called a ‘hard attention’ mechanism to determine what to pay attention to. </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 </w:t>
      </w:r>
      <w:r>
        <w:rPr>
          <w:sz w:val="20"/>
          <w:szCs w:val="20"/>
        </w:rPr>
        <w:t>At a high level, the model’s prediction process can be understood as a series of attention-pointer movements (‘reads’) and write operations. The encoder takes every (vectorised) character input and passes it through a bidirectional LSTM RNN to generate a hidden representation. The decoder takes as input its previous output, a set of features (e.g. corresponding to unimorph tags), and the hidden state that the attention mechanism has determined. A traditional (soft) attention mechanism is a way to create an output as a weighted sum of the input characters (weighted by how useful the network believes they are). In this implementation however, the attention control mechanism controls what is the appropriate step: to decode and write the current (‘attended’) input, or advance the decoders attention to the next input, akin to an alignment control.</w:t>
      </w:r>
    </w:p>
    <w:p>
      <w:pPr>
        <w:pStyle w:val="Normal"/>
        <w:bidi w:val="0"/>
        <w:jc w:val="left"/>
        <w:rPr/>
      </w:pPr>
      <w:r>
        <w:rPr/>
      </w:r>
    </w:p>
    <w:p>
      <w:pPr>
        <w:pStyle w:val="Normal"/>
        <w:bidi w:val="0"/>
        <w:jc w:val="left"/>
        <w:rPr/>
      </w:pPr>
      <w:r>
        <w:rPr/>
      </w:r>
    </w:p>
    <w:p>
      <w:pPr>
        <w:pStyle w:val="Normal"/>
        <w:bidi w:val="0"/>
        <w:jc w:val="left"/>
        <w:rPr>
          <w:u w:val="single"/>
        </w:rPr>
      </w:pPr>
      <w:r>
        <w:rPr>
          <w:u w:val="single"/>
        </w:rPr>
        <w:t>Model 2: Transformer model applied to character-level transduction (Wu et al., 2020 baseline model)</w:t>
      </w:r>
    </w:p>
    <w:p>
      <w:pPr>
        <w:pStyle w:val="Normal"/>
        <w:bidi w:val="0"/>
        <w:jc w:val="left"/>
        <w:rPr/>
      </w:pPr>
      <w:r>
        <w:rPr/>
      </w:r>
    </w:p>
    <w:p>
      <w:pPr>
        <w:pStyle w:val="Normal"/>
        <w:bidi w:val="0"/>
        <w:jc w:val="left"/>
        <w:rPr/>
      </w:pPr>
      <w:r>
        <w:rPr>
          <w:sz w:val="20"/>
          <w:szCs w:val="20"/>
        </w:rPr>
        <w:t>The second model implemented has a transformer-based architecture. Traditionally, transformer models have performed very well on word-level tasks (Vaswani et al., 2017)b. It turns out that they work well on character-level tasks as well, even when training examples are limited, providing the model implementation is tweaked a bit (notably the batch size). In contrast to model 1 above, the transformer architecture uses a soft-attention mechanism.</w:t>
      </w:r>
    </w:p>
    <w:p>
      <w:pPr>
        <w:pStyle w:val="Normal"/>
        <w:bidi w:val="0"/>
        <w:jc w:val="left"/>
        <w:rPr>
          <w:sz w:val="20"/>
          <w:szCs w:val="20"/>
        </w:rPr>
      </w:pPr>
      <w:r>
        <w:rPr>
          <w:sz w:val="20"/>
          <w:szCs w:val="20"/>
        </w:rPr>
      </w:r>
    </w:p>
    <w:p>
      <w:pPr>
        <w:pStyle w:val="Normal"/>
        <w:bidi w:val="0"/>
        <w:jc w:val="left"/>
        <w:rPr/>
      </w:pPr>
      <w:r>
        <w:rPr>
          <w:sz w:val="20"/>
          <w:szCs w:val="20"/>
        </w:rPr>
        <w:t xml:space="preserve">Transformer models differ from RNN models in that they rely on a self-attention mechanism, consequently having attractive computational/parallelizable characteristics and being better at capturing capture long-range dependencies. This implementation uses a relatively small version of the transformer under the intuition of low-resource data sets creating potential for overfit. Other notable modifications from the ‘vanilla’ transformer is adapting for feature positional invariance and running the decoder left-right greedily. </w:t>
      </w:r>
    </w:p>
    <w:p>
      <w:pPr>
        <w:pStyle w:val="Normal"/>
        <w:bidi w:val="0"/>
        <w:jc w:val="left"/>
        <w:rPr/>
      </w:pPr>
      <w:r>
        <w:rPr/>
      </w:r>
    </w:p>
    <w:p>
      <w:pPr>
        <w:pStyle w:val="Normal"/>
        <w:bidi w:val="0"/>
        <w:jc w:val="left"/>
        <w:rPr/>
      </w:pPr>
      <w:r>
        <w:rPr/>
      </w:r>
    </w:p>
    <w:p>
      <w:pPr>
        <w:pStyle w:val="Heading3"/>
        <w:numPr>
          <w:ilvl w:val="2"/>
          <w:numId w:val="2"/>
        </w:numPr>
        <w:bidi w:val="0"/>
        <w:jc w:val="left"/>
        <w:rPr/>
      </w:pPr>
      <w:r>
        <w:rPr/>
        <w:t>3.2 Further experiments and improvements</w:t>
      </w:r>
    </w:p>
    <w:p>
      <w:pPr>
        <w:pStyle w:val="Normal"/>
        <w:bidi w:val="0"/>
        <w:jc w:val="left"/>
        <w:rPr/>
      </w:pPr>
      <w:r>
        <w:rPr/>
      </w:r>
    </w:p>
    <w:p>
      <w:pPr>
        <w:pStyle w:val="Normal"/>
        <w:bidi w:val="0"/>
        <w:jc w:val="left"/>
        <w:rPr>
          <w:sz w:val="20"/>
          <w:szCs w:val="20"/>
        </w:rPr>
      </w:pPr>
      <w:r>
        <w:rPr>
          <w:sz w:val="20"/>
          <w:szCs w:val="20"/>
        </w:rPr>
        <w:t xml:space="preserve">Supervised-learning neural models traditionally perform the best when there are large amounts of training data available. When the data sets are small, overfitting/specialisation is a risk. Low-resource languages present a challenge in this regard, and data augmentation can be a very worthwhile technique to improve predictive performance. There have been promising results within morphological inflection with low-resource languages in particular (Anastasopoulos &amp; Neubig, 2019). </w:t>
      </w:r>
    </w:p>
    <w:p>
      <w:pPr>
        <w:pStyle w:val="Normal"/>
        <w:bidi w:val="0"/>
        <w:jc w:val="left"/>
        <w:rPr>
          <w:sz w:val="20"/>
          <w:szCs w:val="20"/>
        </w:rPr>
      </w:pPr>
      <w:r>
        <w:rPr>
          <w:sz w:val="20"/>
          <w:szCs w:val="20"/>
        </w:rPr>
      </w:r>
    </w:p>
    <w:p>
      <w:pPr>
        <w:pStyle w:val="Normal"/>
        <w:bidi w:val="0"/>
        <w:jc w:val="left"/>
        <w:rPr>
          <w:sz w:val="20"/>
          <w:szCs w:val="20"/>
        </w:rPr>
      </w:pPr>
      <w:r>
        <w:rPr>
          <w:sz w:val="20"/>
          <w:szCs w:val="20"/>
        </w:rPr>
        <w:t>The existing ‘data hallucination’ process as outlined in the 2020 baseline approach is outlined as follows:</w:t>
      </w:r>
    </w:p>
    <w:p>
      <w:pPr>
        <w:pStyle w:val="Normal"/>
        <w:bidi w:val="0"/>
        <w:jc w:val="left"/>
        <w:rPr/>
      </w:pPr>
      <w:r>
        <w:rPr/>
      </w:r>
    </w:p>
    <w:tbl>
      <w:tblPr>
        <w:tblW w:w="10434" w:type="dxa"/>
        <w:jc w:val="left"/>
        <w:tblInd w:w="57" w:type="dxa"/>
        <w:tblCellMar>
          <w:top w:w="57" w:type="dxa"/>
          <w:left w:w="57" w:type="dxa"/>
          <w:bottom w:w="57" w:type="dxa"/>
          <w:right w:w="283" w:type="dxa"/>
        </w:tblCellMar>
      </w:tblPr>
      <w:tblGrid>
        <w:gridCol w:w="6008"/>
        <w:gridCol w:w="4425"/>
      </w:tblGrid>
      <w:tr>
        <w:trPr/>
        <w:tc>
          <w:tcPr>
            <w:tcW w:w="6008" w:type="dxa"/>
            <w:tcBorders/>
          </w:tcPr>
          <w:p>
            <w:pPr>
              <w:pStyle w:val="Normal"/>
              <w:numPr>
                <w:ilvl w:val="0"/>
                <w:numId w:val="4"/>
              </w:numPr>
              <w:bidi w:val="0"/>
              <w:jc w:val="both"/>
              <w:rPr>
                <w:sz w:val="20"/>
                <w:szCs w:val="20"/>
              </w:rPr>
            </w:pPr>
            <w:r>
              <w:rPr>
                <w:sz w:val="20"/>
                <w:szCs w:val="20"/>
              </w:rPr>
              <w:t>Take as input the original training data</w:t>
            </w:r>
          </w:p>
          <w:p>
            <w:pPr>
              <w:pStyle w:val="Normal"/>
              <w:numPr>
                <w:ilvl w:val="0"/>
                <w:numId w:val="4"/>
              </w:numPr>
              <w:bidi w:val="0"/>
              <w:jc w:val="both"/>
              <w:rPr>
                <w:sz w:val="20"/>
                <w:szCs w:val="20"/>
              </w:rPr>
            </w:pPr>
            <w:r>
              <w:rPr>
                <w:sz w:val="20"/>
                <w:szCs w:val="20"/>
              </w:rPr>
              <w:t>Find 1 or more ‘stem’ sequences (defined as 3 or more consecutive characters common to both source and inflected form)</w:t>
            </w:r>
          </w:p>
          <w:p>
            <w:pPr>
              <w:pStyle w:val="Normal"/>
              <w:numPr>
                <w:ilvl w:val="0"/>
                <w:numId w:val="4"/>
              </w:numPr>
              <w:bidi w:val="0"/>
              <w:jc w:val="both"/>
              <w:rPr>
                <w:sz w:val="20"/>
                <w:szCs w:val="20"/>
              </w:rPr>
            </w:pPr>
            <w:r>
              <w:rPr>
                <w:sz w:val="20"/>
                <w:szCs w:val="20"/>
              </w:rPr>
              <w:t>Replace these stems with ‘hallucinated’ (e.g. fabricated) character sequences</w:t>
            </w:r>
          </w:p>
          <w:p>
            <w:pPr>
              <w:pStyle w:val="Normal"/>
              <w:numPr>
                <w:ilvl w:val="0"/>
                <w:numId w:val="4"/>
              </w:numPr>
              <w:bidi w:val="0"/>
              <w:jc w:val="both"/>
              <w:rPr>
                <w:sz w:val="20"/>
                <w:szCs w:val="20"/>
              </w:rPr>
            </w:pPr>
            <w:r>
              <w:rPr>
                <w:sz w:val="20"/>
                <w:szCs w:val="20"/>
              </w:rPr>
              <w:t>Repeat until desired data set size is achieved.</w:t>
            </w:r>
          </w:p>
          <w:p>
            <w:pPr>
              <w:pStyle w:val="Normal"/>
              <w:bidi w:val="0"/>
              <w:jc w:val="both"/>
              <w:rPr>
                <w:sz w:val="20"/>
                <w:szCs w:val="20"/>
              </w:rPr>
            </w:pPr>
            <w:r>
              <w:rPr>
                <w:sz w:val="20"/>
                <w:szCs w:val="20"/>
              </w:rPr>
            </w:r>
          </w:p>
          <w:p>
            <w:pPr>
              <w:pStyle w:val="Normal"/>
              <w:bidi w:val="0"/>
              <w:jc w:val="both"/>
              <w:rPr>
                <w:sz w:val="20"/>
                <w:szCs w:val="20"/>
              </w:rPr>
            </w:pPr>
            <w:r>
              <w:rPr>
                <w:sz w:val="20"/>
                <w:szCs w:val="20"/>
              </w:rPr>
              <w:t>This process has some potential limitations. First, the replacement characters are sampled uniform-randomly from the languages alphabet. This may result in unrealistic sequences, potentially impacting on the training of the model as it seeks to find patterns within the hallucinated data.</w:t>
            </w:r>
          </w:p>
        </w:tc>
        <w:tc>
          <w:tcPr>
            <w:tcW w:w="4425" w:type="dxa"/>
            <w:tcBorders/>
          </w:tcPr>
          <w:p>
            <w:pPr>
              <w:pStyle w:val="TableContents"/>
              <w:bidi w:val="0"/>
              <w:jc w:val="center"/>
              <w:rPr/>
            </w:pPr>
            <w:r>
              <w:drawing>
                <wp:anchor behindDoc="0" distT="0" distB="0" distL="0" distR="0" simplePos="0" locked="0" layoutInCell="1" allowOverlap="1" relativeHeight="4">
                  <wp:simplePos x="0" y="0"/>
                  <wp:positionH relativeFrom="column">
                    <wp:align>left</wp:align>
                  </wp:positionH>
                  <wp:positionV relativeFrom="paragraph">
                    <wp:posOffset>82550</wp:posOffset>
                  </wp:positionV>
                  <wp:extent cx="2486025" cy="1494155"/>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2486025" cy="1494155"/>
                          </a:xfrm>
                          <a:prstGeom prst="rect">
                            <a:avLst/>
                          </a:prstGeom>
                        </pic:spPr>
                      </pic:pic>
                    </a:graphicData>
                  </a:graphic>
                </wp:anchor>
              </w:drawing>
            </w:r>
            <w:r>
              <w:rPr>
                <w:i/>
                <w:iCs/>
                <w:sz w:val="16"/>
                <w:szCs w:val="16"/>
              </w:rPr>
              <w:t>F</w:t>
            </w:r>
            <w:r>
              <w:rPr>
                <w:i/>
                <w:iCs/>
                <w:sz w:val="16"/>
                <w:szCs w:val="16"/>
              </w:rPr>
              <w:t>igure 3.2.1 – Random sampled hallucination</w:t>
            </w:r>
          </w:p>
          <w:p>
            <w:pPr>
              <w:pStyle w:val="TableContents"/>
              <w:bidi w:val="0"/>
              <w:jc w:val="center"/>
              <w:rPr/>
            </w:pPr>
            <w:r>
              <w:rPr>
                <w:i/>
                <w:iCs/>
                <w:sz w:val="16"/>
                <w:szCs w:val="16"/>
              </w:rPr>
              <w:t xml:space="preserve"> </w:t>
            </w:r>
            <w:r>
              <w:rPr>
                <w:i/>
                <w:iCs/>
                <w:sz w:val="16"/>
                <w:szCs w:val="16"/>
              </w:rPr>
              <w:t>(Anastasopoulos &amp; Neubig, 2019</w:t>
            </w:r>
          </w:p>
        </w:tc>
      </w:tr>
      <w:tr>
        <w:trPr/>
        <w:tc>
          <w:tcPr>
            <w:tcW w:w="10433" w:type="dxa"/>
            <w:gridSpan w:val="2"/>
            <w:tcBorders/>
          </w:tcPr>
          <w:p>
            <w:pPr>
              <w:pStyle w:val="Normal"/>
              <w:bidi w:val="0"/>
              <w:jc w:val="left"/>
              <w:rPr>
                <w:sz w:val="20"/>
                <w:szCs w:val="20"/>
              </w:rPr>
            </w:pPr>
            <w:r>
              <w:rPr>
                <w:sz w:val="20"/>
                <w:szCs w:val="20"/>
              </w:rPr>
              <w:t>Second- the replacement length is strictly matching that of the original length. This limits the variety of word forms present in the training data, which may result in influencing the types of patterns the model learns to focus on, i.e. if there are now 10x the number of lemma→ inflected form pairs for a given rule, but they are all the same length, then the model will be biased to words of that length. This could limit the overall benefit that the augmentation has on the model.</w:t>
            </w:r>
          </w:p>
        </w:tc>
      </w:tr>
    </w:tbl>
    <w:p>
      <w:pPr>
        <w:pStyle w:val="Normal"/>
        <w:bidi w:val="0"/>
        <w:jc w:val="left"/>
        <w:rPr/>
      </w:pPr>
      <w:r>
        <w:rPr/>
      </w:r>
    </w:p>
    <w:p>
      <w:pPr>
        <w:pStyle w:val="Normal"/>
        <w:bidi w:val="0"/>
        <w:jc w:val="left"/>
        <w:rPr>
          <w:sz w:val="20"/>
          <w:szCs w:val="20"/>
        </w:rPr>
      </w:pPr>
      <w:r>
        <w:rPr>
          <w:sz w:val="20"/>
          <w:szCs w:val="20"/>
        </w:rPr>
      </w:r>
    </w:p>
    <w:p>
      <w:pPr>
        <w:pStyle w:val="Normal"/>
        <w:bidi w:val="0"/>
        <w:jc w:val="left"/>
        <w:rPr>
          <w:sz w:val="20"/>
          <w:szCs w:val="20"/>
        </w:rPr>
      </w:pPr>
      <w:r>
        <w:rPr>
          <w:sz w:val="20"/>
          <w:szCs w:val="20"/>
        </w:rPr>
        <w:t>To attempt to remedy these potential shortfalls, we propose the following:</w:t>
      </w:r>
    </w:p>
    <w:p>
      <w:pPr>
        <w:pStyle w:val="Normal"/>
        <w:bidi w:val="0"/>
        <w:jc w:val="left"/>
        <w:rPr>
          <w:sz w:val="20"/>
          <w:szCs w:val="20"/>
        </w:rPr>
      </w:pPr>
      <w:r>
        <w:rPr>
          <w:sz w:val="20"/>
          <w:szCs w:val="20"/>
        </w:rPr>
      </w:r>
    </w:p>
    <w:p>
      <w:pPr>
        <w:pStyle w:val="Normal"/>
        <w:numPr>
          <w:ilvl w:val="0"/>
          <w:numId w:val="5"/>
        </w:numPr>
        <w:bidi w:val="0"/>
        <w:jc w:val="left"/>
        <w:rPr>
          <w:sz w:val="20"/>
          <w:szCs w:val="20"/>
        </w:rPr>
      </w:pPr>
      <w:r>
        <w:rPr>
          <w:sz w:val="20"/>
          <w:szCs w:val="20"/>
        </w:rPr>
        <w:t>Sampling of sequences will be without replacement from a categorical distribution utilising a markov model (over observed sequences in the original training data), where the probability of a replacement is conditioned on the preceding n-characters (i.e. ngram)</w:t>
        <w:br/>
      </w:r>
    </w:p>
    <w:p>
      <w:pPr>
        <w:pStyle w:val="Normal"/>
        <w:numPr>
          <w:ilvl w:val="0"/>
          <w:numId w:val="5"/>
        </w:numPr>
        <w:bidi w:val="0"/>
        <w:jc w:val="left"/>
        <w:rPr>
          <w:sz w:val="20"/>
          <w:szCs w:val="20"/>
        </w:rPr>
      </w:pPr>
      <w:r>
        <w:rPr>
          <w:sz w:val="20"/>
          <w:szCs w:val="20"/>
        </w:rPr>
        <w:t>Replacement sequences can have the following flexible characterstics:</w:t>
      </w:r>
    </w:p>
    <w:p>
      <w:pPr>
        <w:pStyle w:val="Normal"/>
        <w:numPr>
          <w:ilvl w:val="1"/>
          <w:numId w:val="5"/>
        </w:numPr>
        <w:bidi w:val="0"/>
        <w:jc w:val="left"/>
        <w:rPr>
          <w:sz w:val="20"/>
          <w:szCs w:val="20"/>
        </w:rPr>
      </w:pPr>
      <w:r>
        <w:rPr>
          <w:sz w:val="20"/>
          <w:szCs w:val="20"/>
        </w:rPr>
        <w:t>They can be k +/- m characters long, where k is the original sequence length, and m &lt;=  n</w:t>
      </w:r>
    </w:p>
    <w:p>
      <w:pPr>
        <w:pStyle w:val="Normal"/>
        <w:numPr>
          <w:ilvl w:val="1"/>
          <w:numId w:val="5"/>
        </w:numPr>
        <w:bidi w:val="0"/>
        <w:jc w:val="left"/>
        <w:rPr>
          <w:sz w:val="20"/>
          <w:szCs w:val="20"/>
        </w:rPr>
      </w:pPr>
      <w:r>
        <w:rPr>
          <w:sz w:val="20"/>
          <w:szCs w:val="20"/>
        </w:rPr>
        <w:t>They can be ‘fixed’ or ‘compositional’; the former is where the sequence must have been observed in the training data in its entirety, the latter is where the sequence can be made up of recursive sampling</w:t>
      </w:r>
    </w:p>
    <w:p>
      <w:pPr>
        <w:pStyle w:val="Normal"/>
        <w:numPr>
          <w:ilvl w:val="1"/>
          <w:numId w:val="5"/>
        </w:numPr>
        <w:bidi w:val="0"/>
        <w:jc w:val="left"/>
        <w:rPr>
          <w:sz w:val="20"/>
          <w:szCs w:val="20"/>
        </w:rPr>
      </w:pPr>
      <w:r>
        <w:rPr>
          <w:sz w:val="20"/>
          <w:szCs w:val="20"/>
        </w:rPr>
        <w:t>(providing it does not conflict with the above choices) a maximum sequence length may be specified (e.g. when compositional, we may implement a strict character-level unigram model if desired)</w:t>
      </w:r>
    </w:p>
    <w:p>
      <w:pPr>
        <w:pStyle w:val="Normal"/>
        <w:numPr>
          <w:ilvl w:val="0"/>
          <w:numId w:val="5"/>
        </w:numPr>
        <w:bidi w:val="0"/>
        <w:jc w:val="left"/>
        <w:rPr>
          <w:sz w:val="20"/>
          <w:szCs w:val="20"/>
        </w:rPr>
      </w:pPr>
      <w:r>
        <w:rPr>
          <w:sz w:val="20"/>
          <w:szCs w:val="20"/>
        </w:rPr>
        <w:t>As with the previous method, multiple ‘stems’ can be replaced, however in this implementation it is possible to specify the minimum length of the stem (default is 2)</w:t>
      </w:r>
    </w:p>
    <w:p>
      <w:pPr>
        <w:pStyle w:val="Normal"/>
        <w:bidi w:val="0"/>
        <w:jc w:val="left"/>
        <w:rPr/>
      </w:pPr>
      <w:r>
        <w:rPr/>
      </w:r>
    </w:p>
    <w:p>
      <w:pPr>
        <w:pStyle w:val="Normal"/>
        <w:bidi w:val="0"/>
        <w:jc w:val="left"/>
        <w:rPr>
          <w:u w:val="single"/>
        </w:rPr>
      </w:pPr>
      <w:r>
        <w:rPr>
          <w:u w:val="single"/>
        </w:rPr>
        <w:t>Implementation Outline</w:t>
      </w:r>
    </w:p>
    <w:p>
      <w:pPr>
        <w:pStyle w:val="Normal"/>
        <w:bidi w:val="0"/>
        <w:jc w:val="left"/>
        <w:rPr/>
      </w:pPr>
      <w:r>
        <w:rPr/>
      </w:r>
    </w:p>
    <w:p>
      <w:pPr>
        <w:pStyle w:val="Normal"/>
        <w:numPr>
          <w:ilvl w:val="0"/>
          <w:numId w:val="6"/>
        </w:numPr>
        <w:bidi w:val="0"/>
        <w:jc w:val="left"/>
        <w:rPr>
          <w:sz w:val="20"/>
          <w:szCs w:val="20"/>
        </w:rPr>
      </w:pPr>
      <w:r>
        <w:rPr>
          <w:sz w:val="20"/>
          <w:szCs w:val="20"/>
        </w:rPr>
        <w:t>First, a mapping vocabulary is built from all source &amp; inflected words in the training data set:</w:t>
      </w:r>
    </w:p>
    <w:p>
      <w:pPr>
        <w:pStyle w:val="Normal"/>
        <w:numPr>
          <w:ilvl w:val="1"/>
          <w:numId w:val="6"/>
        </w:numPr>
        <w:bidi w:val="0"/>
        <w:jc w:val="left"/>
        <w:rPr>
          <w:sz w:val="20"/>
          <w:szCs w:val="20"/>
        </w:rPr>
      </w:pPr>
      <w:r>
        <w:rPr>
          <w:sz w:val="20"/>
          <w:szCs w:val="20"/>
        </w:rPr>
        <w:t>each word has ‘#’ and ‘$’ affixed to mark the beginning and end of a word</w:t>
      </w:r>
    </w:p>
    <w:p>
      <w:pPr>
        <w:pStyle w:val="Normal"/>
        <w:numPr>
          <w:ilvl w:val="1"/>
          <w:numId w:val="6"/>
        </w:numPr>
        <w:bidi w:val="0"/>
        <w:jc w:val="left"/>
        <w:rPr>
          <w:sz w:val="20"/>
          <w:szCs w:val="20"/>
        </w:rPr>
      </w:pPr>
      <w:r>
        <w:rPr>
          <w:sz w:val="20"/>
          <w:szCs w:val="20"/>
        </w:rPr>
        <w:t xml:space="preserve">for each character/sequence of characters, a mapping is constructed to all observed succeeding sequences </w:t>
      </w:r>
      <w:r>
        <w:rPr>
          <w:color w:val="000000"/>
          <w:sz w:val="20"/>
          <w:szCs w:val="20"/>
        </w:rPr>
        <w:t xml:space="preserve">&lt;= max_len length </w:t>
      </w:r>
      <w:r>
        <w:rPr>
          <w:color w:val="C9211E"/>
          <w:sz w:val="20"/>
          <w:szCs w:val="20"/>
        </w:rPr>
        <w:t xml:space="preserve"> </w:t>
      </w:r>
      <w:r>
        <w:rPr>
          <w:color w:val="000000"/>
          <w:sz w:val="20"/>
          <w:szCs w:val="20"/>
        </w:rPr>
        <w:t>(greedy)</w:t>
      </w:r>
      <w:r>
        <w:rPr>
          <w:sz w:val="20"/>
          <w:szCs w:val="20"/>
        </w:rPr>
        <w:t>, along with their frequency of occurance</w:t>
      </w:r>
    </w:p>
    <w:p>
      <w:pPr>
        <w:pStyle w:val="Normal"/>
        <w:numPr>
          <w:ilvl w:val="1"/>
          <w:numId w:val="6"/>
        </w:numPr>
        <w:bidi w:val="0"/>
        <w:jc w:val="left"/>
        <w:rPr>
          <w:sz w:val="20"/>
          <w:szCs w:val="20"/>
        </w:rPr>
      </w:pPr>
      <w:r>
        <w:rPr>
          <w:sz w:val="20"/>
          <w:szCs w:val="20"/>
        </w:rPr>
        <w:t>frequencies are converted to a cumulative sum to allow for sampling from the categorical distribution.</w:t>
      </w:r>
    </w:p>
    <w:p>
      <w:pPr>
        <w:pStyle w:val="Normal"/>
        <w:numPr>
          <w:ilvl w:val="0"/>
          <w:numId w:val="0"/>
        </w:numPr>
        <w:bidi w:val="0"/>
        <w:ind w:left="1080" w:hanging="0"/>
        <w:jc w:val="left"/>
        <w:rPr>
          <w:sz w:val="20"/>
          <w:szCs w:val="20"/>
        </w:rPr>
      </w:pPr>
      <w:r>
        <w:rPr>
          <w:sz w:val="20"/>
          <w:szCs w:val="20"/>
        </w:rPr>
      </w:r>
    </w:p>
    <w:p>
      <w:pPr>
        <w:pStyle w:val="Normal"/>
        <w:numPr>
          <w:ilvl w:val="0"/>
          <w:numId w:val="0"/>
        </w:numPr>
        <w:bidi w:val="0"/>
        <w:ind w:left="1080" w:hanging="0"/>
        <w:jc w:val="left"/>
        <w:rPr>
          <w:sz w:val="20"/>
          <w:szCs w:val="20"/>
        </w:rPr>
      </w:pPr>
      <w:r>
        <w:rPr>
          <w:sz w:val="20"/>
          <w:szCs w:val="20"/>
        </w:rPr>
        <w:drawing>
          <wp:anchor behindDoc="0" distT="0" distB="0" distL="0" distR="0" simplePos="0" locked="0" layoutInCell="1" allowOverlap="1" relativeHeight="2">
            <wp:simplePos x="0" y="0"/>
            <wp:positionH relativeFrom="column">
              <wp:posOffset>77470</wp:posOffset>
            </wp:positionH>
            <wp:positionV relativeFrom="paragraph">
              <wp:posOffset>230505</wp:posOffset>
            </wp:positionV>
            <wp:extent cx="6624320" cy="35560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624320" cy="355600"/>
                    </a:xfrm>
                    <a:prstGeom prst="rect">
                      <a:avLst/>
                    </a:prstGeom>
                  </pic:spPr>
                </pic:pic>
              </a:graphicData>
            </a:graphic>
          </wp:anchor>
        </w:drawing>
      </w:r>
    </w:p>
    <w:p>
      <w:pPr>
        <w:pStyle w:val="Normal"/>
        <w:numPr>
          <w:ilvl w:val="0"/>
          <w:numId w:val="0"/>
        </w:numPr>
        <w:bidi w:val="0"/>
        <w:ind w:left="1080" w:hanging="0"/>
        <w:jc w:val="center"/>
        <w:rPr>
          <w:sz w:val="20"/>
          <w:szCs w:val="20"/>
        </w:rPr>
      </w:pPr>
      <w:r>
        <w:rPr>
          <w:i/>
          <w:iCs/>
          <w:sz w:val="16"/>
          <w:szCs w:val="16"/>
        </w:rPr>
        <w:t>Fig. 3.2.2a: Example distribution of 1-char (max_len = 1) sequences succeeding the chars ‘#’ or ‘a’</w:t>
      </w:r>
      <w:r>
        <w:rPr>
          <w:sz w:val="20"/>
          <w:szCs w:val="20"/>
        </w:rPr>
        <w:br/>
      </w:r>
    </w:p>
    <w:p>
      <w:pPr>
        <w:pStyle w:val="Normal"/>
        <w:numPr>
          <w:ilvl w:val="0"/>
          <w:numId w:val="0"/>
        </w:numPr>
        <w:bidi w:val="0"/>
        <w:ind w:left="1080" w:hanging="0"/>
        <w:jc w:val="left"/>
        <w:rPr>
          <w:sz w:val="20"/>
          <w:szCs w:val="20"/>
        </w:rPr>
      </w:pPr>
      <w:r>
        <w:rPr>
          <w:sz w:val="20"/>
          <w:szCs w:val="20"/>
        </w:rPr>
        <w:drawing>
          <wp:anchor behindDoc="0" distT="0" distB="0" distL="0" distR="0" simplePos="0" locked="0" layoutInCell="1" allowOverlap="1" relativeHeight="3">
            <wp:simplePos x="0" y="0"/>
            <wp:positionH relativeFrom="column">
              <wp:posOffset>23495</wp:posOffset>
            </wp:positionH>
            <wp:positionV relativeFrom="paragraph">
              <wp:posOffset>220980</wp:posOffset>
            </wp:positionV>
            <wp:extent cx="6624320" cy="100901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624320" cy="1009015"/>
                    </a:xfrm>
                    <a:prstGeom prst="rect">
                      <a:avLst/>
                    </a:prstGeom>
                  </pic:spPr>
                </pic:pic>
              </a:graphicData>
            </a:graphic>
          </wp:anchor>
        </w:drawing>
      </w:r>
    </w:p>
    <w:p>
      <w:pPr>
        <w:pStyle w:val="Normal"/>
        <w:numPr>
          <w:ilvl w:val="0"/>
          <w:numId w:val="0"/>
        </w:numPr>
        <w:bidi w:val="0"/>
        <w:ind w:left="720" w:hanging="0"/>
        <w:jc w:val="center"/>
        <w:rPr>
          <w:sz w:val="20"/>
          <w:szCs w:val="20"/>
        </w:rPr>
      </w:pPr>
      <w:r>
        <w:rPr>
          <w:i/>
          <w:iCs/>
          <w:sz w:val="16"/>
          <w:szCs w:val="16"/>
        </w:rPr>
        <w:t>Fig. 3.2.2b: Example distribution of &lt;= 3-char  (max_len = 3) sequences succeeding the chars ‘#’ or ‘a’</w:t>
      </w:r>
      <w:r>
        <w:rPr>
          <w:sz w:val="20"/>
          <w:szCs w:val="20"/>
        </w:rPr>
        <w:br/>
        <w:br/>
      </w:r>
    </w:p>
    <w:p>
      <w:pPr>
        <w:pStyle w:val="Normal"/>
        <w:numPr>
          <w:ilvl w:val="0"/>
          <w:numId w:val="6"/>
        </w:numPr>
        <w:bidi w:val="0"/>
        <w:jc w:val="left"/>
        <w:rPr>
          <w:sz w:val="20"/>
          <w:szCs w:val="20"/>
        </w:rPr>
      </w:pPr>
      <w:r>
        <w:rPr>
          <w:sz w:val="20"/>
          <w:szCs w:val="20"/>
        </w:rPr>
        <w:t>Each word pair (lemma &amp; inflected) in the training set has LCS (longest common subsequence) computed. The LCS is then split into substrings of characters that are consecutive in both words.</w:t>
      </w:r>
    </w:p>
    <w:p>
      <w:pPr>
        <w:pStyle w:val="Normal"/>
        <w:numPr>
          <w:ilvl w:val="0"/>
          <w:numId w:val="6"/>
        </w:numPr>
        <w:bidi w:val="0"/>
        <w:jc w:val="left"/>
        <w:rPr>
          <w:sz w:val="20"/>
          <w:szCs w:val="20"/>
        </w:rPr>
      </w:pPr>
      <w:r>
        <w:rPr>
          <w:sz w:val="20"/>
          <w:szCs w:val="20"/>
        </w:rPr>
        <w:t>For each LCS substring that meets minimum length criteria:</w:t>
      </w:r>
    </w:p>
    <w:p>
      <w:pPr>
        <w:pStyle w:val="Normal"/>
        <w:numPr>
          <w:ilvl w:val="1"/>
          <w:numId w:val="6"/>
        </w:numPr>
        <w:bidi w:val="0"/>
        <w:jc w:val="left"/>
        <w:rPr/>
      </w:pPr>
      <w:r>
        <w:rPr>
          <w:sz w:val="20"/>
          <w:szCs w:val="20"/>
        </w:rPr>
        <w:t xml:space="preserve">the string is replaced R times, by sampling without replacement from the vocabulary, either compositionally or as a fixed sequence (defined above). R = </w:t>
      </w:r>
      <w:r>
        <w:rPr>
          <w:color w:val="000000"/>
          <w:sz w:val="20"/>
          <w:szCs w:val="20"/>
        </w:rPr>
        <w:t xml:space="preserve">(target set size - existing size )/(existing size *(#lcs_substrings) </w:t>
      </w:r>
    </w:p>
    <w:p>
      <w:pPr>
        <w:pStyle w:val="Normal"/>
        <w:numPr>
          <w:ilvl w:val="1"/>
          <w:numId w:val="6"/>
        </w:numPr>
        <w:bidi w:val="0"/>
        <w:jc w:val="left"/>
        <w:rPr>
          <w:color w:val="000000"/>
          <w:sz w:val="20"/>
          <w:szCs w:val="20"/>
        </w:rPr>
      </w:pPr>
      <w:r>
        <w:rPr>
          <w:color w:val="000000"/>
          <w:sz w:val="20"/>
          <w:szCs w:val="20"/>
        </w:rPr>
        <w:t>If the vocabulary is exhausted during replacement, move on to the next word pair</w:t>
      </w:r>
    </w:p>
    <w:p>
      <w:pPr>
        <w:pStyle w:val="Normal"/>
        <w:numPr>
          <w:ilvl w:val="0"/>
          <w:numId w:val="6"/>
        </w:numPr>
        <w:bidi w:val="0"/>
        <w:jc w:val="left"/>
        <w:rPr>
          <w:color w:val="000000"/>
          <w:sz w:val="20"/>
          <w:szCs w:val="20"/>
        </w:rPr>
      </w:pPr>
      <w:r>
        <w:rPr>
          <w:color w:val="000000"/>
          <w:sz w:val="20"/>
          <w:szCs w:val="20"/>
        </w:rPr>
        <w:t>This process is repeated for all word pairs in the training data set, and the resulting data-set is added to the original data-set to create an augmented set of the desired size.</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center"/>
        <w:rPr>
          <w:i/>
          <w:i/>
          <w:iCs/>
          <w:sz w:val="16"/>
          <w:szCs w:val="16"/>
        </w:rPr>
      </w:pPr>
      <w:r>
        <w:drawing>
          <wp:anchor behindDoc="0" distT="0" distB="0" distL="0" distR="0" simplePos="0" locked="0" layoutInCell="1" allowOverlap="1" relativeHeight="5">
            <wp:simplePos x="0" y="0"/>
            <wp:positionH relativeFrom="column">
              <wp:posOffset>50165</wp:posOffset>
            </wp:positionH>
            <wp:positionV relativeFrom="paragraph">
              <wp:posOffset>67310</wp:posOffset>
            </wp:positionV>
            <wp:extent cx="6624320" cy="368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624320" cy="368300"/>
                    </a:xfrm>
                    <a:prstGeom prst="rect">
                      <a:avLst/>
                    </a:prstGeom>
                  </pic:spPr>
                </pic:pic>
              </a:graphicData>
            </a:graphic>
          </wp:anchor>
        </w:drawing>
      </w:r>
      <w:r>
        <w:rPr>
          <w:i/>
          <w:iCs/>
          <w:sz w:val="16"/>
          <w:szCs w:val="16"/>
        </w:rPr>
        <w:t>F</w:t>
      </w:r>
      <w:r>
        <w:rPr>
          <w:i/>
          <w:iCs/>
          <w:sz w:val="16"/>
          <w:szCs w:val="16"/>
        </w:rPr>
        <w:t>ig. 3.2.3: Example hallucinated words for the pair ngi→ ngungi</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sz w:val="20"/>
          <w:szCs w:val="20"/>
        </w:rPr>
        <w:t>Evaluation and analysis of both the baseline methods and the improvements noted above are detailed in the next section.</w:t>
      </w:r>
    </w:p>
    <w:p>
      <w:pPr>
        <w:pStyle w:val="Normal"/>
        <w:bidi w:val="0"/>
        <w:jc w:val="left"/>
        <w:rPr>
          <w:sz w:val="20"/>
          <w:szCs w:val="20"/>
        </w:rPr>
      </w:pPr>
      <w:r>
        <w:rPr>
          <w:sz w:val="20"/>
          <w:szCs w:val="20"/>
        </w:rPr>
        <w:br/>
        <w:t>It is worthwhile to note that there has also been strong evidence showing the benefits of cross-lingual training, where a model is trained on languages from the same language family (e.g. niger-congo) as they often contain very similar morphological structure. This obviously is not possible when there is only one language resource available for the given family (e.g. Southern Daly: Murrinh-Patha).</w:t>
      </w:r>
    </w:p>
    <w:p>
      <w:pPr>
        <w:pStyle w:val="Heading1"/>
        <w:numPr>
          <w:ilvl w:val="0"/>
          <w:numId w:val="2"/>
        </w:numPr>
        <w:bidi w:val="0"/>
        <w:jc w:val="left"/>
        <w:rPr/>
      </w:pPr>
      <w:r>
        <w:rPr/>
        <w:t>4. Evaluation and Error Analysis</w:t>
      </w:r>
    </w:p>
    <w:p>
      <w:pPr>
        <w:pStyle w:val="Normal"/>
        <w:bidi w:val="0"/>
        <w:jc w:val="left"/>
        <w:rPr/>
      </w:pPr>
      <w:r>
        <w:rPr/>
      </w:r>
    </w:p>
    <w:p>
      <w:pPr>
        <w:pStyle w:val="Normal"/>
        <w:bidi w:val="0"/>
        <w:jc w:val="left"/>
        <w:rPr>
          <w:sz w:val="20"/>
          <w:szCs w:val="20"/>
        </w:rPr>
      </w:pPr>
      <w:r>
        <w:rPr>
          <w:sz w:val="20"/>
          <w:szCs w:val="20"/>
        </w:rPr>
        <w:t>Evaluation has been carried out utilising the following language data sets:</w:t>
      </w:r>
    </w:p>
    <w:p>
      <w:pPr>
        <w:pStyle w:val="Normal"/>
        <w:bidi w:val="0"/>
        <w:jc w:val="left"/>
        <w:rPr/>
      </w:pPr>
      <w:r>
        <w:rPr/>
      </w:r>
    </w:p>
    <w:tbl>
      <w:tblPr>
        <w:tblW w:w="8278" w:type="dxa"/>
        <w:jc w:val="left"/>
        <w:tblInd w:w="0" w:type="dxa"/>
        <w:tblCellMar>
          <w:top w:w="0" w:type="dxa"/>
          <w:left w:w="2" w:type="dxa"/>
          <w:bottom w:w="0" w:type="dxa"/>
          <w:right w:w="0" w:type="dxa"/>
        </w:tblCellMar>
      </w:tblPr>
      <w:tblGrid>
        <w:gridCol w:w="1738"/>
        <w:gridCol w:w="1738"/>
        <w:gridCol w:w="1343"/>
        <w:gridCol w:w="1415"/>
        <w:gridCol w:w="1135"/>
        <w:gridCol w:w="908"/>
      </w:tblGrid>
      <w:tr>
        <w:trPr>
          <w:trHeight w:val="340" w:hRule="exact"/>
        </w:trPr>
        <w:tc>
          <w:tcPr>
            <w:tcW w:w="1738"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Language</w:t>
            </w:r>
          </w:p>
        </w:tc>
        <w:tc>
          <w:tcPr>
            <w:tcW w:w="1738"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ISO 693-3</w:t>
            </w:r>
          </w:p>
        </w:tc>
        <w:tc>
          <w:tcPr>
            <w:tcW w:w="1343"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Family</w:t>
            </w:r>
          </w:p>
        </w:tc>
        <w:tc>
          <w:tcPr>
            <w:tcW w:w="1415"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Genus</w:t>
            </w:r>
          </w:p>
        </w:tc>
        <w:tc>
          <w:tcPr>
            <w:tcW w:w="1135" w:type="dxa"/>
            <w:tcBorders>
              <w:top w:val="single" w:sz="2" w:space="0" w:color="000000"/>
              <w:left w:val="single" w:sz="2" w:space="0" w:color="000000"/>
              <w:bottom w:val="single" w:sz="2" w:space="0" w:color="000000"/>
            </w:tcBorders>
          </w:tcPr>
          <w:p>
            <w:pPr>
              <w:pStyle w:val="TableContents"/>
              <w:bidi w:val="0"/>
              <w:spacing w:before="0" w:after="0"/>
              <w:jc w:val="left"/>
              <w:rPr>
                <w:b/>
                <w:b/>
                <w:bCs/>
              </w:rPr>
            </w:pPr>
            <w:r>
              <w:rPr>
                <w:b/>
                <w:bCs/>
              </w:rPr>
              <w:t>Train #</w:t>
            </w:r>
          </w:p>
        </w:tc>
        <w:tc>
          <w:tcPr>
            <w:tcW w:w="908" w:type="dxa"/>
            <w:tcBorders>
              <w:top w:val="single" w:sz="2" w:space="0" w:color="000000"/>
              <w:left w:val="single" w:sz="2" w:space="0" w:color="000000"/>
              <w:bottom w:val="single" w:sz="2" w:space="0" w:color="000000"/>
              <w:right w:val="single" w:sz="2" w:space="0" w:color="000000"/>
            </w:tcBorders>
          </w:tcPr>
          <w:p>
            <w:pPr>
              <w:pStyle w:val="TableContents"/>
              <w:bidi w:val="0"/>
              <w:spacing w:before="0" w:after="0"/>
              <w:jc w:val="left"/>
              <w:rPr>
                <w:b/>
                <w:b/>
                <w:bCs/>
              </w:rPr>
            </w:pPr>
            <w:r>
              <w:rPr>
                <w:b/>
                <w:bCs/>
              </w:rPr>
              <w:t>Dev #</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Ingrian</w:t>
            </w:r>
          </w:p>
        </w:tc>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izh</w:t>
            </w:r>
          </w:p>
        </w:tc>
        <w:tc>
          <w:tcPr>
            <w:tcW w:w="1343" w:type="dxa"/>
            <w:tcBorders>
              <w:left w:val="single" w:sz="2" w:space="0" w:color="000000"/>
              <w:bottom w:val="single" w:sz="2" w:space="0" w:color="000000"/>
            </w:tcBorders>
          </w:tcPr>
          <w:p>
            <w:pPr>
              <w:pStyle w:val="TableContents"/>
              <w:bidi w:val="0"/>
              <w:spacing w:before="0" w:after="0"/>
              <w:jc w:val="left"/>
              <w:rPr>
                <w:sz w:val="19"/>
              </w:rPr>
            </w:pPr>
            <w:r>
              <w:rPr>
                <w:position w:val="-8"/>
                <w:sz w:val="19"/>
              </w:rPr>
              <w:t>Uralic</w:t>
            </w:r>
          </w:p>
        </w:tc>
        <w:tc>
          <w:tcPr>
            <w:tcW w:w="141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Finnic</w:t>
            </w:r>
          </w:p>
        </w:tc>
        <w:tc>
          <w:tcPr>
            <w:tcW w:w="113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763</w:t>
            </w:r>
          </w:p>
        </w:tc>
        <w:tc>
          <w:tcPr>
            <w:tcW w:w="908" w:type="dxa"/>
            <w:tcBorders>
              <w:left w:val="single" w:sz="2" w:space="0" w:color="000000"/>
              <w:bottom w:val="single" w:sz="2" w:space="0" w:color="000000"/>
              <w:right w:val="single" w:sz="2" w:space="0" w:color="000000"/>
            </w:tcBorders>
          </w:tcPr>
          <w:p>
            <w:pPr>
              <w:pStyle w:val="TableContents"/>
              <w:bidi w:val="0"/>
              <w:spacing w:before="0" w:after="0"/>
              <w:jc w:val="left"/>
              <w:rPr>
                <w:sz w:val="19"/>
              </w:rPr>
            </w:pPr>
            <w:r>
              <w:rPr>
                <w:position w:val="-8"/>
                <w:sz w:val="19"/>
              </w:rPr>
              <w:t>112</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Murrinh-Patha</w:t>
            </w:r>
          </w:p>
        </w:tc>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mwf</w:t>
            </w:r>
          </w:p>
        </w:tc>
        <w:tc>
          <w:tcPr>
            <w:tcW w:w="1343" w:type="dxa"/>
            <w:tcBorders>
              <w:left w:val="single" w:sz="2" w:space="0" w:color="000000"/>
              <w:bottom w:val="single" w:sz="2" w:space="0" w:color="000000"/>
            </w:tcBorders>
          </w:tcPr>
          <w:p>
            <w:pPr>
              <w:pStyle w:val="TableContents"/>
              <w:bidi w:val="0"/>
              <w:spacing w:before="0" w:after="0"/>
              <w:jc w:val="left"/>
              <w:rPr>
                <w:sz w:val="19"/>
              </w:rPr>
            </w:pPr>
            <w:r>
              <w:rPr>
                <w:position w:val="-8"/>
                <w:sz w:val="19"/>
              </w:rPr>
              <w:t>Southern-Daly</w:t>
            </w:r>
          </w:p>
        </w:tc>
        <w:tc>
          <w:tcPr>
            <w:tcW w:w="141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Murrinh-Patha</w:t>
            </w:r>
          </w:p>
        </w:tc>
        <w:tc>
          <w:tcPr>
            <w:tcW w:w="113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777</w:t>
            </w:r>
          </w:p>
        </w:tc>
        <w:tc>
          <w:tcPr>
            <w:tcW w:w="908" w:type="dxa"/>
            <w:tcBorders>
              <w:left w:val="single" w:sz="2" w:space="0" w:color="000000"/>
              <w:bottom w:val="single" w:sz="2" w:space="0" w:color="000000"/>
              <w:right w:val="single" w:sz="2" w:space="0" w:color="000000"/>
            </w:tcBorders>
          </w:tcPr>
          <w:p>
            <w:pPr>
              <w:pStyle w:val="TableContents"/>
              <w:bidi w:val="0"/>
              <w:spacing w:before="0" w:after="0"/>
              <w:jc w:val="left"/>
              <w:rPr>
                <w:sz w:val="19"/>
              </w:rPr>
            </w:pPr>
            <w:r>
              <w:rPr>
                <w:position w:val="-8"/>
                <w:sz w:val="19"/>
              </w:rPr>
              <w:t>111</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Maltese</w:t>
            </w:r>
          </w:p>
        </w:tc>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mlt</w:t>
            </w:r>
          </w:p>
        </w:tc>
        <w:tc>
          <w:tcPr>
            <w:tcW w:w="1343" w:type="dxa"/>
            <w:tcBorders>
              <w:left w:val="single" w:sz="2" w:space="0" w:color="000000"/>
              <w:bottom w:val="single" w:sz="2" w:space="0" w:color="000000"/>
            </w:tcBorders>
          </w:tcPr>
          <w:p>
            <w:pPr>
              <w:pStyle w:val="TableContents"/>
              <w:bidi w:val="0"/>
              <w:spacing w:before="0" w:after="0"/>
              <w:jc w:val="left"/>
              <w:rPr>
                <w:sz w:val="19"/>
              </w:rPr>
            </w:pPr>
            <w:r>
              <w:rPr>
                <w:position w:val="-8"/>
                <w:sz w:val="19"/>
              </w:rPr>
              <w:t>Afro-Asiatic</w:t>
            </w:r>
          </w:p>
        </w:tc>
        <w:tc>
          <w:tcPr>
            <w:tcW w:w="141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Semitic</w:t>
            </w:r>
          </w:p>
        </w:tc>
        <w:tc>
          <w:tcPr>
            <w:tcW w:w="113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1233</w:t>
            </w:r>
          </w:p>
        </w:tc>
        <w:tc>
          <w:tcPr>
            <w:tcW w:w="908" w:type="dxa"/>
            <w:tcBorders>
              <w:left w:val="single" w:sz="2" w:space="0" w:color="000000"/>
              <w:bottom w:val="single" w:sz="2" w:space="0" w:color="000000"/>
              <w:right w:val="single" w:sz="2" w:space="0" w:color="000000"/>
            </w:tcBorders>
          </w:tcPr>
          <w:p>
            <w:pPr>
              <w:pStyle w:val="TableContents"/>
              <w:bidi w:val="0"/>
              <w:spacing w:before="0" w:after="0"/>
              <w:jc w:val="left"/>
              <w:rPr>
                <w:sz w:val="19"/>
              </w:rPr>
            </w:pPr>
            <w:r>
              <w:rPr>
                <w:position w:val="-8"/>
                <w:sz w:val="19"/>
              </w:rPr>
              <w:t>176</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Crimean Tatar; Crimean Turkish</w:t>
            </w:r>
          </w:p>
        </w:tc>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crh</w:t>
            </w:r>
          </w:p>
        </w:tc>
        <w:tc>
          <w:tcPr>
            <w:tcW w:w="1343" w:type="dxa"/>
            <w:tcBorders>
              <w:left w:val="single" w:sz="2" w:space="0" w:color="000000"/>
              <w:bottom w:val="single" w:sz="2" w:space="0" w:color="000000"/>
            </w:tcBorders>
          </w:tcPr>
          <w:p>
            <w:pPr>
              <w:pStyle w:val="TableContents"/>
              <w:bidi w:val="0"/>
              <w:spacing w:before="0" w:after="0"/>
              <w:jc w:val="left"/>
              <w:rPr>
                <w:sz w:val="19"/>
              </w:rPr>
            </w:pPr>
            <w:r>
              <w:rPr>
                <w:position w:val="-8"/>
                <w:sz w:val="19"/>
              </w:rPr>
              <w:t>Turkic</w:t>
            </w:r>
          </w:p>
        </w:tc>
        <w:tc>
          <w:tcPr>
            <w:tcW w:w="141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Turkic</w:t>
            </w:r>
          </w:p>
        </w:tc>
        <w:tc>
          <w:tcPr>
            <w:tcW w:w="113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5215</w:t>
            </w:r>
          </w:p>
        </w:tc>
        <w:tc>
          <w:tcPr>
            <w:tcW w:w="908" w:type="dxa"/>
            <w:tcBorders>
              <w:left w:val="single" w:sz="2" w:space="0" w:color="000000"/>
              <w:bottom w:val="single" w:sz="2" w:space="0" w:color="000000"/>
              <w:right w:val="single" w:sz="2" w:space="0" w:color="000000"/>
            </w:tcBorders>
          </w:tcPr>
          <w:p>
            <w:pPr>
              <w:pStyle w:val="TableContents"/>
              <w:bidi w:val="0"/>
              <w:spacing w:before="0" w:after="0"/>
              <w:jc w:val="left"/>
              <w:rPr>
                <w:sz w:val="19"/>
              </w:rPr>
            </w:pPr>
            <w:r>
              <w:rPr>
                <w:position w:val="-8"/>
                <w:sz w:val="19"/>
              </w:rPr>
              <w:t>745</w:t>
            </w:r>
          </w:p>
        </w:tc>
      </w:tr>
      <w:tr>
        <w:trPr>
          <w:trHeight w:val="340" w:hRule="exact"/>
        </w:trPr>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Swahili</w:t>
            </w:r>
          </w:p>
        </w:tc>
        <w:tc>
          <w:tcPr>
            <w:tcW w:w="1738" w:type="dxa"/>
            <w:tcBorders>
              <w:left w:val="single" w:sz="2" w:space="0" w:color="000000"/>
              <w:bottom w:val="single" w:sz="2" w:space="0" w:color="000000"/>
            </w:tcBorders>
          </w:tcPr>
          <w:p>
            <w:pPr>
              <w:pStyle w:val="TableContents"/>
              <w:bidi w:val="0"/>
              <w:spacing w:before="0" w:after="0"/>
              <w:jc w:val="left"/>
              <w:rPr>
                <w:sz w:val="19"/>
              </w:rPr>
            </w:pPr>
            <w:r>
              <w:rPr>
                <w:position w:val="-8"/>
                <w:sz w:val="19"/>
              </w:rPr>
              <w:t>swa</w:t>
            </w:r>
          </w:p>
        </w:tc>
        <w:tc>
          <w:tcPr>
            <w:tcW w:w="1343" w:type="dxa"/>
            <w:tcBorders>
              <w:left w:val="single" w:sz="2" w:space="0" w:color="000000"/>
              <w:bottom w:val="single" w:sz="2" w:space="0" w:color="000000"/>
            </w:tcBorders>
          </w:tcPr>
          <w:p>
            <w:pPr>
              <w:pStyle w:val="TableContents"/>
              <w:bidi w:val="0"/>
              <w:spacing w:before="0" w:after="0"/>
              <w:jc w:val="left"/>
              <w:rPr>
                <w:sz w:val="19"/>
              </w:rPr>
            </w:pPr>
            <w:r>
              <w:rPr>
                <w:position w:val="-8"/>
                <w:sz w:val="19"/>
              </w:rPr>
              <w:t>Niger-Congo</w:t>
            </w:r>
          </w:p>
        </w:tc>
        <w:tc>
          <w:tcPr>
            <w:tcW w:w="141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Bantu</w:t>
            </w:r>
          </w:p>
        </w:tc>
        <w:tc>
          <w:tcPr>
            <w:tcW w:w="1135" w:type="dxa"/>
            <w:tcBorders>
              <w:left w:val="single" w:sz="2" w:space="0" w:color="000000"/>
              <w:bottom w:val="single" w:sz="2" w:space="0" w:color="000000"/>
            </w:tcBorders>
          </w:tcPr>
          <w:p>
            <w:pPr>
              <w:pStyle w:val="TableContents"/>
              <w:bidi w:val="0"/>
              <w:spacing w:before="0" w:after="0"/>
              <w:jc w:val="left"/>
              <w:rPr>
                <w:sz w:val="19"/>
              </w:rPr>
            </w:pPr>
            <w:r>
              <w:rPr>
                <w:position w:val="-8"/>
                <w:sz w:val="19"/>
              </w:rPr>
              <w:t>3374</w:t>
            </w:r>
          </w:p>
        </w:tc>
        <w:tc>
          <w:tcPr>
            <w:tcW w:w="908" w:type="dxa"/>
            <w:tcBorders>
              <w:left w:val="single" w:sz="2" w:space="0" w:color="000000"/>
              <w:bottom w:val="single" w:sz="2" w:space="0" w:color="000000"/>
              <w:right w:val="single" w:sz="2" w:space="0" w:color="000000"/>
            </w:tcBorders>
          </w:tcPr>
          <w:p>
            <w:pPr>
              <w:pStyle w:val="TableContents"/>
              <w:bidi w:val="0"/>
              <w:spacing w:before="0" w:after="0"/>
              <w:jc w:val="left"/>
              <w:rPr>
                <w:sz w:val="19"/>
              </w:rPr>
            </w:pPr>
            <w:r>
              <w:rPr>
                <w:position w:val="-8"/>
                <w:sz w:val="19"/>
              </w:rPr>
              <w:t>469</w:t>
            </w:r>
          </w:p>
        </w:tc>
      </w:tr>
    </w:tbl>
    <w:p>
      <w:pPr>
        <w:pStyle w:val="Normal"/>
        <w:bidi w:val="0"/>
        <w:jc w:val="left"/>
        <w:rPr/>
      </w:pPr>
      <w:r>
        <w:rPr/>
      </w:r>
    </w:p>
    <w:p>
      <w:pPr>
        <w:pStyle w:val="Normal"/>
        <w:bidi w:val="0"/>
        <w:jc w:val="left"/>
        <w:rPr>
          <w:sz w:val="20"/>
          <w:szCs w:val="20"/>
        </w:rPr>
      </w:pPr>
      <w:r>
        <w:rPr>
          <w:sz w:val="20"/>
          <w:szCs w:val="20"/>
        </w:rPr>
        <w:t>Overall baseline performance is measured for all 5 languages, whereas the improvements are evaluated on only the first 3 languages due to focus (low-resource languages) and time.</w:t>
      </w:r>
    </w:p>
    <w:p>
      <w:pPr>
        <w:pStyle w:val="Normal"/>
        <w:bidi w:val="0"/>
        <w:jc w:val="left"/>
        <w:rPr/>
      </w:pPr>
      <w:r>
        <w:rPr/>
      </w:r>
    </w:p>
    <w:p>
      <w:pPr>
        <w:pStyle w:val="Heading3"/>
        <w:numPr>
          <w:ilvl w:val="2"/>
          <w:numId w:val="2"/>
        </w:numPr>
        <w:bidi w:val="0"/>
        <w:jc w:val="left"/>
        <w:rPr/>
      </w:pPr>
      <w:r>
        <w:rPr/>
        <w:t>4.1 Baseline Performance</w:t>
      </w:r>
    </w:p>
    <w:p>
      <w:pPr>
        <w:pStyle w:val="Normal"/>
        <w:bidi w:val="0"/>
        <w:jc w:val="left"/>
        <w:rPr/>
      </w:pPr>
      <w:r>
        <w:rPr/>
        <w:br/>
      </w:r>
      <w:r>
        <w:rPr>
          <w:sz w:val="20"/>
          <w:szCs w:val="20"/>
        </w:rPr>
        <w:t xml:space="preserve">We compare the two neural baseline methods’ (described in section 3.1) performance in terms of overall accuracy and Levenshtein distance on a subset of data sets from the SIGMORPHON 2020 shared task challenge task 1. (Refer to the </w:t>
      </w:r>
    </w:p>
    <w:p>
      <w:pPr>
        <w:pStyle w:val="Normal"/>
        <w:bidi w:val="0"/>
        <w:jc w:val="left"/>
        <w:rPr/>
      </w:pPr>
      <w:r>
        <w:rPr>
          <w:sz w:val="20"/>
          <w:szCs w:val="20"/>
        </w:rPr>
        <w:t>appendix for the parameters chosen)</w:t>
      </w:r>
    </w:p>
    <w:p>
      <w:pPr>
        <w:pStyle w:val="Normal"/>
        <w:bidi w:val="0"/>
        <w:jc w:val="left"/>
        <w:rPr/>
      </w:pPr>
      <w:r>
        <w:rPr/>
      </w:r>
    </w:p>
    <w:p>
      <w:pPr>
        <w:pStyle w:val="Normal"/>
        <w:bidi w:val="0"/>
        <w:jc w:val="left"/>
        <w:rPr>
          <w:u w:val="single"/>
        </w:rPr>
      </w:pPr>
      <w:r>
        <w:rPr>
          <w:u w:val="single"/>
        </w:rPr>
        <w:t>Overall Performance</w:t>
      </w:r>
    </w:p>
    <w:p>
      <w:pPr>
        <w:pStyle w:val="Normal"/>
        <w:bidi w:val="0"/>
        <w:jc w:val="center"/>
        <w:rPr>
          <w:sz w:val="20"/>
          <w:szCs w:val="20"/>
        </w:rPr>
      </w:pPr>
      <w:r>
        <w:rPr>
          <w:b/>
          <w:bCs/>
          <w:color w:val="4472C4" w:themeColor="accent5"/>
          <w:sz w:val="20"/>
          <w:szCs w:val="20"/>
        </w:rPr>
        <w:t>Development Set</w:t>
      </w:r>
    </w:p>
    <w:p>
      <w:pPr>
        <w:pStyle w:val="Normal"/>
        <w:bidi w:val="0"/>
        <w:jc w:val="left"/>
        <w:rPr>
          <w:sz w:val="20"/>
          <w:szCs w:val="20"/>
        </w:rPr>
      </w:pPr>
      <w:r>
        <w:rPr>
          <w:b/>
          <w:sz w:val="20"/>
          <w:szCs w:val="20"/>
        </w:rPr>
        <w:t xml:space="preserve"> </w:t>
      </w:r>
      <w:bookmarkStart w:id="0" w:name="_GoBack"/>
      <w:bookmarkEnd w:id="0"/>
    </w:p>
    <w:tbl>
      <w:tblPr>
        <w:tblW w:w="9600" w:type="dxa"/>
        <w:jc w:val="left"/>
        <w:tblInd w:w="51" w:type="dxa"/>
        <w:tblCellMar>
          <w:top w:w="0" w:type="dxa"/>
          <w:left w:w="0" w:type="dxa"/>
          <w:bottom w:w="0" w:type="dxa"/>
          <w:right w:w="0" w:type="dxa"/>
        </w:tblCellMar>
        <w:tblLook w:val="0000" w:noHBand="0" w:noVBand="0" w:firstColumn="0" w:lastRow="0" w:lastColumn="0" w:firstRow="0"/>
      </w:tblPr>
      <w:tblGrid>
        <w:gridCol w:w="1078"/>
        <w:gridCol w:w="777"/>
        <w:gridCol w:w="778"/>
        <w:gridCol w:w="788"/>
        <w:gridCol w:w="834"/>
        <w:gridCol w:w="882"/>
        <w:gridCol w:w="928"/>
        <w:gridCol w:w="881"/>
        <w:gridCol w:w="892"/>
        <w:gridCol w:w="880"/>
        <w:gridCol w:w="880"/>
      </w:tblGrid>
      <w:tr>
        <w:trPr/>
        <w:tc>
          <w:tcPr>
            <w:tcW w:w="1078"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1555"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162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1810"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1773"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Swahili</w:t>
            </w:r>
          </w:p>
        </w:tc>
        <w:tc>
          <w:tcPr>
            <w:tcW w:w="1760"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Crimean-Turkish</w:t>
            </w:r>
          </w:p>
        </w:tc>
      </w:tr>
      <w:tr>
        <w:trPr/>
        <w:tc>
          <w:tcPr>
            <w:tcW w:w="1078" w:type="dxa"/>
            <w:vMerge w:val="continue"/>
            <w:tcBorders/>
          </w:tcPr>
          <w:p>
            <w:pPr>
              <w:pStyle w:val="TableContents"/>
              <w:bidi w:val="0"/>
              <w:jc w:val="left"/>
              <w:rPr>
                <w:color w:val="000000"/>
                <w:sz w:val="20"/>
                <w:szCs w:val="20"/>
              </w:rPr>
            </w:pPr>
            <w:r>
              <w:rPr>
                <w:color w:val="000000"/>
                <w:sz w:val="20"/>
                <w:szCs w:val="20"/>
              </w:rPr>
            </w:r>
          </w:p>
        </w:tc>
        <w:tc>
          <w:tcPr>
            <w:tcW w:w="777" w:type="dxa"/>
            <w:tcBorders/>
          </w:tcPr>
          <w:p>
            <w:pPr>
              <w:pStyle w:val="TableContents"/>
              <w:bidi w:val="0"/>
              <w:jc w:val="left"/>
              <w:rPr>
                <w:sz w:val="20"/>
                <w:szCs w:val="20"/>
                <w:u w:val="single"/>
              </w:rPr>
            </w:pPr>
            <w:r>
              <w:rPr>
                <w:sz w:val="20"/>
                <w:szCs w:val="20"/>
                <w:u w:val="single"/>
              </w:rPr>
              <w:t>Acc</w:t>
            </w:r>
          </w:p>
        </w:tc>
        <w:tc>
          <w:tcPr>
            <w:tcW w:w="778" w:type="dxa"/>
            <w:tcBorders/>
          </w:tcPr>
          <w:p>
            <w:pPr>
              <w:pStyle w:val="TableContents"/>
              <w:bidi w:val="0"/>
              <w:jc w:val="left"/>
              <w:rPr>
                <w:sz w:val="20"/>
                <w:szCs w:val="20"/>
                <w:u w:val="single"/>
              </w:rPr>
            </w:pPr>
            <w:r>
              <w:rPr>
                <w:sz w:val="20"/>
                <w:szCs w:val="20"/>
                <w:u w:val="single"/>
              </w:rPr>
              <w:t>Lev</w:t>
            </w:r>
          </w:p>
        </w:tc>
        <w:tc>
          <w:tcPr>
            <w:tcW w:w="788" w:type="dxa"/>
            <w:tcBorders/>
          </w:tcPr>
          <w:p>
            <w:pPr>
              <w:pStyle w:val="TableContents"/>
              <w:bidi w:val="0"/>
              <w:jc w:val="left"/>
              <w:rPr>
                <w:color w:val="000000"/>
                <w:sz w:val="20"/>
                <w:szCs w:val="20"/>
                <w:u w:val="single"/>
              </w:rPr>
            </w:pPr>
            <w:r>
              <w:rPr>
                <w:color w:val="000000"/>
                <w:sz w:val="20"/>
                <w:szCs w:val="20"/>
                <w:u w:val="single"/>
              </w:rPr>
              <w:t>Acc</w:t>
            </w:r>
          </w:p>
        </w:tc>
        <w:tc>
          <w:tcPr>
            <w:tcW w:w="834" w:type="dxa"/>
            <w:tcBorders/>
          </w:tcPr>
          <w:p>
            <w:pPr>
              <w:pStyle w:val="TableContents"/>
              <w:bidi w:val="0"/>
              <w:jc w:val="left"/>
              <w:rPr>
                <w:color w:val="000000"/>
                <w:sz w:val="20"/>
                <w:szCs w:val="20"/>
                <w:u w:val="single"/>
              </w:rPr>
            </w:pPr>
            <w:r>
              <w:rPr>
                <w:color w:val="000000"/>
                <w:sz w:val="20"/>
                <w:szCs w:val="20"/>
                <w:u w:val="single"/>
              </w:rPr>
              <w:t>Lev</w:t>
            </w:r>
          </w:p>
        </w:tc>
        <w:tc>
          <w:tcPr>
            <w:tcW w:w="882" w:type="dxa"/>
            <w:tcBorders/>
          </w:tcPr>
          <w:p>
            <w:pPr>
              <w:pStyle w:val="TableContents"/>
              <w:bidi w:val="0"/>
              <w:jc w:val="left"/>
              <w:rPr>
                <w:color w:val="000000"/>
                <w:sz w:val="20"/>
                <w:szCs w:val="20"/>
                <w:u w:val="single"/>
              </w:rPr>
            </w:pPr>
            <w:r>
              <w:rPr>
                <w:color w:val="000000"/>
                <w:sz w:val="20"/>
                <w:szCs w:val="20"/>
                <w:u w:val="single"/>
              </w:rPr>
              <w:t>Acc</w:t>
            </w:r>
          </w:p>
        </w:tc>
        <w:tc>
          <w:tcPr>
            <w:tcW w:w="928" w:type="dxa"/>
            <w:tcBorders/>
          </w:tcPr>
          <w:p>
            <w:pPr>
              <w:pStyle w:val="TableContents"/>
              <w:bidi w:val="0"/>
              <w:jc w:val="left"/>
              <w:rPr>
                <w:color w:val="000000"/>
                <w:sz w:val="20"/>
                <w:szCs w:val="20"/>
                <w:u w:val="single"/>
              </w:rPr>
            </w:pPr>
            <w:r>
              <w:rPr>
                <w:color w:val="000000"/>
                <w:sz w:val="20"/>
                <w:szCs w:val="20"/>
                <w:u w:val="single"/>
              </w:rPr>
              <w:t>Lev</w:t>
            </w:r>
          </w:p>
        </w:tc>
        <w:tc>
          <w:tcPr>
            <w:tcW w:w="881" w:type="dxa"/>
            <w:tcBorders/>
          </w:tcPr>
          <w:p>
            <w:pPr>
              <w:pStyle w:val="TableContents"/>
              <w:bidi w:val="0"/>
              <w:jc w:val="left"/>
              <w:rPr>
                <w:color w:val="000000"/>
                <w:sz w:val="20"/>
                <w:szCs w:val="20"/>
                <w:u w:val="single"/>
              </w:rPr>
            </w:pPr>
            <w:r>
              <w:rPr>
                <w:color w:val="000000"/>
                <w:sz w:val="20"/>
                <w:szCs w:val="20"/>
                <w:u w:val="single"/>
              </w:rPr>
              <w:t>Acc</w:t>
            </w:r>
          </w:p>
        </w:tc>
        <w:tc>
          <w:tcPr>
            <w:tcW w:w="892" w:type="dxa"/>
            <w:tcBorders/>
          </w:tcPr>
          <w:p>
            <w:pPr>
              <w:pStyle w:val="TableContents"/>
              <w:bidi w:val="0"/>
              <w:jc w:val="left"/>
              <w:rPr>
                <w:color w:val="000000"/>
                <w:sz w:val="20"/>
                <w:szCs w:val="20"/>
                <w:u w:val="single"/>
              </w:rPr>
            </w:pPr>
            <w:r>
              <w:rPr>
                <w:color w:val="000000"/>
                <w:sz w:val="20"/>
                <w:szCs w:val="20"/>
                <w:u w:val="single"/>
              </w:rPr>
              <w:t>Lev</w:t>
            </w:r>
          </w:p>
        </w:tc>
        <w:tc>
          <w:tcPr>
            <w:tcW w:w="880" w:type="dxa"/>
            <w:tcBorders/>
          </w:tcPr>
          <w:p>
            <w:pPr>
              <w:pStyle w:val="TableContents"/>
              <w:bidi w:val="0"/>
              <w:jc w:val="left"/>
              <w:rPr>
                <w:color w:val="000000"/>
                <w:sz w:val="20"/>
                <w:szCs w:val="20"/>
                <w:u w:val="single"/>
              </w:rPr>
            </w:pPr>
            <w:r>
              <w:rPr>
                <w:color w:val="000000"/>
                <w:sz w:val="20"/>
                <w:szCs w:val="20"/>
                <w:u w:val="single"/>
              </w:rPr>
              <w:t>Acc</w:t>
            </w:r>
          </w:p>
        </w:tc>
        <w:tc>
          <w:tcPr>
            <w:tcW w:w="880" w:type="dxa"/>
            <w:tcBorders/>
          </w:tcPr>
          <w:p>
            <w:pPr>
              <w:pStyle w:val="TableContents"/>
              <w:bidi w:val="0"/>
              <w:jc w:val="left"/>
              <w:rPr>
                <w:color w:val="000000"/>
                <w:sz w:val="20"/>
                <w:szCs w:val="20"/>
                <w:u w:val="single"/>
              </w:rPr>
            </w:pPr>
            <w:r>
              <w:rPr>
                <w:color w:val="000000"/>
                <w:sz w:val="20"/>
                <w:szCs w:val="20"/>
                <w:u w:val="single"/>
              </w:rPr>
              <w:t>Lev</w:t>
            </w:r>
          </w:p>
        </w:tc>
      </w:tr>
      <w:tr>
        <w:trPr>
          <w:trHeight w:val="318" w:hRule="atLeast"/>
        </w:trPr>
        <w:tc>
          <w:tcPr>
            <w:tcW w:w="1078" w:type="dxa"/>
            <w:tcBorders/>
          </w:tcPr>
          <w:p>
            <w:pPr>
              <w:pStyle w:val="TableContents"/>
              <w:bidi w:val="0"/>
              <w:jc w:val="left"/>
              <w:rPr>
                <w:i/>
                <w:i/>
                <w:color w:val="000000"/>
                <w:sz w:val="20"/>
                <w:szCs w:val="20"/>
              </w:rPr>
            </w:pPr>
            <w:r>
              <w:rPr>
                <w:i/>
                <w:color w:val="000000"/>
                <w:sz w:val="20"/>
                <w:szCs w:val="20"/>
              </w:rPr>
              <w:t>2017-Hard</w:t>
            </w:r>
          </w:p>
        </w:tc>
        <w:tc>
          <w:tcPr>
            <w:tcW w:w="777" w:type="dxa"/>
            <w:tcBorders/>
          </w:tcPr>
          <w:p>
            <w:pPr>
              <w:pStyle w:val="TableContents"/>
              <w:bidi w:val="0"/>
              <w:jc w:val="right"/>
              <w:rPr>
                <w:sz w:val="20"/>
                <w:szCs w:val="20"/>
              </w:rPr>
            </w:pPr>
            <w:r>
              <w:rPr>
                <w:sz w:val="20"/>
                <w:szCs w:val="20"/>
              </w:rPr>
              <w:t>70.54</w:t>
            </w:r>
          </w:p>
        </w:tc>
        <w:tc>
          <w:tcPr>
            <w:tcW w:w="778" w:type="dxa"/>
            <w:tcBorders/>
          </w:tcPr>
          <w:p>
            <w:pPr>
              <w:pStyle w:val="TableContents"/>
              <w:bidi w:val="0"/>
              <w:jc w:val="right"/>
              <w:rPr>
                <w:sz w:val="20"/>
                <w:szCs w:val="20"/>
              </w:rPr>
            </w:pPr>
            <w:r>
              <w:rPr>
                <w:sz w:val="20"/>
                <w:szCs w:val="20"/>
              </w:rPr>
              <w:t>0.87</w:t>
            </w:r>
          </w:p>
        </w:tc>
        <w:tc>
          <w:tcPr>
            <w:tcW w:w="788" w:type="dxa"/>
            <w:tcBorders/>
          </w:tcPr>
          <w:p>
            <w:pPr>
              <w:pStyle w:val="TableContents"/>
              <w:bidi w:val="0"/>
              <w:jc w:val="right"/>
              <w:rPr>
                <w:sz w:val="20"/>
                <w:szCs w:val="20"/>
              </w:rPr>
            </w:pPr>
            <w:r>
              <w:rPr>
                <w:sz w:val="20"/>
                <w:szCs w:val="20"/>
              </w:rPr>
              <w:t>0.87</w:t>
            </w:r>
          </w:p>
        </w:tc>
        <w:tc>
          <w:tcPr>
            <w:tcW w:w="834" w:type="dxa"/>
            <w:tcBorders/>
          </w:tcPr>
          <w:p>
            <w:pPr>
              <w:pStyle w:val="TableContents"/>
              <w:bidi w:val="0"/>
              <w:jc w:val="right"/>
              <w:rPr>
                <w:sz w:val="20"/>
                <w:szCs w:val="20"/>
              </w:rPr>
            </w:pPr>
            <w:r>
              <w:rPr>
                <w:sz w:val="20"/>
                <w:szCs w:val="20"/>
              </w:rPr>
              <w:t>0.34</w:t>
            </w:r>
          </w:p>
        </w:tc>
        <w:tc>
          <w:tcPr>
            <w:tcW w:w="882" w:type="dxa"/>
            <w:tcBorders/>
          </w:tcPr>
          <w:p>
            <w:pPr>
              <w:pStyle w:val="TableContents"/>
              <w:bidi w:val="0"/>
              <w:jc w:val="right"/>
              <w:rPr>
                <w:sz w:val="20"/>
                <w:szCs w:val="20"/>
              </w:rPr>
            </w:pPr>
            <w:r>
              <w:rPr>
                <w:sz w:val="20"/>
                <w:szCs w:val="20"/>
              </w:rPr>
              <w:t>86.55</w:t>
            </w:r>
          </w:p>
        </w:tc>
        <w:tc>
          <w:tcPr>
            <w:tcW w:w="928" w:type="dxa"/>
            <w:tcBorders/>
          </w:tcPr>
          <w:p>
            <w:pPr>
              <w:pStyle w:val="TableContents"/>
              <w:bidi w:val="0"/>
              <w:jc w:val="right"/>
              <w:rPr>
                <w:sz w:val="20"/>
                <w:szCs w:val="20"/>
              </w:rPr>
            </w:pPr>
            <w:r>
              <w:rPr>
                <w:sz w:val="20"/>
                <w:szCs w:val="20"/>
              </w:rPr>
              <w:t>0.2</w:t>
            </w:r>
          </w:p>
        </w:tc>
        <w:tc>
          <w:tcPr>
            <w:tcW w:w="881" w:type="dxa"/>
            <w:tcBorders/>
          </w:tcPr>
          <w:p>
            <w:pPr>
              <w:pStyle w:val="TableContents"/>
              <w:bidi w:val="0"/>
              <w:jc w:val="right"/>
              <w:rPr>
                <w:sz w:val="20"/>
                <w:szCs w:val="20"/>
              </w:rPr>
            </w:pPr>
            <w:r>
              <w:rPr>
                <w:sz w:val="20"/>
                <w:szCs w:val="20"/>
              </w:rPr>
              <w:t>100</w:t>
            </w:r>
          </w:p>
        </w:tc>
        <w:tc>
          <w:tcPr>
            <w:tcW w:w="892" w:type="dxa"/>
            <w:tcBorders/>
          </w:tcPr>
          <w:p>
            <w:pPr>
              <w:pStyle w:val="TableContents"/>
              <w:bidi w:val="0"/>
              <w:jc w:val="right"/>
              <w:rPr>
                <w:sz w:val="20"/>
                <w:szCs w:val="20"/>
              </w:rPr>
            </w:pPr>
            <w:r>
              <w:rPr>
                <w:sz w:val="20"/>
                <w:szCs w:val="20"/>
              </w:rPr>
              <w:t>0</w:t>
            </w:r>
          </w:p>
        </w:tc>
        <w:tc>
          <w:tcPr>
            <w:tcW w:w="880" w:type="dxa"/>
            <w:tcBorders/>
          </w:tcPr>
          <w:p>
            <w:pPr>
              <w:pStyle w:val="TableContents"/>
              <w:bidi w:val="0"/>
              <w:jc w:val="right"/>
              <w:rPr>
                <w:sz w:val="20"/>
                <w:szCs w:val="20"/>
              </w:rPr>
            </w:pPr>
            <w:r>
              <w:rPr>
                <w:sz w:val="20"/>
                <w:szCs w:val="20"/>
              </w:rPr>
              <w:t>98.12</w:t>
            </w:r>
          </w:p>
        </w:tc>
        <w:tc>
          <w:tcPr>
            <w:tcW w:w="880" w:type="dxa"/>
            <w:tcBorders/>
          </w:tcPr>
          <w:p>
            <w:pPr>
              <w:pStyle w:val="TableContents"/>
              <w:bidi w:val="0"/>
              <w:jc w:val="right"/>
              <w:rPr>
                <w:sz w:val="20"/>
                <w:szCs w:val="20"/>
              </w:rPr>
            </w:pPr>
            <w:r>
              <w:rPr>
                <w:sz w:val="20"/>
                <w:szCs w:val="20"/>
              </w:rPr>
              <w:t>0.27</w:t>
            </w:r>
          </w:p>
        </w:tc>
      </w:tr>
      <w:tr>
        <w:trPr/>
        <w:tc>
          <w:tcPr>
            <w:tcW w:w="1078" w:type="dxa"/>
            <w:tcBorders>
              <w:bottom w:val="single" w:sz="6" w:space="0" w:color="000000"/>
            </w:tcBorders>
          </w:tcPr>
          <w:p>
            <w:pPr>
              <w:pStyle w:val="TableContents"/>
              <w:bidi w:val="0"/>
              <w:jc w:val="left"/>
              <w:rPr>
                <w:i/>
                <w:i/>
                <w:color w:val="000000"/>
                <w:sz w:val="20"/>
                <w:szCs w:val="20"/>
              </w:rPr>
            </w:pPr>
            <w:r>
              <w:rPr>
                <w:i/>
                <w:color w:val="000000"/>
                <w:sz w:val="20"/>
                <w:szCs w:val="20"/>
              </w:rPr>
              <w:t>2020-Trm</w:t>
            </w:r>
          </w:p>
        </w:tc>
        <w:tc>
          <w:tcPr>
            <w:tcW w:w="777" w:type="dxa"/>
            <w:tcBorders>
              <w:bottom w:val="single" w:sz="6" w:space="0" w:color="000000"/>
            </w:tcBorders>
          </w:tcPr>
          <w:p>
            <w:pPr>
              <w:pStyle w:val="TableContents"/>
              <w:bidi w:val="0"/>
              <w:jc w:val="right"/>
              <w:rPr>
                <w:sz w:val="20"/>
                <w:szCs w:val="20"/>
              </w:rPr>
            </w:pPr>
            <w:r>
              <w:rPr>
                <w:sz w:val="20"/>
                <w:szCs w:val="20"/>
              </w:rPr>
              <w:t>83.04</w:t>
            </w:r>
          </w:p>
        </w:tc>
        <w:tc>
          <w:tcPr>
            <w:tcW w:w="778" w:type="dxa"/>
            <w:tcBorders>
              <w:bottom w:val="single" w:sz="6" w:space="0" w:color="000000"/>
            </w:tcBorders>
          </w:tcPr>
          <w:p>
            <w:pPr>
              <w:pStyle w:val="TableContents"/>
              <w:bidi w:val="0"/>
              <w:jc w:val="right"/>
              <w:rPr>
                <w:sz w:val="20"/>
                <w:szCs w:val="20"/>
              </w:rPr>
            </w:pPr>
            <w:r>
              <w:rPr>
                <w:sz w:val="20"/>
                <w:szCs w:val="20"/>
              </w:rPr>
              <w:t>0.34</w:t>
            </w:r>
          </w:p>
        </w:tc>
        <w:tc>
          <w:tcPr>
            <w:tcW w:w="788" w:type="dxa"/>
            <w:tcBorders>
              <w:bottom w:val="single" w:sz="6" w:space="0" w:color="000000"/>
            </w:tcBorders>
          </w:tcPr>
          <w:p>
            <w:pPr>
              <w:pStyle w:val="TableContents"/>
              <w:bidi w:val="0"/>
              <w:jc w:val="right"/>
              <w:rPr>
                <w:sz w:val="20"/>
                <w:szCs w:val="20"/>
              </w:rPr>
            </w:pPr>
            <w:r>
              <w:rPr>
                <w:sz w:val="20"/>
                <w:szCs w:val="20"/>
              </w:rPr>
              <w:t>91.89</w:t>
            </w:r>
          </w:p>
        </w:tc>
        <w:tc>
          <w:tcPr>
            <w:tcW w:w="834" w:type="dxa"/>
            <w:tcBorders>
              <w:bottom w:val="single" w:sz="6" w:space="0" w:color="000000"/>
            </w:tcBorders>
          </w:tcPr>
          <w:p>
            <w:pPr>
              <w:pStyle w:val="TableContents"/>
              <w:bidi w:val="0"/>
              <w:jc w:val="right"/>
              <w:rPr>
                <w:sz w:val="20"/>
                <w:szCs w:val="20"/>
              </w:rPr>
            </w:pPr>
            <w:r>
              <w:rPr>
                <w:sz w:val="20"/>
                <w:szCs w:val="20"/>
              </w:rPr>
              <w:t>0.14</w:t>
            </w:r>
          </w:p>
        </w:tc>
        <w:tc>
          <w:tcPr>
            <w:tcW w:w="882" w:type="dxa"/>
            <w:tcBorders>
              <w:bottom w:val="single" w:sz="6" w:space="0" w:color="000000"/>
            </w:tcBorders>
          </w:tcPr>
          <w:p>
            <w:pPr>
              <w:pStyle w:val="TableContents"/>
              <w:bidi w:val="0"/>
              <w:jc w:val="right"/>
              <w:rPr>
                <w:sz w:val="20"/>
                <w:szCs w:val="20"/>
              </w:rPr>
            </w:pPr>
            <w:r>
              <w:rPr>
                <w:sz w:val="20"/>
                <w:szCs w:val="20"/>
              </w:rPr>
              <w:t>94.89</w:t>
            </w:r>
          </w:p>
        </w:tc>
        <w:tc>
          <w:tcPr>
            <w:tcW w:w="928" w:type="dxa"/>
            <w:tcBorders>
              <w:bottom w:val="single" w:sz="6" w:space="0" w:color="000000"/>
            </w:tcBorders>
          </w:tcPr>
          <w:p>
            <w:pPr>
              <w:pStyle w:val="TableContents"/>
              <w:bidi w:val="0"/>
              <w:jc w:val="right"/>
              <w:rPr>
                <w:sz w:val="20"/>
                <w:szCs w:val="20"/>
              </w:rPr>
            </w:pPr>
            <w:r>
              <w:rPr>
                <w:sz w:val="20"/>
                <w:szCs w:val="20"/>
              </w:rPr>
              <w:t>0.07</w:t>
            </w:r>
          </w:p>
        </w:tc>
        <w:tc>
          <w:tcPr>
            <w:tcW w:w="881" w:type="dxa"/>
            <w:tcBorders>
              <w:bottom w:val="single" w:sz="6" w:space="0" w:color="000000"/>
            </w:tcBorders>
          </w:tcPr>
          <w:p>
            <w:pPr>
              <w:pStyle w:val="TableContents"/>
              <w:bidi w:val="0"/>
              <w:jc w:val="right"/>
              <w:rPr>
                <w:sz w:val="20"/>
                <w:szCs w:val="20"/>
              </w:rPr>
            </w:pPr>
            <w:r>
              <w:rPr>
                <w:sz w:val="20"/>
                <w:szCs w:val="20"/>
              </w:rPr>
              <w:t>100</w:t>
            </w:r>
          </w:p>
        </w:tc>
        <w:tc>
          <w:tcPr>
            <w:tcW w:w="892" w:type="dxa"/>
            <w:tcBorders>
              <w:bottom w:val="single" w:sz="6" w:space="0" w:color="000000"/>
            </w:tcBorders>
          </w:tcPr>
          <w:p>
            <w:pPr>
              <w:pStyle w:val="TableContents"/>
              <w:bidi w:val="0"/>
              <w:jc w:val="right"/>
              <w:rPr>
                <w:sz w:val="20"/>
                <w:szCs w:val="20"/>
              </w:rPr>
            </w:pPr>
            <w:r>
              <w:rPr>
                <w:sz w:val="20"/>
                <w:szCs w:val="20"/>
              </w:rPr>
              <w:t>0</w:t>
            </w:r>
          </w:p>
        </w:tc>
        <w:tc>
          <w:tcPr>
            <w:tcW w:w="880" w:type="dxa"/>
            <w:tcBorders>
              <w:bottom w:val="single" w:sz="6" w:space="0" w:color="000000"/>
            </w:tcBorders>
          </w:tcPr>
          <w:p>
            <w:pPr>
              <w:pStyle w:val="TableContents"/>
              <w:bidi w:val="0"/>
              <w:jc w:val="right"/>
              <w:rPr>
                <w:sz w:val="20"/>
                <w:szCs w:val="20"/>
              </w:rPr>
            </w:pPr>
            <w:r>
              <w:rPr>
                <w:sz w:val="20"/>
                <w:szCs w:val="20"/>
              </w:rPr>
              <w:t>99.06</w:t>
            </w:r>
          </w:p>
        </w:tc>
        <w:tc>
          <w:tcPr>
            <w:tcW w:w="880" w:type="dxa"/>
            <w:tcBorders>
              <w:bottom w:val="single" w:sz="6" w:space="0" w:color="000000"/>
            </w:tcBorders>
          </w:tcPr>
          <w:p>
            <w:pPr>
              <w:pStyle w:val="TableContents"/>
              <w:bidi w:val="0"/>
              <w:jc w:val="right"/>
              <w:rPr>
                <w:sz w:val="20"/>
                <w:szCs w:val="20"/>
              </w:rPr>
            </w:pPr>
            <w:r>
              <w:rPr>
                <w:sz w:val="20"/>
                <w:szCs w:val="20"/>
              </w:rPr>
              <w:t>0.01</w:t>
            </w:r>
          </w:p>
        </w:tc>
      </w:tr>
    </w:tbl>
    <w:p>
      <w:pPr>
        <w:pStyle w:val="Normal"/>
        <w:bidi w:val="0"/>
        <w:jc w:val="left"/>
        <w:rPr>
          <w:sz w:val="20"/>
          <w:szCs w:val="20"/>
        </w:rPr>
      </w:pPr>
      <w:r>
        <w:rPr>
          <w:sz w:val="20"/>
          <w:szCs w:val="20"/>
        </w:rPr>
      </w:r>
    </w:p>
    <w:p>
      <w:pPr>
        <w:pStyle w:val="Normal"/>
        <w:bidi w:val="0"/>
        <w:jc w:val="center"/>
        <w:rPr>
          <w:sz w:val="20"/>
          <w:szCs w:val="20"/>
        </w:rPr>
      </w:pPr>
      <w:r>
        <w:rPr>
          <w:b/>
          <w:bCs/>
          <w:color w:val="4472C4" w:themeColor="accent5"/>
          <w:sz w:val="20"/>
          <w:szCs w:val="20"/>
        </w:rPr>
        <w:t>Test Set</w:t>
      </w:r>
    </w:p>
    <w:p>
      <w:pPr>
        <w:pStyle w:val="Normal"/>
        <w:bidi w:val="0"/>
        <w:jc w:val="left"/>
        <w:rPr>
          <w:sz w:val="20"/>
          <w:szCs w:val="20"/>
        </w:rPr>
      </w:pPr>
      <w:r>
        <w:rPr>
          <w:b/>
          <w:sz w:val="20"/>
          <w:szCs w:val="20"/>
        </w:rPr>
        <w:t xml:space="preserve"> </w:t>
      </w:r>
      <w:bookmarkStart w:id="1" w:name="_GoBack1"/>
      <w:bookmarkEnd w:id="1"/>
    </w:p>
    <w:tbl>
      <w:tblPr>
        <w:tblW w:w="9645" w:type="dxa"/>
        <w:jc w:val="left"/>
        <w:tblInd w:w="0" w:type="dxa"/>
        <w:tblCellMar>
          <w:top w:w="0" w:type="dxa"/>
          <w:left w:w="0" w:type="dxa"/>
          <w:bottom w:w="0" w:type="dxa"/>
          <w:right w:w="0" w:type="dxa"/>
        </w:tblCellMar>
        <w:tblLook w:val="0000" w:noHBand="0" w:noVBand="0" w:firstColumn="0" w:lastRow="0" w:lastColumn="0" w:firstRow="0"/>
      </w:tblPr>
      <w:tblGrid>
        <w:gridCol w:w="1124"/>
        <w:gridCol w:w="775"/>
        <w:gridCol w:w="785"/>
        <w:gridCol w:w="783"/>
        <w:gridCol w:w="834"/>
        <w:gridCol w:w="882"/>
        <w:gridCol w:w="931"/>
        <w:gridCol w:w="883"/>
        <w:gridCol w:w="883"/>
        <w:gridCol w:w="882"/>
        <w:gridCol w:w="881"/>
      </w:tblGrid>
      <w:tr>
        <w:trPr/>
        <w:tc>
          <w:tcPr>
            <w:tcW w:w="1124"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1560"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1617"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1813"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1766"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Swahili</w:t>
            </w:r>
          </w:p>
        </w:tc>
        <w:tc>
          <w:tcPr>
            <w:tcW w:w="1763"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Crimean-Turkish</w:t>
            </w:r>
          </w:p>
        </w:tc>
      </w:tr>
      <w:tr>
        <w:trPr/>
        <w:tc>
          <w:tcPr>
            <w:tcW w:w="1124" w:type="dxa"/>
            <w:vMerge w:val="continue"/>
            <w:tcBorders/>
          </w:tcPr>
          <w:p>
            <w:pPr>
              <w:pStyle w:val="TableContents"/>
              <w:bidi w:val="0"/>
              <w:jc w:val="left"/>
              <w:rPr>
                <w:color w:val="000000"/>
                <w:sz w:val="20"/>
                <w:szCs w:val="20"/>
              </w:rPr>
            </w:pPr>
            <w:r>
              <w:rPr>
                <w:color w:val="000000"/>
                <w:sz w:val="20"/>
                <w:szCs w:val="20"/>
              </w:rPr>
            </w:r>
          </w:p>
        </w:tc>
        <w:tc>
          <w:tcPr>
            <w:tcW w:w="775" w:type="dxa"/>
            <w:tcBorders/>
          </w:tcPr>
          <w:p>
            <w:pPr>
              <w:pStyle w:val="TableContents"/>
              <w:bidi w:val="0"/>
              <w:jc w:val="left"/>
              <w:rPr>
                <w:sz w:val="20"/>
                <w:szCs w:val="20"/>
                <w:u w:val="single"/>
              </w:rPr>
            </w:pPr>
            <w:r>
              <w:rPr>
                <w:sz w:val="20"/>
                <w:szCs w:val="20"/>
                <w:u w:val="single"/>
              </w:rPr>
              <w:t>Acc</w:t>
            </w:r>
          </w:p>
        </w:tc>
        <w:tc>
          <w:tcPr>
            <w:tcW w:w="785" w:type="dxa"/>
            <w:tcBorders/>
          </w:tcPr>
          <w:p>
            <w:pPr>
              <w:pStyle w:val="TableContents"/>
              <w:bidi w:val="0"/>
              <w:jc w:val="left"/>
              <w:rPr>
                <w:sz w:val="20"/>
                <w:szCs w:val="20"/>
                <w:u w:val="single"/>
              </w:rPr>
            </w:pPr>
            <w:r>
              <w:rPr>
                <w:sz w:val="20"/>
                <w:szCs w:val="20"/>
                <w:u w:val="single"/>
              </w:rPr>
              <w:t>Lev</w:t>
            </w:r>
          </w:p>
        </w:tc>
        <w:tc>
          <w:tcPr>
            <w:tcW w:w="783" w:type="dxa"/>
            <w:tcBorders/>
          </w:tcPr>
          <w:p>
            <w:pPr>
              <w:pStyle w:val="TableContents"/>
              <w:bidi w:val="0"/>
              <w:jc w:val="left"/>
              <w:rPr>
                <w:color w:val="000000"/>
                <w:sz w:val="20"/>
                <w:szCs w:val="20"/>
                <w:u w:val="single"/>
              </w:rPr>
            </w:pPr>
            <w:r>
              <w:rPr>
                <w:color w:val="000000"/>
                <w:sz w:val="20"/>
                <w:szCs w:val="20"/>
                <w:u w:val="single"/>
              </w:rPr>
              <w:t>Acc</w:t>
            </w:r>
          </w:p>
        </w:tc>
        <w:tc>
          <w:tcPr>
            <w:tcW w:w="834" w:type="dxa"/>
            <w:tcBorders/>
          </w:tcPr>
          <w:p>
            <w:pPr>
              <w:pStyle w:val="TableContents"/>
              <w:bidi w:val="0"/>
              <w:jc w:val="left"/>
              <w:rPr>
                <w:color w:val="000000"/>
                <w:sz w:val="20"/>
                <w:szCs w:val="20"/>
                <w:u w:val="single"/>
              </w:rPr>
            </w:pPr>
            <w:r>
              <w:rPr>
                <w:color w:val="000000"/>
                <w:sz w:val="20"/>
                <w:szCs w:val="20"/>
                <w:u w:val="single"/>
              </w:rPr>
              <w:t>Lev</w:t>
            </w:r>
          </w:p>
        </w:tc>
        <w:tc>
          <w:tcPr>
            <w:tcW w:w="882" w:type="dxa"/>
            <w:tcBorders/>
          </w:tcPr>
          <w:p>
            <w:pPr>
              <w:pStyle w:val="TableContents"/>
              <w:bidi w:val="0"/>
              <w:jc w:val="left"/>
              <w:rPr>
                <w:color w:val="000000"/>
                <w:sz w:val="20"/>
                <w:szCs w:val="20"/>
                <w:u w:val="single"/>
              </w:rPr>
            </w:pPr>
            <w:r>
              <w:rPr>
                <w:color w:val="000000"/>
                <w:sz w:val="20"/>
                <w:szCs w:val="20"/>
                <w:u w:val="single"/>
              </w:rPr>
              <w:t>Acc</w:t>
            </w:r>
          </w:p>
        </w:tc>
        <w:tc>
          <w:tcPr>
            <w:tcW w:w="931" w:type="dxa"/>
            <w:tcBorders/>
          </w:tcPr>
          <w:p>
            <w:pPr>
              <w:pStyle w:val="TableContents"/>
              <w:bidi w:val="0"/>
              <w:jc w:val="left"/>
              <w:rPr>
                <w:color w:val="000000"/>
                <w:sz w:val="20"/>
                <w:szCs w:val="20"/>
                <w:u w:val="single"/>
              </w:rPr>
            </w:pPr>
            <w:r>
              <w:rPr>
                <w:color w:val="000000"/>
                <w:sz w:val="20"/>
                <w:szCs w:val="20"/>
                <w:u w:val="single"/>
              </w:rPr>
              <w:t>Lev</w:t>
            </w:r>
          </w:p>
        </w:tc>
        <w:tc>
          <w:tcPr>
            <w:tcW w:w="883" w:type="dxa"/>
            <w:tcBorders/>
          </w:tcPr>
          <w:p>
            <w:pPr>
              <w:pStyle w:val="TableContents"/>
              <w:bidi w:val="0"/>
              <w:jc w:val="left"/>
              <w:rPr>
                <w:color w:val="000000"/>
                <w:sz w:val="20"/>
                <w:szCs w:val="20"/>
                <w:u w:val="single"/>
              </w:rPr>
            </w:pPr>
            <w:r>
              <w:rPr>
                <w:color w:val="000000"/>
                <w:sz w:val="20"/>
                <w:szCs w:val="20"/>
                <w:u w:val="single"/>
              </w:rPr>
              <w:t>Acc</w:t>
            </w:r>
          </w:p>
        </w:tc>
        <w:tc>
          <w:tcPr>
            <w:tcW w:w="883" w:type="dxa"/>
            <w:tcBorders/>
          </w:tcPr>
          <w:p>
            <w:pPr>
              <w:pStyle w:val="TableContents"/>
              <w:bidi w:val="0"/>
              <w:jc w:val="left"/>
              <w:rPr>
                <w:color w:val="000000"/>
                <w:sz w:val="20"/>
                <w:szCs w:val="20"/>
                <w:u w:val="single"/>
              </w:rPr>
            </w:pPr>
            <w:r>
              <w:rPr>
                <w:color w:val="000000"/>
                <w:sz w:val="20"/>
                <w:szCs w:val="20"/>
                <w:u w:val="single"/>
              </w:rPr>
              <w:t>Lev</w:t>
            </w:r>
          </w:p>
        </w:tc>
        <w:tc>
          <w:tcPr>
            <w:tcW w:w="882" w:type="dxa"/>
            <w:tcBorders/>
          </w:tcPr>
          <w:p>
            <w:pPr>
              <w:pStyle w:val="TableContents"/>
              <w:bidi w:val="0"/>
              <w:jc w:val="left"/>
              <w:rPr>
                <w:color w:val="000000"/>
                <w:sz w:val="20"/>
                <w:szCs w:val="20"/>
                <w:u w:val="single"/>
              </w:rPr>
            </w:pPr>
            <w:r>
              <w:rPr>
                <w:color w:val="000000"/>
                <w:sz w:val="20"/>
                <w:szCs w:val="20"/>
                <w:u w:val="single"/>
              </w:rPr>
              <w:t>Acc</w:t>
            </w:r>
          </w:p>
        </w:tc>
        <w:tc>
          <w:tcPr>
            <w:tcW w:w="881" w:type="dxa"/>
            <w:tcBorders/>
          </w:tcPr>
          <w:p>
            <w:pPr>
              <w:pStyle w:val="TableContents"/>
              <w:bidi w:val="0"/>
              <w:jc w:val="left"/>
              <w:rPr>
                <w:color w:val="000000"/>
                <w:sz w:val="20"/>
                <w:szCs w:val="20"/>
                <w:u w:val="single"/>
              </w:rPr>
            </w:pPr>
            <w:r>
              <w:rPr>
                <w:color w:val="000000"/>
                <w:sz w:val="20"/>
                <w:szCs w:val="20"/>
                <w:u w:val="single"/>
              </w:rPr>
              <w:t>Lev</w:t>
            </w:r>
          </w:p>
        </w:tc>
      </w:tr>
      <w:tr>
        <w:trPr>
          <w:trHeight w:val="318" w:hRule="atLeast"/>
        </w:trPr>
        <w:tc>
          <w:tcPr>
            <w:tcW w:w="1124" w:type="dxa"/>
            <w:tcBorders/>
          </w:tcPr>
          <w:p>
            <w:pPr>
              <w:pStyle w:val="TableContents"/>
              <w:bidi w:val="0"/>
              <w:jc w:val="left"/>
              <w:rPr>
                <w:i/>
                <w:i/>
                <w:color w:val="000000"/>
                <w:sz w:val="20"/>
                <w:szCs w:val="20"/>
              </w:rPr>
            </w:pPr>
            <w:r>
              <w:rPr>
                <w:i/>
                <w:color w:val="000000"/>
                <w:sz w:val="20"/>
                <w:szCs w:val="20"/>
              </w:rPr>
              <w:t>2017-Hard</w:t>
            </w:r>
          </w:p>
        </w:tc>
        <w:tc>
          <w:tcPr>
            <w:tcW w:w="775" w:type="dxa"/>
            <w:tcBorders/>
          </w:tcPr>
          <w:p>
            <w:pPr>
              <w:pStyle w:val="TableContents"/>
              <w:bidi w:val="0"/>
              <w:jc w:val="right"/>
              <w:rPr>
                <w:sz w:val="20"/>
                <w:szCs w:val="20"/>
              </w:rPr>
            </w:pPr>
            <w:r>
              <w:rPr>
                <w:sz w:val="20"/>
                <w:szCs w:val="20"/>
              </w:rPr>
              <w:t>62.5</w:t>
            </w:r>
          </w:p>
        </w:tc>
        <w:tc>
          <w:tcPr>
            <w:tcW w:w="785" w:type="dxa"/>
            <w:tcBorders/>
          </w:tcPr>
          <w:p>
            <w:pPr>
              <w:pStyle w:val="TableContents"/>
              <w:bidi w:val="0"/>
              <w:jc w:val="right"/>
              <w:rPr>
                <w:sz w:val="20"/>
                <w:szCs w:val="20"/>
              </w:rPr>
            </w:pPr>
            <w:r>
              <w:rPr>
                <w:sz w:val="20"/>
                <w:szCs w:val="20"/>
              </w:rPr>
              <w:t>1.23</w:t>
            </w:r>
          </w:p>
        </w:tc>
        <w:tc>
          <w:tcPr>
            <w:tcW w:w="783" w:type="dxa"/>
            <w:tcBorders/>
          </w:tcPr>
          <w:p>
            <w:pPr>
              <w:pStyle w:val="TableContents"/>
              <w:bidi w:val="0"/>
              <w:jc w:val="right"/>
              <w:rPr>
                <w:sz w:val="20"/>
                <w:szCs w:val="20"/>
              </w:rPr>
            </w:pPr>
            <w:r>
              <w:rPr>
                <w:sz w:val="20"/>
                <w:szCs w:val="20"/>
              </w:rPr>
              <w:t>82.05</w:t>
            </w:r>
          </w:p>
        </w:tc>
        <w:tc>
          <w:tcPr>
            <w:tcW w:w="834" w:type="dxa"/>
            <w:tcBorders/>
          </w:tcPr>
          <w:p>
            <w:pPr>
              <w:pStyle w:val="TableContents"/>
              <w:bidi w:val="0"/>
              <w:jc w:val="right"/>
              <w:rPr>
                <w:sz w:val="20"/>
                <w:szCs w:val="20"/>
              </w:rPr>
            </w:pPr>
            <w:r>
              <w:rPr>
                <w:sz w:val="20"/>
                <w:szCs w:val="20"/>
              </w:rPr>
              <w:t>0.31</w:t>
            </w:r>
          </w:p>
        </w:tc>
        <w:tc>
          <w:tcPr>
            <w:tcW w:w="882" w:type="dxa"/>
            <w:tcBorders/>
          </w:tcPr>
          <w:p>
            <w:pPr>
              <w:pStyle w:val="TableContents"/>
              <w:bidi w:val="0"/>
              <w:jc w:val="right"/>
              <w:rPr>
                <w:sz w:val="20"/>
                <w:szCs w:val="20"/>
              </w:rPr>
            </w:pPr>
            <w:r>
              <w:rPr>
                <w:sz w:val="20"/>
                <w:szCs w:val="20"/>
              </w:rPr>
              <w:t>86.46</w:t>
            </w:r>
          </w:p>
        </w:tc>
        <w:tc>
          <w:tcPr>
            <w:tcW w:w="931" w:type="dxa"/>
            <w:tcBorders/>
          </w:tcPr>
          <w:p>
            <w:pPr>
              <w:pStyle w:val="TableContents"/>
              <w:bidi w:val="0"/>
              <w:jc w:val="right"/>
              <w:rPr>
                <w:sz w:val="20"/>
                <w:szCs w:val="20"/>
              </w:rPr>
            </w:pPr>
            <w:r>
              <w:rPr>
                <w:sz w:val="20"/>
                <w:szCs w:val="20"/>
              </w:rPr>
              <w:t>0.2</w:t>
            </w:r>
          </w:p>
        </w:tc>
        <w:tc>
          <w:tcPr>
            <w:tcW w:w="883" w:type="dxa"/>
            <w:tcBorders/>
          </w:tcPr>
          <w:p>
            <w:pPr>
              <w:pStyle w:val="TableContents"/>
              <w:bidi w:val="0"/>
              <w:jc w:val="right"/>
              <w:rPr>
                <w:sz w:val="20"/>
                <w:szCs w:val="20"/>
              </w:rPr>
            </w:pPr>
            <w:r>
              <w:rPr>
                <w:sz w:val="20"/>
                <w:szCs w:val="20"/>
              </w:rPr>
              <w:t>100</w:t>
            </w:r>
          </w:p>
        </w:tc>
        <w:tc>
          <w:tcPr>
            <w:tcW w:w="883" w:type="dxa"/>
            <w:tcBorders/>
          </w:tcPr>
          <w:p>
            <w:pPr>
              <w:pStyle w:val="TableContents"/>
              <w:bidi w:val="0"/>
              <w:jc w:val="right"/>
              <w:rPr>
                <w:sz w:val="20"/>
                <w:szCs w:val="20"/>
              </w:rPr>
            </w:pPr>
            <w:r>
              <w:rPr>
                <w:sz w:val="20"/>
                <w:szCs w:val="20"/>
              </w:rPr>
              <w:t>0</w:t>
            </w:r>
          </w:p>
        </w:tc>
        <w:tc>
          <w:tcPr>
            <w:tcW w:w="882" w:type="dxa"/>
            <w:tcBorders/>
          </w:tcPr>
          <w:p>
            <w:pPr>
              <w:pStyle w:val="TableContents"/>
              <w:bidi w:val="0"/>
              <w:jc w:val="right"/>
              <w:rPr>
                <w:sz w:val="20"/>
                <w:szCs w:val="20"/>
              </w:rPr>
            </w:pPr>
            <w:r>
              <w:rPr>
                <w:sz w:val="20"/>
                <w:szCs w:val="20"/>
              </w:rPr>
              <w:t>96.29</w:t>
            </w:r>
          </w:p>
        </w:tc>
        <w:tc>
          <w:tcPr>
            <w:tcW w:w="881" w:type="dxa"/>
            <w:tcBorders/>
          </w:tcPr>
          <w:p>
            <w:pPr>
              <w:pStyle w:val="TableContents"/>
              <w:bidi w:val="0"/>
              <w:jc w:val="right"/>
              <w:rPr>
                <w:sz w:val="20"/>
                <w:szCs w:val="20"/>
              </w:rPr>
            </w:pPr>
            <w:r>
              <w:rPr>
                <w:sz w:val="20"/>
                <w:szCs w:val="20"/>
              </w:rPr>
              <w:t>0.58</w:t>
            </w:r>
          </w:p>
        </w:tc>
      </w:tr>
      <w:tr>
        <w:trPr/>
        <w:tc>
          <w:tcPr>
            <w:tcW w:w="1124" w:type="dxa"/>
            <w:tcBorders>
              <w:bottom w:val="single" w:sz="6" w:space="0" w:color="000000"/>
            </w:tcBorders>
          </w:tcPr>
          <w:p>
            <w:pPr>
              <w:pStyle w:val="TableContents"/>
              <w:bidi w:val="0"/>
              <w:jc w:val="left"/>
              <w:rPr>
                <w:i/>
                <w:i/>
                <w:color w:val="000000"/>
                <w:sz w:val="20"/>
                <w:szCs w:val="20"/>
              </w:rPr>
            </w:pPr>
            <w:r>
              <w:rPr>
                <w:i/>
                <w:color w:val="000000"/>
                <w:sz w:val="20"/>
                <w:szCs w:val="20"/>
              </w:rPr>
              <w:t>2020-Trm</w:t>
            </w:r>
          </w:p>
        </w:tc>
        <w:tc>
          <w:tcPr>
            <w:tcW w:w="775" w:type="dxa"/>
            <w:tcBorders>
              <w:bottom w:val="single" w:sz="6" w:space="0" w:color="000000"/>
            </w:tcBorders>
          </w:tcPr>
          <w:p>
            <w:pPr>
              <w:pStyle w:val="TableContents"/>
              <w:bidi w:val="0"/>
              <w:jc w:val="right"/>
              <w:rPr>
                <w:sz w:val="20"/>
                <w:szCs w:val="20"/>
              </w:rPr>
            </w:pPr>
            <w:r>
              <w:rPr>
                <w:sz w:val="20"/>
                <w:szCs w:val="20"/>
              </w:rPr>
              <w:t>79.91</w:t>
            </w:r>
          </w:p>
        </w:tc>
        <w:tc>
          <w:tcPr>
            <w:tcW w:w="785" w:type="dxa"/>
            <w:tcBorders>
              <w:bottom w:val="single" w:sz="6" w:space="0" w:color="000000"/>
            </w:tcBorders>
          </w:tcPr>
          <w:p>
            <w:pPr>
              <w:pStyle w:val="TableContents"/>
              <w:bidi w:val="0"/>
              <w:jc w:val="right"/>
              <w:rPr>
                <w:sz w:val="20"/>
                <w:szCs w:val="20"/>
              </w:rPr>
            </w:pPr>
            <w:r>
              <w:rPr>
                <w:sz w:val="20"/>
                <w:szCs w:val="20"/>
              </w:rPr>
              <w:t>0.37</w:t>
            </w:r>
          </w:p>
        </w:tc>
        <w:tc>
          <w:tcPr>
            <w:tcW w:w="783" w:type="dxa"/>
            <w:tcBorders>
              <w:bottom w:val="single" w:sz="6" w:space="0" w:color="000000"/>
            </w:tcBorders>
          </w:tcPr>
          <w:p>
            <w:pPr>
              <w:pStyle w:val="TableContents"/>
              <w:bidi w:val="0"/>
              <w:jc w:val="right"/>
              <w:rPr>
                <w:sz w:val="20"/>
                <w:szCs w:val="20"/>
              </w:rPr>
            </w:pPr>
            <w:r>
              <w:rPr>
                <w:sz w:val="20"/>
                <w:szCs w:val="20"/>
              </w:rPr>
              <w:t>87.84</w:t>
            </w:r>
          </w:p>
        </w:tc>
        <w:tc>
          <w:tcPr>
            <w:tcW w:w="834" w:type="dxa"/>
            <w:tcBorders>
              <w:bottom w:val="single" w:sz="6" w:space="0" w:color="000000"/>
            </w:tcBorders>
          </w:tcPr>
          <w:p>
            <w:pPr>
              <w:pStyle w:val="TableContents"/>
              <w:bidi w:val="0"/>
              <w:jc w:val="right"/>
              <w:rPr>
                <w:sz w:val="20"/>
                <w:szCs w:val="20"/>
              </w:rPr>
            </w:pPr>
            <w:r>
              <w:rPr>
                <w:sz w:val="20"/>
                <w:szCs w:val="20"/>
              </w:rPr>
              <w:t>0.28</w:t>
            </w:r>
          </w:p>
        </w:tc>
        <w:tc>
          <w:tcPr>
            <w:tcW w:w="882" w:type="dxa"/>
            <w:tcBorders>
              <w:bottom w:val="single" w:sz="6" w:space="0" w:color="000000"/>
            </w:tcBorders>
          </w:tcPr>
          <w:p>
            <w:pPr>
              <w:pStyle w:val="TableContents"/>
              <w:bidi w:val="0"/>
              <w:jc w:val="right"/>
              <w:rPr>
                <w:sz w:val="20"/>
                <w:szCs w:val="20"/>
              </w:rPr>
            </w:pPr>
            <w:r>
              <w:rPr>
                <w:sz w:val="20"/>
                <w:szCs w:val="20"/>
              </w:rPr>
              <w:t>93.77</w:t>
            </w:r>
          </w:p>
        </w:tc>
        <w:tc>
          <w:tcPr>
            <w:tcW w:w="931" w:type="dxa"/>
            <w:tcBorders>
              <w:bottom w:val="single" w:sz="6" w:space="0" w:color="000000"/>
            </w:tcBorders>
          </w:tcPr>
          <w:p>
            <w:pPr>
              <w:pStyle w:val="TableContents"/>
              <w:bidi w:val="0"/>
              <w:jc w:val="right"/>
              <w:rPr>
                <w:sz w:val="20"/>
                <w:szCs w:val="20"/>
              </w:rPr>
            </w:pPr>
            <w:r>
              <w:rPr>
                <w:sz w:val="20"/>
                <w:szCs w:val="20"/>
              </w:rPr>
              <w:t>0.09</w:t>
            </w:r>
          </w:p>
        </w:tc>
        <w:tc>
          <w:tcPr>
            <w:tcW w:w="883" w:type="dxa"/>
            <w:tcBorders>
              <w:bottom w:val="single" w:sz="6" w:space="0" w:color="000000"/>
            </w:tcBorders>
          </w:tcPr>
          <w:p>
            <w:pPr>
              <w:pStyle w:val="TableContents"/>
              <w:bidi w:val="0"/>
              <w:jc w:val="right"/>
              <w:rPr>
                <w:sz w:val="20"/>
                <w:szCs w:val="20"/>
              </w:rPr>
            </w:pPr>
            <w:r>
              <w:rPr>
                <w:sz w:val="20"/>
                <w:szCs w:val="20"/>
              </w:rPr>
              <w:t>100</w:t>
            </w:r>
          </w:p>
        </w:tc>
        <w:tc>
          <w:tcPr>
            <w:tcW w:w="883" w:type="dxa"/>
            <w:tcBorders>
              <w:bottom w:val="single" w:sz="6" w:space="0" w:color="000000"/>
            </w:tcBorders>
          </w:tcPr>
          <w:p>
            <w:pPr>
              <w:pStyle w:val="TableContents"/>
              <w:bidi w:val="0"/>
              <w:jc w:val="right"/>
              <w:rPr>
                <w:sz w:val="20"/>
                <w:szCs w:val="20"/>
              </w:rPr>
            </w:pPr>
            <w:r>
              <w:rPr>
                <w:sz w:val="20"/>
                <w:szCs w:val="20"/>
              </w:rPr>
              <w:t>0</w:t>
            </w:r>
          </w:p>
        </w:tc>
        <w:tc>
          <w:tcPr>
            <w:tcW w:w="882" w:type="dxa"/>
            <w:tcBorders>
              <w:bottom w:val="single" w:sz="6" w:space="0" w:color="000000"/>
            </w:tcBorders>
          </w:tcPr>
          <w:p>
            <w:pPr>
              <w:pStyle w:val="TableContents"/>
              <w:bidi w:val="0"/>
              <w:jc w:val="right"/>
              <w:rPr>
                <w:sz w:val="20"/>
                <w:szCs w:val="20"/>
              </w:rPr>
            </w:pPr>
            <w:r>
              <w:rPr>
                <w:sz w:val="20"/>
                <w:szCs w:val="20"/>
              </w:rPr>
              <w:t>98.72</w:t>
            </w:r>
          </w:p>
        </w:tc>
        <w:tc>
          <w:tcPr>
            <w:tcW w:w="881" w:type="dxa"/>
            <w:tcBorders>
              <w:bottom w:val="single" w:sz="6" w:space="0" w:color="000000"/>
            </w:tcBorders>
          </w:tcPr>
          <w:p>
            <w:pPr>
              <w:pStyle w:val="TableContents"/>
              <w:bidi w:val="0"/>
              <w:jc w:val="right"/>
              <w:rPr>
                <w:sz w:val="20"/>
                <w:szCs w:val="20"/>
              </w:rPr>
            </w:pPr>
            <w:r>
              <w:rPr>
                <w:sz w:val="20"/>
                <w:szCs w:val="20"/>
              </w:rPr>
              <w:t>0.02</w:t>
            </w:r>
          </w:p>
        </w:tc>
      </w:tr>
    </w:tbl>
    <w:p>
      <w:pPr>
        <w:pStyle w:val="Normal"/>
        <w:bidi w:val="0"/>
        <w:jc w:val="left"/>
        <w:rPr>
          <w:sz w:val="20"/>
          <w:szCs w:val="20"/>
          <w:u w:val="single"/>
        </w:rPr>
      </w:pPr>
      <w:r>
        <w:rPr>
          <w:sz w:val="20"/>
          <w:szCs w:val="20"/>
          <w:u w:val="single"/>
        </w:rPr>
      </w:r>
    </w:p>
    <w:tbl>
      <w:tblPr>
        <w:tblW w:w="9638" w:type="dxa"/>
        <w:jc w:val="left"/>
        <w:tblInd w:w="227" w:type="dxa"/>
        <w:tblCellMar>
          <w:top w:w="227" w:type="dxa"/>
          <w:left w:w="227" w:type="dxa"/>
          <w:bottom w:w="227" w:type="dxa"/>
          <w:right w:w="227" w:type="dxa"/>
        </w:tblCellMar>
      </w:tblPr>
      <w:tblGrid>
        <w:gridCol w:w="4368"/>
        <w:gridCol w:w="5269"/>
      </w:tblGrid>
      <w:tr>
        <w:trPr/>
        <w:tc>
          <w:tcPr>
            <w:tcW w:w="4368" w:type="dxa"/>
            <w:tcBorders/>
          </w:tcPr>
          <w:p>
            <w:pPr>
              <w:pStyle w:val="Normal"/>
              <w:bidi w:val="0"/>
              <w:jc w:val="both"/>
              <w:rPr>
                <w:sz w:val="20"/>
                <w:szCs w:val="20"/>
              </w:rPr>
            </w:pPr>
            <w:r>
              <w:rPr>
                <w:sz w:val="20"/>
                <w:szCs w:val="20"/>
              </w:rPr>
            </w:r>
          </w:p>
          <w:p>
            <w:pPr>
              <w:pStyle w:val="Normal"/>
              <w:bidi w:val="0"/>
              <w:jc w:val="both"/>
              <w:rPr>
                <w:sz w:val="20"/>
                <w:szCs w:val="20"/>
              </w:rPr>
            </w:pPr>
            <w:r>
              <w:rPr>
                <w:sz w:val="20"/>
                <w:szCs w:val="20"/>
              </w:rPr>
              <w:t>The transformer model outperforms the hard-attention RNN model in every test set except for Swahili, where both models achieve 100% accuracy.</w:t>
              <w:br/>
            </w:r>
          </w:p>
          <w:p>
            <w:pPr>
              <w:pStyle w:val="Normal"/>
              <w:bidi w:val="0"/>
              <w:jc w:val="both"/>
              <w:rPr>
                <w:sz w:val="20"/>
                <w:szCs w:val="20"/>
              </w:rPr>
            </w:pPr>
            <w:r>
              <w:rPr>
                <w:sz w:val="20"/>
                <w:szCs w:val="20"/>
              </w:rPr>
              <w:t>The two models have a similar relative performance with respect to the language, i.e. their ranked performance of language is the same: Swahili, Crimean-Turkish, Maltese, Murrinh-Patha, Ingrian(in descending accuracy order).</w:t>
            </w:r>
          </w:p>
          <w:p>
            <w:pPr>
              <w:pStyle w:val="Normal"/>
              <w:numPr>
                <w:ilvl w:val="0"/>
                <w:numId w:val="0"/>
              </w:numPr>
              <w:bidi w:val="0"/>
              <w:ind w:left="720" w:hanging="0"/>
              <w:jc w:val="both"/>
              <w:rPr>
                <w:sz w:val="20"/>
                <w:szCs w:val="20"/>
              </w:rPr>
            </w:pPr>
            <w:r>
              <w:rPr>
                <w:sz w:val="20"/>
                <w:szCs w:val="20"/>
              </w:rPr>
            </w:r>
          </w:p>
          <w:p>
            <w:pPr>
              <w:pStyle w:val="Normal"/>
              <w:numPr>
                <w:ilvl w:val="0"/>
                <w:numId w:val="0"/>
              </w:numPr>
              <w:bidi w:val="0"/>
              <w:ind w:left="720" w:hanging="0"/>
              <w:jc w:val="both"/>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tc>
        <w:tc>
          <w:tcPr>
            <w:tcW w:w="5269" w:type="dxa"/>
            <w:tcBorders/>
          </w:tcPr>
          <w:p>
            <w:pPr>
              <w:pStyle w:val="Normal"/>
              <w:bidi w:val="0"/>
              <w:jc w:val="center"/>
              <w:rPr/>
            </w:pPr>
            <w:r>
              <w:drawing>
                <wp:anchor behindDoc="0" distT="0" distB="0" distL="0" distR="0" simplePos="0" locked="0" layoutInCell="1" allowOverlap="1" relativeHeight="12">
                  <wp:simplePos x="0" y="0"/>
                  <wp:positionH relativeFrom="column">
                    <wp:posOffset>31750</wp:posOffset>
                  </wp:positionH>
                  <wp:positionV relativeFrom="paragraph">
                    <wp:posOffset>135255</wp:posOffset>
                  </wp:positionV>
                  <wp:extent cx="3164840" cy="222250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rcRect l="0" t="5425" r="0" b="0"/>
                          <a:stretch>
                            <a:fillRect/>
                          </a:stretch>
                        </pic:blipFill>
                        <pic:spPr bwMode="auto">
                          <a:xfrm>
                            <a:off x="0" y="0"/>
                            <a:ext cx="3164840" cy="2222500"/>
                          </a:xfrm>
                          <a:prstGeom prst="rect">
                            <a:avLst/>
                          </a:prstGeom>
                        </pic:spPr>
                      </pic:pic>
                    </a:graphicData>
                  </a:graphic>
                </wp:anchor>
              </w:drawing>
            </w:r>
            <w:r>
              <w:rPr>
                <w:i/>
                <w:iCs/>
                <w:sz w:val="20"/>
                <w:szCs w:val="20"/>
              </w:rPr>
              <w:t>F</w:t>
            </w:r>
            <w:r>
              <w:rPr>
                <w:i/>
                <w:iCs/>
                <w:sz w:val="20"/>
                <w:szCs w:val="20"/>
              </w:rPr>
              <w:t>ig. 4.1.1: Two model Baseline performance</w:t>
            </w:r>
          </w:p>
        </w:tc>
      </w:tr>
    </w:tbl>
    <w:p>
      <w:pPr>
        <w:pStyle w:val="Normal"/>
        <w:bidi w:val="0"/>
        <w:jc w:val="left"/>
        <w:rPr>
          <w:sz w:val="20"/>
          <w:szCs w:val="20"/>
        </w:rPr>
      </w:pPr>
      <w:r>
        <w:rPr>
          <w:sz w:val="20"/>
          <w:szCs w:val="20"/>
        </w:rPr>
      </w:r>
    </w:p>
    <w:p>
      <w:pPr>
        <w:pStyle w:val="Normal"/>
        <w:bidi w:val="0"/>
        <w:jc w:val="left"/>
        <w:rPr>
          <w:sz w:val="20"/>
          <w:szCs w:val="20"/>
        </w:rPr>
      </w:pPr>
      <w:r>
        <w:rPr>
          <w:sz w:val="20"/>
          <w:szCs w:val="20"/>
        </w:rPr>
      </w:r>
    </w:p>
    <w:tbl>
      <w:tblPr>
        <w:tblW w:w="9694" w:type="dxa"/>
        <w:jc w:val="left"/>
        <w:tblInd w:w="57" w:type="dxa"/>
        <w:tblCellMar>
          <w:top w:w="57" w:type="dxa"/>
          <w:left w:w="57" w:type="dxa"/>
          <w:bottom w:w="57" w:type="dxa"/>
          <w:right w:w="227" w:type="dxa"/>
        </w:tblCellMar>
      </w:tblPr>
      <w:tblGrid>
        <w:gridCol w:w="4369"/>
        <w:gridCol w:w="5324"/>
      </w:tblGrid>
      <w:tr>
        <w:trPr/>
        <w:tc>
          <w:tcPr>
            <w:tcW w:w="4369" w:type="dxa"/>
            <w:tcBorders/>
          </w:tcPr>
          <w:p>
            <w:pPr>
              <w:pStyle w:val="Normal"/>
              <w:numPr>
                <w:ilvl w:val="0"/>
                <w:numId w:val="0"/>
              </w:numPr>
              <w:bidi w:val="0"/>
              <w:ind w:left="607" w:right="0" w:hanging="0"/>
              <w:jc w:val="both"/>
              <w:rPr>
                <w:sz w:val="20"/>
                <w:szCs w:val="20"/>
              </w:rPr>
            </w:pPr>
            <w:r>
              <w:rPr>
                <w:sz w:val="20"/>
                <w:szCs w:val="20"/>
              </w:rPr>
              <w:t>The lowest performing languages for both models are Ingrian and Murrinh-Patha. Both have quite small data sets (&lt;800 training samples). Inspecting this further, we see a trend with the size of the data-set and each models’ performance (figure 4.1.2 below). The ranking of languages by their data-set size is the same as above. This hints at the performance dependency of data-set size, and potential benefits of augmenting training data.</w:t>
            </w:r>
          </w:p>
        </w:tc>
        <w:tc>
          <w:tcPr>
            <w:tcW w:w="5324" w:type="dxa"/>
            <w:tcBorders/>
          </w:tcPr>
          <w:p>
            <w:pPr>
              <w:pStyle w:val="Normal"/>
              <w:bidi w:val="0"/>
              <w:jc w:val="center"/>
              <w:rPr>
                <w:sz w:val="20"/>
                <w:szCs w:val="20"/>
              </w:rPr>
            </w:pPr>
            <w:r>
              <w:drawing>
                <wp:anchor behindDoc="0" distT="0" distB="0" distL="0" distR="0" simplePos="0" locked="0" layoutInCell="1" allowOverlap="1" relativeHeight="13">
                  <wp:simplePos x="0" y="0"/>
                  <wp:positionH relativeFrom="column">
                    <wp:posOffset>10795</wp:posOffset>
                  </wp:positionH>
                  <wp:positionV relativeFrom="paragraph">
                    <wp:posOffset>10795</wp:posOffset>
                  </wp:positionV>
                  <wp:extent cx="3206750" cy="223647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0" t="4932" r="0" b="0"/>
                          <a:stretch>
                            <a:fillRect/>
                          </a:stretch>
                        </pic:blipFill>
                        <pic:spPr bwMode="auto">
                          <a:xfrm>
                            <a:off x="0" y="0"/>
                            <a:ext cx="3206750" cy="2236470"/>
                          </a:xfrm>
                          <a:prstGeom prst="rect">
                            <a:avLst/>
                          </a:prstGeom>
                        </pic:spPr>
                      </pic:pic>
                    </a:graphicData>
                  </a:graphic>
                </wp:anchor>
              </w:drawing>
            </w:r>
            <w:r>
              <w:rPr>
                <w:i/>
                <w:iCs/>
                <w:sz w:val="20"/>
                <w:szCs w:val="20"/>
              </w:rPr>
              <w:t>F</w:t>
            </w:r>
            <w:r>
              <w:rPr>
                <w:i/>
                <w:iCs/>
                <w:sz w:val="20"/>
                <w:szCs w:val="20"/>
              </w:rPr>
              <w:t>igure 4.1.2: Accuracy vs data set size</w:t>
            </w:r>
          </w:p>
        </w:tc>
      </w:tr>
    </w:tbl>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3"/>
        <w:numPr>
          <w:ilvl w:val="2"/>
          <w:numId w:val="2"/>
        </w:numPr>
        <w:bidi w:val="0"/>
        <w:jc w:val="left"/>
        <w:rPr/>
      </w:pPr>
      <w:r>
        <w:rPr/>
        <w:t>4.2 Improvement Evaluation</w:t>
      </w:r>
    </w:p>
    <w:p>
      <w:pPr>
        <w:pStyle w:val="Normal"/>
        <w:bidi w:val="0"/>
        <w:jc w:val="left"/>
        <w:rPr>
          <w:sz w:val="20"/>
          <w:szCs w:val="20"/>
        </w:rPr>
      </w:pPr>
      <w:r>
        <w:rPr>
          <w:sz w:val="20"/>
          <w:szCs w:val="20"/>
        </w:rPr>
      </w:r>
    </w:p>
    <w:p>
      <w:pPr>
        <w:pStyle w:val="Normal"/>
        <w:bidi w:val="0"/>
        <w:jc w:val="left"/>
        <w:rPr>
          <w:rFonts w:ascii="Liberation Serif" w:hAnsi="Liberation Serif"/>
          <w:sz w:val="18"/>
          <w:szCs w:val="18"/>
          <w:u w:val="none"/>
        </w:rPr>
      </w:pPr>
      <w:r>
        <w:rPr>
          <w:sz w:val="20"/>
          <w:szCs w:val="20"/>
          <w:u w:val="none"/>
        </w:rPr>
        <w:t xml:space="preserve">From section 4.1 and the existing literature (Vylomova et al., 2020)  It is clear that there is a relationship between a neural model’s performance and the size of the training data available to it. Therefore, we attempt to improve upon the best performance achieved in section 4.1 (with that of the transformer model) by implementing the modified data augmentation methods discussed in section 3.2. </w:t>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pPr>
      <w:r>
        <w:rPr>
          <w:u w:val="single"/>
        </w:rPr>
        <w:t>Overall Performance</w:t>
      </w:r>
    </w:p>
    <w:p>
      <w:pPr>
        <w:pStyle w:val="Normal"/>
        <w:bidi w:val="0"/>
        <w:jc w:val="left"/>
        <w:rPr>
          <w:u w:val="single"/>
        </w:rPr>
      </w:pPr>
      <w:r>
        <w:rPr>
          <w:u w:val="single"/>
        </w:rPr>
      </w:r>
    </w:p>
    <w:p>
      <w:pPr>
        <w:pStyle w:val="Normal"/>
        <w:bidi w:val="0"/>
        <w:jc w:val="left"/>
        <w:rPr>
          <w:b w:val="false"/>
          <w:b w:val="false"/>
          <w:bCs w:val="false"/>
          <w:sz w:val="20"/>
          <w:szCs w:val="20"/>
          <w:u w:val="none"/>
        </w:rPr>
      </w:pPr>
      <w:r>
        <w:rPr>
          <w:b w:val="false"/>
          <w:bCs w:val="false"/>
          <w:sz w:val="20"/>
          <w:szCs w:val="20"/>
          <w:u w:val="none"/>
        </w:rPr>
        <w:t xml:space="preserve">For initial comparisons, we attempted to include the baseline ‘uniform random’ augmentation methods as implemented by Anastasolous &amp; Neubig. The augmentation was implemented following default parameters and guidelines outlined in their approach (from their github repo). However, there was obviously an error in the process as the best performance achieved was very poor. Preliminary troubleshooting was performed with marginal difference, and a thorough troubleshooting was beyond the scope of this assignment. The results have been included for completeness, however should not be relied upon. </w:t>
      </w:r>
    </w:p>
    <w:p>
      <w:pPr>
        <w:pStyle w:val="Normal"/>
        <w:bidi w:val="0"/>
        <w:jc w:val="left"/>
        <w:rPr>
          <w:b w:val="false"/>
          <w:b w:val="false"/>
          <w:bCs w:val="false"/>
          <w:sz w:val="20"/>
          <w:szCs w:val="20"/>
          <w:u w:val="none"/>
        </w:rPr>
      </w:pPr>
      <w:r>
        <w:rPr>
          <w:b w:val="false"/>
          <w:bCs w:val="false"/>
          <w:sz w:val="20"/>
          <w:szCs w:val="20"/>
          <w:u w:val="none"/>
        </w:rPr>
      </w:r>
    </w:p>
    <w:p>
      <w:pPr>
        <w:pStyle w:val="Normal"/>
        <w:bidi w:val="0"/>
        <w:jc w:val="left"/>
        <w:rPr>
          <w:b w:val="false"/>
          <w:b w:val="false"/>
          <w:bCs w:val="false"/>
          <w:sz w:val="20"/>
          <w:szCs w:val="20"/>
          <w:u w:val="none"/>
        </w:rPr>
      </w:pPr>
      <w:r>
        <w:rPr>
          <w:b w:val="false"/>
          <w:bCs w:val="false"/>
          <w:sz w:val="20"/>
          <w:szCs w:val="20"/>
          <w:u w:val="none"/>
        </w:rPr>
        <w:t>(Note: Levenshtein distances have been normalised)</w:t>
      </w:r>
    </w:p>
    <w:p>
      <w:pPr>
        <w:pStyle w:val="Normal"/>
        <w:bidi w:val="0"/>
        <w:jc w:val="left"/>
        <w:rPr>
          <w:b/>
          <w:b/>
          <w:bCs/>
          <w:color w:val="4472C4" w:themeColor="accent5"/>
        </w:rPr>
      </w:pPr>
      <w:r>
        <w:rPr>
          <w:b/>
          <w:bCs/>
          <w:color w:val="4472C4" w:themeColor="accent5"/>
        </w:rPr>
      </w:r>
    </w:p>
    <w:p>
      <w:pPr>
        <w:pStyle w:val="Normal"/>
        <w:bidi w:val="0"/>
        <w:jc w:val="left"/>
        <w:rPr>
          <w:sz w:val="20"/>
          <w:szCs w:val="20"/>
        </w:rPr>
      </w:pPr>
      <w:r>
        <w:rPr>
          <w:b/>
          <w:bCs/>
          <w:color w:val="4472C4" w:themeColor="accent5"/>
          <w:sz w:val="20"/>
          <w:szCs w:val="20"/>
        </w:rPr>
        <w:t xml:space="preserve">Development Set </w:t>
      </w:r>
      <w:r>
        <w:rPr>
          <w:b/>
          <w:sz w:val="20"/>
          <w:szCs w:val="20"/>
        </w:rPr>
        <w:t xml:space="preserve"> </w:t>
      </w:r>
      <w:bookmarkStart w:id="2" w:name="_GoBack2"/>
      <w:bookmarkEnd w:id="2"/>
    </w:p>
    <w:tbl>
      <w:tblPr>
        <w:tblW w:w="9647" w:type="dxa"/>
        <w:jc w:val="left"/>
        <w:tblInd w:w="0" w:type="dxa"/>
        <w:tblCellMar>
          <w:top w:w="0" w:type="dxa"/>
          <w:left w:w="0" w:type="dxa"/>
          <w:bottom w:w="0" w:type="dxa"/>
          <w:right w:w="0" w:type="dxa"/>
        </w:tblCellMar>
        <w:tblLook w:val="0000" w:noHBand="0" w:noVBand="0" w:firstColumn="0" w:lastRow="0" w:lastColumn="0" w:firstRow="0"/>
      </w:tblPr>
      <w:tblGrid>
        <w:gridCol w:w="2493"/>
        <w:gridCol w:w="966"/>
        <w:gridCol w:w="1078"/>
        <w:gridCol w:w="1584"/>
        <w:gridCol w:w="1078"/>
        <w:gridCol w:w="1359"/>
        <w:gridCol w:w="1080"/>
        <w:gridCol w:w="7"/>
      </w:tblGrid>
      <w:tr>
        <w:trPr/>
        <w:tc>
          <w:tcPr>
            <w:tcW w:w="2493"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2044"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266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2439"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7" w:type="dxa"/>
            <w:vMerge w:val="restart"/>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r>
          </w:p>
        </w:tc>
      </w:tr>
      <w:tr>
        <w:trPr/>
        <w:tc>
          <w:tcPr>
            <w:tcW w:w="2493" w:type="dxa"/>
            <w:vMerge w:val="continue"/>
            <w:tcBorders/>
          </w:tcPr>
          <w:p>
            <w:pPr>
              <w:pStyle w:val="TableContents"/>
              <w:bidi w:val="0"/>
              <w:jc w:val="left"/>
              <w:rPr>
                <w:color w:val="000000"/>
                <w:sz w:val="20"/>
                <w:szCs w:val="20"/>
              </w:rPr>
            </w:pPr>
            <w:r>
              <w:rPr>
                <w:color w:val="000000"/>
                <w:sz w:val="20"/>
                <w:szCs w:val="20"/>
              </w:rPr>
            </w:r>
          </w:p>
        </w:tc>
        <w:tc>
          <w:tcPr>
            <w:tcW w:w="966" w:type="dxa"/>
            <w:tcBorders/>
          </w:tcPr>
          <w:p>
            <w:pPr>
              <w:pStyle w:val="TableContents"/>
              <w:bidi w:val="0"/>
              <w:jc w:val="left"/>
              <w:rPr>
                <w:sz w:val="20"/>
                <w:szCs w:val="20"/>
                <w:u w:val="single"/>
              </w:rPr>
            </w:pPr>
            <w:r>
              <w:rPr>
                <w:sz w:val="20"/>
                <w:szCs w:val="20"/>
                <w:u w:val="single"/>
              </w:rPr>
              <w:t>Acc</w:t>
            </w:r>
          </w:p>
        </w:tc>
        <w:tc>
          <w:tcPr>
            <w:tcW w:w="1078" w:type="dxa"/>
            <w:tcBorders/>
          </w:tcPr>
          <w:p>
            <w:pPr>
              <w:pStyle w:val="TableContents"/>
              <w:bidi w:val="0"/>
              <w:jc w:val="left"/>
              <w:rPr>
                <w:sz w:val="20"/>
                <w:szCs w:val="20"/>
                <w:u w:val="single"/>
              </w:rPr>
            </w:pPr>
            <w:r>
              <w:rPr>
                <w:sz w:val="20"/>
                <w:szCs w:val="20"/>
                <w:u w:val="single"/>
              </w:rPr>
              <w:t>Lev</w:t>
            </w:r>
          </w:p>
        </w:tc>
        <w:tc>
          <w:tcPr>
            <w:tcW w:w="1584" w:type="dxa"/>
            <w:tcBorders/>
          </w:tcPr>
          <w:p>
            <w:pPr>
              <w:pStyle w:val="TableContents"/>
              <w:bidi w:val="0"/>
              <w:jc w:val="left"/>
              <w:rPr>
                <w:color w:val="000000"/>
                <w:sz w:val="20"/>
                <w:szCs w:val="20"/>
                <w:u w:val="single"/>
              </w:rPr>
            </w:pPr>
            <w:r>
              <w:rPr>
                <w:color w:val="000000"/>
                <w:sz w:val="20"/>
                <w:szCs w:val="20"/>
                <w:u w:val="single"/>
              </w:rPr>
              <w:t>Acc</w:t>
            </w:r>
          </w:p>
        </w:tc>
        <w:tc>
          <w:tcPr>
            <w:tcW w:w="1078" w:type="dxa"/>
            <w:tcBorders/>
          </w:tcPr>
          <w:p>
            <w:pPr>
              <w:pStyle w:val="TableContents"/>
              <w:bidi w:val="0"/>
              <w:jc w:val="left"/>
              <w:rPr>
                <w:color w:val="000000"/>
                <w:sz w:val="20"/>
                <w:szCs w:val="20"/>
                <w:u w:val="single"/>
              </w:rPr>
            </w:pPr>
            <w:r>
              <w:rPr>
                <w:color w:val="000000"/>
                <w:sz w:val="20"/>
                <w:szCs w:val="20"/>
                <w:u w:val="single"/>
              </w:rPr>
              <w:t>Lev</w:t>
            </w:r>
          </w:p>
        </w:tc>
        <w:tc>
          <w:tcPr>
            <w:tcW w:w="1359" w:type="dxa"/>
            <w:tcBorders/>
          </w:tcPr>
          <w:p>
            <w:pPr>
              <w:pStyle w:val="TableContents"/>
              <w:bidi w:val="0"/>
              <w:jc w:val="left"/>
              <w:rPr>
                <w:color w:val="000000"/>
                <w:sz w:val="20"/>
                <w:szCs w:val="20"/>
                <w:u w:val="single"/>
              </w:rPr>
            </w:pPr>
            <w:r>
              <w:rPr>
                <w:color w:val="000000"/>
                <w:sz w:val="20"/>
                <w:szCs w:val="20"/>
                <w:u w:val="single"/>
              </w:rPr>
              <w:t>Acc</w:t>
            </w:r>
          </w:p>
        </w:tc>
        <w:tc>
          <w:tcPr>
            <w:tcW w:w="1080" w:type="dxa"/>
            <w:tcBorders/>
          </w:tcPr>
          <w:p>
            <w:pPr>
              <w:pStyle w:val="TableContents"/>
              <w:bidi w:val="0"/>
              <w:jc w:val="left"/>
              <w:rPr>
                <w:color w:val="000000"/>
                <w:sz w:val="20"/>
                <w:szCs w:val="20"/>
                <w:u w:val="single"/>
              </w:rPr>
            </w:pPr>
            <w:r>
              <w:rPr>
                <w:color w:val="000000"/>
                <w:sz w:val="20"/>
                <w:szCs w:val="20"/>
                <w:u w:val="single"/>
              </w:rPr>
              <w:t>Lev</w:t>
            </w:r>
          </w:p>
        </w:tc>
        <w:tc>
          <w:tcPr>
            <w:tcW w:w="7" w:type="dxa"/>
            <w:vMerge w:val="continue"/>
            <w:tcBorders>
              <w:top w:val="single" w:sz="6" w:space="0" w:color="000000"/>
              <w:bottom w:val="single" w:sz="6" w:space="0" w:color="000000"/>
            </w:tcBorders>
          </w:tcPr>
          <w:p>
            <w:pPr>
              <w:pStyle w:val="TableContents"/>
              <w:bidi w:val="0"/>
              <w:jc w:val="left"/>
              <w:rPr>
                <w:color w:val="000000"/>
                <w:sz w:val="20"/>
                <w:szCs w:val="20"/>
                <w:u w:val="single"/>
              </w:rPr>
            </w:pPr>
            <w:r>
              <w:rPr>
                <w:color w:val="000000"/>
                <w:sz w:val="20"/>
                <w:szCs w:val="20"/>
                <w:u w:val="single"/>
              </w:rPr>
            </w:r>
          </w:p>
        </w:tc>
      </w:tr>
      <w:tr>
        <w:trPr>
          <w:trHeight w:val="318" w:hRule="atLeast"/>
        </w:trPr>
        <w:tc>
          <w:tcPr>
            <w:tcW w:w="2493" w:type="dxa"/>
            <w:tcBorders/>
          </w:tcPr>
          <w:p>
            <w:pPr>
              <w:pStyle w:val="TableContents"/>
              <w:bidi w:val="0"/>
              <w:jc w:val="left"/>
              <w:rPr>
                <w:i/>
                <w:i/>
                <w:color w:val="000000"/>
                <w:sz w:val="20"/>
                <w:szCs w:val="20"/>
              </w:rPr>
            </w:pPr>
            <w:r>
              <w:rPr>
                <w:i/>
                <w:color w:val="000000"/>
                <w:sz w:val="20"/>
                <w:szCs w:val="20"/>
              </w:rPr>
              <w:t>Unaugmented</w:t>
            </w:r>
          </w:p>
        </w:tc>
        <w:tc>
          <w:tcPr>
            <w:tcW w:w="966" w:type="dxa"/>
            <w:tcBorders/>
          </w:tcPr>
          <w:p>
            <w:pPr>
              <w:pStyle w:val="TableContents"/>
              <w:bidi w:val="0"/>
              <w:jc w:val="right"/>
              <w:rPr>
                <w:sz w:val="20"/>
                <w:szCs w:val="20"/>
              </w:rPr>
            </w:pPr>
            <w:r>
              <w:rPr>
                <w:sz w:val="20"/>
                <w:szCs w:val="20"/>
              </w:rPr>
              <w:t>83.03</w:t>
            </w:r>
          </w:p>
        </w:tc>
        <w:tc>
          <w:tcPr>
            <w:tcW w:w="1078" w:type="dxa"/>
            <w:tcBorders/>
          </w:tcPr>
          <w:p>
            <w:pPr>
              <w:pStyle w:val="TableContents"/>
              <w:bidi w:val="0"/>
              <w:jc w:val="right"/>
              <w:rPr>
                <w:sz w:val="20"/>
                <w:szCs w:val="20"/>
              </w:rPr>
            </w:pPr>
            <w:r>
              <w:rPr>
                <w:sz w:val="20"/>
                <w:szCs w:val="20"/>
              </w:rPr>
              <w:t>0.34</w:t>
            </w:r>
          </w:p>
        </w:tc>
        <w:tc>
          <w:tcPr>
            <w:tcW w:w="1584" w:type="dxa"/>
            <w:tcBorders/>
          </w:tcPr>
          <w:p>
            <w:pPr>
              <w:pStyle w:val="TableContents"/>
              <w:bidi w:val="0"/>
              <w:jc w:val="right"/>
              <w:rPr>
                <w:sz w:val="20"/>
                <w:szCs w:val="20"/>
              </w:rPr>
            </w:pPr>
            <w:r>
              <w:rPr>
                <w:sz w:val="20"/>
                <w:szCs w:val="20"/>
              </w:rPr>
              <w:t>91.89</w:t>
            </w:r>
          </w:p>
        </w:tc>
        <w:tc>
          <w:tcPr>
            <w:tcW w:w="1078" w:type="dxa"/>
            <w:tcBorders/>
          </w:tcPr>
          <w:p>
            <w:pPr>
              <w:pStyle w:val="TableContents"/>
              <w:bidi w:val="0"/>
              <w:jc w:val="right"/>
              <w:rPr>
                <w:sz w:val="20"/>
                <w:szCs w:val="20"/>
              </w:rPr>
            </w:pPr>
            <w:r>
              <w:rPr>
                <w:sz w:val="20"/>
                <w:szCs w:val="20"/>
              </w:rPr>
              <w:t>0.14</w:t>
            </w:r>
          </w:p>
        </w:tc>
        <w:tc>
          <w:tcPr>
            <w:tcW w:w="1359" w:type="dxa"/>
            <w:tcBorders/>
          </w:tcPr>
          <w:p>
            <w:pPr>
              <w:pStyle w:val="TableContents"/>
              <w:bidi w:val="0"/>
              <w:jc w:val="right"/>
              <w:rPr>
                <w:sz w:val="20"/>
                <w:szCs w:val="20"/>
              </w:rPr>
            </w:pPr>
            <w:r>
              <w:rPr>
                <w:sz w:val="20"/>
                <w:szCs w:val="20"/>
              </w:rPr>
              <w:t>94.88</w:t>
            </w:r>
          </w:p>
        </w:tc>
        <w:tc>
          <w:tcPr>
            <w:tcW w:w="1080" w:type="dxa"/>
            <w:tcBorders/>
          </w:tcPr>
          <w:p>
            <w:pPr>
              <w:pStyle w:val="TableContents"/>
              <w:bidi w:val="0"/>
              <w:jc w:val="right"/>
              <w:rPr>
                <w:sz w:val="20"/>
                <w:szCs w:val="20"/>
              </w:rPr>
            </w:pPr>
            <w:r>
              <w:rPr>
                <w:sz w:val="20"/>
                <w:szCs w:val="20"/>
              </w:rPr>
              <w:t>0.07</w:t>
            </w:r>
          </w:p>
        </w:tc>
        <w:tc>
          <w:tcPr>
            <w:tcW w:w="7"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3" w:type="dxa"/>
            <w:tcBorders>
              <w:bottom w:val="single" w:sz="6" w:space="0" w:color="000000"/>
            </w:tcBorders>
          </w:tcPr>
          <w:p>
            <w:pPr>
              <w:pStyle w:val="TableContents"/>
              <w:bidi w:val="0"/>
              <w:jc w:val="left"/>
              <w:rPr>
                <w:color w:val="808080"/>
                <w:sz w:val="20"/>
                <w:szCs w:val="20"/>
              </w:rPr>
            </w:pPr>
            <w:r>
              <w:rPr>
                <w:i/>
                <w:color w:val="808080"/>
                <w:sz w:val="20"/>
                <w:szCs w:val="20"/>
              </w:rPr>
              <w:t>Random-Augmented*</w:t>
            </w:r>
          </w:p>
        </w:tc>
        <w:tc>
          <w:tcPr>
            <w:tcW w:w="966" w:type="dxa"/>
            <w:tcBorders>
              <w:bottom w:val="single" w:sz="6" w:space="0" w:color="000000"/>
            </w:tcBorders>
          </w:tcPr>
          <w:p>
            <w:pPr>
              <w:pStyle w:val="TableContents"/>
              <w:bidi w:val="0"/>
              <w:jc w:val="right"/>
              <w:rPr>
                <w:color w:val="808080"/>
                <w:sz w:val="20"/>
                <w:szCs w:val="20"/>
              </w:rPr>
            </w:pPr>
            <w:r>
              <w:rPr>
                <w:color w:val="808080"/>
                <w:sz w:val="20"/>
                <w:szCs w:val="20"/>
              </w:rPr>
              <w:t>30.35</w:t>
            </w:r>
          </w:p>
        </w:tc>
        <w:tc>
          <w:tcPr>
            <w:tcW w:w="1078" w:type="dxa"/>
            <w:tcBorders>
              <w:bottom w:val="single" w:sz="6" w:space="0" w:color="000000"/>
            </w:tcBorders>
          </w:tcPr>
          <w:p>
            <w:pPr>
              <w:pStyle w:val="TableContents"/>
              <w:bidi w:val="0"/>
              <w:jc w:val="right"/>
              <w:rPr>
                <w:color w:val="808080"/>
                <w:sz w:val="20"/>
                <w:szCs w:val="20"/>
              </w:rPr>
            </w:pPr>
            <w:r>
              <w:rPr>
                <w:color w:val="808080"/>
                <w:sz w:val="20"/>
                <w:szCs w:val="20"/>
              </w:rPr>
              <w:t>1.18</w:t>
            </w:r>
          </w:p>
        </w:tc>
        <w:tc>
          <w:tcPr>
            <w:tcW w:w="1584" w:type="dxa"/>
            <w:tcBorders>
              <w:bottom w:val="single" w:sz="6" w:space="0" w:color="000000"/>
            </w:tcBorders>
          </w:tcPr>
          <w:p>
            <w:pPr>
              <w:pStyle w:val="TableContents"/>
              <w:bidi w:val="0"/>
              <w:jc w:val="right"/>
              <w:rPr>
                <w:color w:val="808080"/>
                <w:sz w:val="20"/>
                <w:szCs w:val="20"/>
              </w:rPr>
            </w:pPr>
            <w:r>
              <w:rPr>
                <w:color w:val="808080"/>
                <w:sz w:val="20"/>
                <w:szCs w:val="20"/>
              </w:rPr>
              <w:t>19.9</w:t>
            </w:r>
          </w:p>
        </w:tc>
        <w:tc>
          <w:tcPr>
            <w:tcW w:w="1078" w:type="dxa"/>
            <w:tcBorders>
              <w:bottom w:val="single" w:sz="6" w:space="0" w:color="000000"/>
            </w:tcBorders>
          </w:tcPr>
          <w:p>
            <w:pPr>
              <w:pStyle w:val="TableContents"/>
              <w:bidi w:val="0"/>
              <w:jc w:val="right"/>
              <w:rPr>
                <w:color w:val="808080"/>
                <w:sz w:val="20"/>
                <w:szCs w:val="20"/>
              </w:rPr>
            </w:pPr>
            <w:r>
              <w:rPr>
                <w:color w:val="808080"/>
                <w:sz w:val="20"/>
                <w:szCs w:val="20"/>
              </w:rPr>
              <w:t>2.1</w:t>
            </w:r>
          </w:p>
        </w:tc>
        <w:tc>
          <w:tcPr>
            <w:tcW w:w="1359" w:type="dxa"/>
            <w:tcBorders>
              <w:bottom w:val="single" w:sz="6" w:space="0" w:color="000000"/>
            </w:tcBorders>
          </w:tcPr>
          <w:p>
            <w:pPr>
              <w:pStyle w:val="TableContents"/>
              <w:bidi w:val="0"/>
              <w:jc w:val="right"/>
              <w:rPr>
                <w:color w:val="808080"/>
                <w:sz w:val="20"/>
                <w:szCs w:val="20"/>
              </w:rPr>
            </w:pPr>
            <w:r>
              <w:rPr>
                <w:color w:val="808080"/>
                <w:sz w:val="20"/>
                <w:szCs w:val="20"/>
              </w:rPr>
              <w:t>52.84</w:t>
            </w:r>
          </w:p>
        </w:tc>
        <w:tc>
          <w:tcPr>
            <w:tcW w:w="1080" w:type="dxa"/>
            <w:tcBorders>
              <w:bottom w:val="single" w:sz="6" w:space="0" w:color="000000"/>
            </w:tcBorders>
          </w:tcPr>
          <w:p>
            <w:pPr>
              <w:pStyle w:val="TableContents"/>
              <w:bidi w:val="0"/>
              <w:jc w:val="right"/>
              <w:rPr>
                <w:color w:val="808080"/>
                <w:sz w:val="20"/>
                <w:szCs w:val="20"/>
              </w:rPr>
            </w:pPr>
            <w:r>
              <w:rPr>
                <w:color w:val="808080"/>
                <w:sz w:val="20"/>
                <w:szCs w:val="20"/>
              </w:rPr>
              <w:t>0.94</w:t>
            </w:r>
          </w:p>
        </w:tc>
        <w:tc>
          <w:tcPr>
            <w:tcW w:w="7"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3" w:type="dxa"/>
            <w:tcBorders>
              <w:bottom w:val="single" w:sz="6" w:space="0" w:color="000000"/>
            </w:tcBorders>
          </w:tcPr>
          <w:p>
            <w:pPr>
              <w:pStyle w:val="TableContents"/>
              <w:bidi w:val="0"/>
              <w:jc w:val="left"/>
              <w:rPr>
                <w:sz w:val="20"/>
                <w:szCs w:val="20"/>
              </w:rPr>
            </w:pPr>
            <w:r>
              <w:rPr>
                <w:i/>
                <w:color w:val="000000"/>
                <w:sz w:val="20"/>
                <w:szCs w:val="20"/>
              </w:rPr>
              <w:t>Markov-Augmented</w:t>
            </w:r>
          </w:p>
        </w:tc>
        <w:tc>
          <w:tcPr>
            <w:tcW w:w="966" w:type="dxa"/>
            <w:tcBorders>
              <w:bottom w:val="single" w:sz="6" w:space="0" w:color="000000"/>
            </w:tcBorders>
          </w:tcPr>
          <w:p>
            <w:pPr>
              <w:pStyle w:val="TableContents"/>
              <w:bidi w:val="0"/>
              <w:jc w:val="right"/>
              <w:rPr>
                <w:sz w:val="20"/>
                <w:szCs w:val="20"/>
              </w:rPr>
            </w:pPr>
            <w:r>
              <w:rPr>
                <w:sz w:val="20"/>
                <w:szCs w:val="20"/>
              </w:rPr>
              <w:t>84.82</w:t>
            </w:r>
          </w:p>
        </w:tc>
        <w:tc>
          <w:tcPr>
            <w:tcW w:w="1078" w:type="dxa"/>
            <w:tcBorders>
              <w:bottom w:val="single" w:sz="6" w:space="0" w:color="000000"/>
            </w:tcBorders>
          </w:tcPr>
          <w:p>
            <w:pPr>
              <w:pStyle w:val="TableContents"/>
              <w:bidi w:val="0"/>
              <w:jc w:val="right"/>
              <w:rPr>
                <w:sz w:val="20"/>
                <w:szCs w:val="20"/>
              </w:rPr>
            </w:pPr>
            <w:r>
              <w:rPr>
                <w:sz w:val="20"/>
                <w:szCs w:val="20"/>
              </w:rPr>
              <w:t>0.27</w:t>
            </w:r>
          </w:p>
        </w:tc>
        <w:tc>
          <w:tcPr>
            <w:tcW w:w="1584" w:type="dxa"/>
            <w:tcBorders>
              <w:bottom w:val="single" w:sz="6" w:space="0" w:color="000000"/>
            </w:tcBorders>
          </w:tcPr>
          <w:p>
            <w:pPr>
              <w:pStyle w:val="TableContents"/>
              <w:bidi w:val="0"/>
              <w:jc w:val="right"/>
              <w:rPr>
                <w:sz w:val="20"/>
                <w:szCs w:val="20"/>
              </w:rPr>
            </w:pPr>
            <w:r>
              <w:rPr>
                <w:sz w:val="20"/>
                <w:szCs w:val="20"/>
              </w:rPr>
              <w:t>92.79</w:t>
            </w:r>
          </w:p>
        </w:tc>
        <w:tc>
          <w:tcPr>
            <w:tcW w:w="1078" w:type="dxa"/>
            <w:tcBorders>
              <w:bottom w:val="single" w:sz="6" w:space="0" w:color="000000"/>
            </w:tcBorders>
          </w:tcPr>
          <w:p>
            <w:pPr>
              <w:pStyle w:val="TableContents"/>
              <w:bidi w:val="0"/>
              <w:jc w:val="right"/>
              <w:rPr>
                <w:sz w:val="20"/>
                <w:szCs w:val="20"/>
              </w:rPr>
            </w:pPr>
            <w:r>
              <w:rPr>
                <w:sz w:val="20"/>
                <w:szCs w:val="20"/>
              </w:rPr>
              <w:t>0.13</w:t>
            </w:r>
          </w:p>
        </w:tc>
        <w:tc>
          <w:tcPr>
            <w:tcW w:w="1359" w:type="dxa"/>
            <w:tcBorders>
              <w:bottom w:val="single" w:sz="6" w:space="0" w:color="000000"/>
            </w:tcBorders>
          </w:tcPr>
          <w:p>
            <w:pPr>
              <w:pStyle w:val="TableContents"/>
              <w:bidi w:val="0"/>
              <w:jc w:val="right"/>
              <w:rPr>
                <w:sz w:val="20"/>
                <w:szCs w:val="20"/>
              </w:rPr>
            </w:pPr>
            <w:r>
              <w:rPr>
                <w:sz w:val="20"/>
                <w:szCs w:val="20"/>
              </w:rPr>
              <w:t>95.45</w:t>
            </w:r>
          </w:p>
        </w:tc>
        <w:tc>
          <w:tcPr>
            <w:tcW w:w="1080" w:type="dxa"/>
            <w:tcBorders>
              <w:bottom w:val="single" w:sz="6" w:space="0" w:color="000000"/>
            </w:tcBorders>
          </w:tcPr>
          <w:p>
            <w:pPr>
              <w:pStyle w:val="TableContents"/>
              <w:bidi w:val="0"/>
              <w:jc w:val="right"/>
              <w:rPr>
                <w:sz w:val="20"/>
                <w:szCs w:val="20"/>
              </w:rPr>
            </w:pPr>
            <w:r>
              <w:rPr>
                <w:sz w:val="20"/>
                <w:szCs w:val="20"/>
              </w:rPr>
              <w:t>0.08</w:t>
            </w:r>
          </w:p>
        </w:tc>
        <w:tc>
          <w:tcPr>
            <w:tcW w:w="7" w:type="dxa"/>
            <w:vMerge w:val="continue"/>
            <w:tcBorders>
              <w:bottom w:val="single" w:sz="6" w:space="0" w:color="000000"/>
            </w:tcBorders>
          </w:tcPr>
          <w:p>
            <w:pPr>
              <w:pStyle w:val="TableContents"/>
              <w:bidi w:val="0"/>
              <w:jc w:val="right"/>
              <w:rPr>
                <w:sz w:val="20"/>
                <w:szCs w:val="20"/>
              </w:rPr>
            </w:pPr>
            <w:r>
              <w:rPr>
                <w:sz w:val="20"/>
                <w:szCs w:val="20"/>
              </w:rPr>
            </w:r>
          </w:p>
        </w:tc>
      </w:tr>
    </w:tbl>
    <w:p>
      <w:pPr>
        <w:pStyle w:val="Normal"/>
        <w:bidi w:val="0"/>
        <w:jc w:val="left"/>
        <w:rPr>
          <w:b/>
          <w:b/>
          <w:bCs/>
          <w:color w:val="4472C4" w:themeColor="accent5"/>
        </w:rPr>
      </w:pPr>
      <w:r>
        <w:rPr>
          <w:b/>
          <w:bCs/>
          <w:color w:val="4472C4" w:themeColor="accent5"/>
        </w:rPr>
      </w:r>
    </w:p>
    <w:p>
      <w:pPr>
        <w:pStyle w:val="Normal"/>
        <w:bidi w:val="0"/>
        <w:jc w:val="left"/>
        <w:rPr>
          <w:b/>
          <w:b/>
          <w:bCs/>
          <w:color w:val="4472C4" w:themeColor="accent5"/>
        </w:rPr>
      </w:pPr>
      <w:r>
        <w:rPr>
          <w:b/>
          <w:bCs/>
          <w:color w:val="4472C4" w:themeColor="accent5"/>
        </w:rPr>
      </w:r>
    </w:p>
    <w:p>
      <w:pPr>
        <w:pStyle w:val="Normal"/>
        <w:bidi w:val="0"/>
        <w:jc w:val="left"/>
        <w:rPr>
          <w:sz w:val="20"/>
          <w:szCs w:val="20"/>
        </w:rPr>
      </w:pPr>
      <w:r>
        <w:rPr>
          <w:b/>
          <w:bCs/>
          <w:color w:val="4472C4" w:themeColor="accent5"/>
          <w:sz w:val="20"/>
          <w:szCs w:val="20"/>
        </w:rPr>
        <w:t xml:space="preserve">Test Set </w:t>
      </w:r>
      <w:r>
        <w:rPr>
          <w:b/>
          <w:sz w:val="20"/>
          <w:szCs w:val="20"/>
        </w:rPr>
        <w:t xml:space="preserve"> </w:t>
      </w:r>
      <w:bookmarkStart w:id="3" w:name="_GoBack21"/>
      <w:bookmarkEnd w:id="3"/>
    </w:p>
    <w:tbl>
      <w:tblPr>
        <w:tblW w:w="9647" w:type="dxa"/>
        <w:jc w:val="left"/>
        <w:tblInd w:w="0" w:type="dxa"/>
        <w:tblCellMar>
          <w:top w:w="0" w:type="dxa"/>
          <w:left w:w="0" w:type="dxa"/>
          <w:bottom w:w="0" w:type="dxa"/>
          <w:right w:w="0" w:type="dxa"/>
        </w:tblCellMar>
        <w:tblLook w:val="0000" w:noHBand="0" w:noVBand="0" w:firstColumn="0" w:lastRow="0" w:lastColumn="0" w:firstRow="0"/>
      </w:tblPr>
      <w:tblGrid>
        <w:gridCol w:w="2493"/>
        <w:gridCol w:w="966"/>
        <w:gridCol w:w="1078"/>
        <w:gridCol w:w="1584"/>
        <w:gridCol w:w="1078"/>
        <w:gridCol w:w="1359"/>
        <w:gridCol w:w="1080"/>
        <w:gridCol w:w="7"/>
      </w:tblGrid>
      <w:tr>
        <w:trPr/>
        <w:tc>
          <w:tcPr>
            <w:tcW w:w="2493" w:type="dxa"/>
            <w:vMerge w:val="restart"/>
            <w:tcBorders>
              <w:top w:val="single" w:sz="6" w:space="0" w:color="000000"/>
              <w:bottom w:val="single" w:sz="6" w:space="0" w:color="000000"/>
            </w:tcBorders>
          </w:tcPr>
          <w:p>
            <w:pPr>
              <w:pStyle w:val="TableContents"/>
              <w:bidi w:val="0"/>
              <w:jc w:val="left"/>
              <w:rPr>
                <w:sz w:val="20"/>
                <w:szCs w:val="20"/>
              </w:rPr>
            </w:pPr>
            <w:r>
              <w:rPr>
                <w:b/>
                <w:color w:val="000000"/>
                <w:sz w:val="20"/>
                <w:szCs w:val="20"/>
              </w:rPr>
              <w:t>Model</w:t>
            </w:r>
          </w:p>
        </w:tc>
        <w:tc>
          <w:tcPr>
            <w:tcW w:w="2044" w:type="dxa"/>
            <w:gridSpan w:val="2"/>
            <w:tcBorders>
              <w:top w:val="single" w:sz="6" w:space="0" w:color="000000"/>
              <w:bottom w:val="single" w:sz="6" w:space="0" w:color="000000"/>
            </w:tcBorders>
          </w:tcPr>
          <w:p>
            <w:pPr>
              <w:pStyle w:val="TableContents"/>
              <w:bidi w:val="0"/>
              <w:jc w:val="left"/>
              <w:rPr>
                <w:b/>
                <w:b/>
                <w:bCs/>
                <w:sz w:val="20"/>
                <w:szCs w:val="20"/>
              </w:rPr>
            </w:pPr>
            <w:r>
              <w:rPr>
                <w:b/>
                <w:bCs/>
                <w:sz w:val="20"/>
                <w:szCs w:val="20"/>
              </w:rPr>
              <w:t>Ingrian</w:t>
            </w:r>
          </w:p>
        </w:tc>
        <w:tc>
          <w:tcPr>
            <w:tcW w:w="2662"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Murrrinh-Patha</w:t>
            </w:r>
          </w:p>
        </w:tc>
        <w:tc>
          <w:tcPr>
            <w:tcW w:w="2439" w:type="dxa"/>
            <w:gridSpan w:val="2"/>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t>Maltese</w:t>
            </w:r>
          </w:p>
        </w:tc>
        <w:tc>
          <w:tcPr>
            <w:tcW w:w="7" w:type="dxa"/>
            <w:vMerge w:val="restart"/>
            <w:tcBorders>
              <w:top w:val="single" w:sz="6" w:space="0" w:color="000000"/>
              <w:bottom w:val="single" w:sz="6" w:space="0" w:color="000000"/>
            </w:tcBorders>
          </w:tcPr>
          <w:p>
            <w:pPr>
              <w:pStyle w:val="TableContents"/>
              <w:bidi w:val="0"/>
              <w:jc w:val="left"/>
              <w:rPr>
                <w:b/>
                <w:b/>
                <w:color w:val="000000"/>
                <w:sz w:val="20"/>
                <w:szCs w:val="20"/>
              </w:rPr>
            </w:pPr>
            <w:r>
              <w:rPr>
                <w:b/>
                <w:color w:val="000000"/>
                <w:sz w:val="20"/>
                <w:szCs w:val="20"/>
              </w:rPr>
            </w:r>
          </w:p>
        </w:tc>
      </w:tr>
      <w:tr>
        <w:trPr/>
        <w:tc>
          <w:tcPr>
            <w:tcW w:w="2493" w:type="dxa"/>
            <w:vMerge w:val="continue"/>
            <w:tcBorders/>
          </w:tcPr>
          <w:p>
            <w:pPr>
              <w:pStyle w:val="TableContents"/>
              <w:bidi w:val="0"/>
              <w:jc w:val="left"/>
              <w:rPr>
                <w:color w:val="000000"/>
                <w:sz w:val="20"/>
                <w:szCs w:val="20"/>
              </w:rPr>
            </w:pPr>
            <w:r>
              <w:rPr>
                <w:color w:val="000000"/>
                <w:sz w:val="20"/>
                <w:szCs w:val="20"/>
              </w:rPr>
            </w:r>
          </w:p>
        </w:tc>
        <w:tc>
          <w:tcPr>
            <w:tcW w:w="966" w:type="dxa"/>
            <w:tcBorders/>
          </w:tcPr>
          <w:p>
            <w:pPr>
              <w:pStyle w:val="TableContents"/>
              <w:bidi w:val="0"/>
              <w:jc w:val="left"/>
              <w:rPr>
                <w:sz w:val="20"/>
                <w:szCs w:val="20"/>
                <w:u w:val="single"/>
              </w:rPr>
            </w:pPr>
            <w:r>
              <w:rPr>
                <w:sz w:val="20"/>
                <w:szCs w:val="20"/>
                <w:u w:val="single"/>
              </w:rPr>
              <w:t>Acc</w:t>
            </w:r>
          </w:p>
        </w:tc>
        <w:tc>
          <w:tcPr>
            <w:tcW w:w="1078" w:type="dxa"/>
            <w:tcBorders/>
          </w:tcPr>
          <w:p>
            <w:pPr>
              <w:pStyle w:val="TableContents"/>
              <w:bidi w:val="0"/>
              <w:jc w:val="left"/>
              <w:rPr>
                <w:sz w:val="20"/>
                <w:szCs w:val="20"/>
                <w:u w:val="single"/>
              </w:rPr>
            </w:pPr>
            <w:r>
              <w:rPr>
                <w:sz w:val="20"/>
                <w:szCs w:val="20"/>
                <w:u w:val="single"/>
              </w:rPr>
              <w:t>Lev</w:t>
            </w:r>
          </w:p>
        </w:tc>
        <w:tc>
          <w:tcPr>
            <w:tcW w:w="1584" w:type="dxa"/>
            <w:tcBorders/>
          </w:tcPr>
          <w:p>
            <w:pPr>
              <w:pStyle w:val="TableContents"/>
              <w:bidi w:val="0"/>
              <w:jc w:val="left"/>
              <w:rPr>
                <w:color w:val="000000"/>
                <w:sz w:val="20"/>
                <w:szCs w:val="20"/>
                <w:u w:val="single"/>
              </w:rPr>
            </w:pPr>
            <w:r>
              <w:rPr>
                <w:color w:val="000000"/>
                <w:sz w:val="20"/>
                <w:szCs w:val="20"/>
                <w:u w:val="single"/>
              </w:rPr>
              <w:t>Acc</w:t>
            </w:r>
          </w:p>
        </w:tc>
        <w:tc>
          <w:tcPr>
            <w:tcW w:w="1078" w:type="dxa"/>
            <w:tcBorders/>
          </w:tcPr>
          <w:p>
            <w:pPr>
              <w:pStyle w:val="TableContents"/>
              <w:bidi w:val="0"/>
              <w:jc w:val="left"/>
              <w:rPr>
                <w:color w:val="000000"/>
                <w:sz w:val="20"/>
                <w:szCs w:val="20"/>
                <w:u w:val="single"/>
              </w:rPr>
            </w:pPr>
            <w:r>
              <w:rPr>
                <w:color w:val="000000"/>
                <w:sz w:val="20"/>
                <w:szCs w:val="20"/>
                <w:u w:val="single"/>
              </w:rPr>
              <w:t>Lev</w:t>
            </w:r>
          </w:p>
        </w:tc>
        <w:tc>
          <w:tcPr>
            <w:tcW w:w="1359" w:type="dxa"/>
            <w:tcBorders/>
          </w:tcPr>
          <w:p>
            <w:pPr>
              <w:pStyle w:val="TableContents"/>
              <w:bidi w:val="0"/>
              <w:jc w:val="left"/>
              <w:rPr>
                <w:color w:val="000000"/>
                <w:sz w:val="20"/>
                <w:szCs w:val="20"/>
                <w:u w:val="single"/>
              </w:rPr>
            </w:pPr>
            <w:r>
              <w:rPr>
                <w:color w:val="000000"/>
                <w:sz w:val="20"/>
                <w:szCs w:val="20"/>
                <w:u w:val="single"/>
              </w:rPr>
              <w:t>Acc</w:t>
            </w:r>
          </w:p>
        </w:tc>
        <w:tc>
          <w:tcPr>
            <w:tcW w:w="1080" w:type="dxa"/>
            <w:tcBorders/>
          </w:tcPr>
          <w:p>
            <w:pPr>
              <w:pStyle w:val="TableContents"/>
              <w:bidi w:val="0"/>
              <w:jc w:val="left"/>
              <w:rPr>
                <w:color w:val="000000"/>
                <w:sz w:val="20"/>
                <w:szCs w:val="20"/>
                <w:u w:val="single"/>
              </w:rPr>
            </w:pPr>
            <w:r>
              <w:rPr>
                <w:color w:val="000000"/>
                <w:sz w:val="20"/>
                <w:szCs w:val="20"/>
                <w:u w:val="single"/>
              </w:rPr>
              <w:t>Lev</w:t>
            </w:r>
          </w:p>
        </w:tc>
        <w:tc>
          <w:tcPr>
            <w:tcW w:w="7" w:type="dxa"/>
            <w:vMerge w:val="continue"/>
            <w:tcBorders>
              <w:top w:val="single" w:sz="6" w:space="0" w:color="000000"/>
              <w:bottom w:val="single" w:sz="6" w:space="0" w:color="000000"/>
            </w:tcBorders>
          </w:tcPr>
          <w:p>
            <w:pPr>
              <w:pStyle w:val="TableContents"/>
              <w:bidi w:val="0"/>
              <w:jc w:val="left"/>
              <w:rPr>
                <w:color w:val="000000"/>
                <w:sz w:val="20"/>
                <w:szCs w:val="20"/>
                <w:u w:val="single"/>
              </w:rPr>
            </w:pPr>
            <w:r>
              <w:rPr>
                <w:color w:val="000000"/>
                <w:sz w:val="20"/>
                <w:szCs w:val="20"/>
                <w:u w:val="single"/>
              </w:rPr>
            </w:r>
          </w:p>
        </w:tc>
      </w:tr>
      <w:tr>
        <w:trPr>
          <w:trHeight w:val="318" w:hRule="atLeast"/>
        </w:trPr>
        <w:tc>
          <w:tcPr>
            <w:tcW w:w="2493" w:type="dxa"/>
            <w:tcBorders/>
          </w:tcPr>
          <w:p>
            <w:pPr>
              <w:pStyle w:val="TableContents"/>
              <w:bidi w:val="0"/>
              <w:jc w:val="left"/>
              <w:rPr>
                <w:i/>
                <w:i/>
                <w:color w:val="000000"/>
                <w:sz w:val="20"/>
                <w:szCs w:val="20"/>
              </w:rPr>
            </w:pPr>
            <w:r>
              <w:rPr>
                <w:i/>
                <w:color w:val="000000"/>
                <w:sz w:val="20"/>
                <w:szCs w:val="20"/>
              </w:rPr>
              <w:t>Unaugmented</w:t>
            </w:r>
          </w:p>
        </w:tc>
        <w:tc>
          <w:tcPr>
            <w:tcW w:w="966" w:type="dxa"/>
            <w:tcBorders/>
          </w:tcPr>
          <w:p>
            <w:pPr>
              <w:pStyle w:val="TableContents"/>
              <w:bidi w:val="0"/>
              <w:jc w:val="right"/>
              <w:rPr>
                <w:sz w:val="20"/>
                <w:szCs w:val="20"/>
              </w:rPr>
            </w:pPr>
            <w:r>
              <w:rPr>
                <w:sz w:val="20"/>
                <w:szCs w:val="20"/>
              </w:rPr>
              <w:t>79.91</w:t>
            </w:r>
          </w:p>
        </w:tc>
        <w:tc>
          <w:tcPr>
            <w:tcW w:w="1078" w:type="dxa"/>
            <w:tcBorders/>
          </w:tcPr>
          <w:p>
            <w:pPr>
              <w:pStyle w:val="TableContents"/>
              <w:bidi w:val="0"/>
              <w:jc w:val="right"/>
              <w:rPr>
                <w:sz w:val="20"/>
                <w:szCs w:val="20"/>
              </w:rPr>
            </w:pPr>
            <w:r>
              <w:rPr>
                <w:sz w:val="20"/>
                <w:szCs w:val="20"/>
              </w:rPr>
              <w:t>0.36</w:t>
            </w:r>
          </w:p>
        </w:tc>
        <w:tc>
          <w:tcPr>
            <w:tcW w:w="1584" w:type="dxa"/>
            <w:tcBorders/>
          </w:tcPr>
          <w:p>
            <w:pPr>
              <w:pStyle w:val="TableContents"/>
              <w:bidi w:val="0"/>
              <w:jc w:val="right"/>
              <w:rPr>
                <w:sz w:val="20"/>
                <w:szCs w:val="20"/>
              </w:rPr>
            </w:pPr>
            <w:r>
              <w:rPr>
                <w:sz w:val="20"/>
                <w:szCs w:val="20"/>
              </w:rPr>
              <w:t>87.83</w:t>
            </w:r>
          </w:p>
        </w:tc>
        <w:tc>
          <w:tcPr>
            <w:tcW w:w="1078" w:type="dxa"/>
            <w:tcBorders/>
          </w:tcPr>
          <w:p>
            <w:pPr>
              <w:pStyle w:val="TableContents"/>
              <w:bidi w:val="0"/>
              <w:jc w:val="right"/>
              <w:rPr>
                <w:sz w:val="20"/>
                <w:szCs w:val="20"/>
              </w:rPr>
            </w:pPr>
            <w:r>
              <w:rPr>
                <w:sz w:val="20"/>
                <w:szCs w:val="20"/>
              </w:rPr>
              <w:t>0.28</w:t>
            </w:r>
          </w:p>
        </w:tc>
        <w:tc>
          <w:tcPr>
            <w:tcW w:w="1359" w:type="dxa"/>
            <w:tcBorders/>
          </w:tcPr>
          <w:p>
            <w:pPr>
              <w:pStyle w:val="TableContents"/>
              <w:bidi w:val="0"/>
              <w:jc w:val="right"/>
              <w:rPr>
                <w:sz w:val="20"/>
                <w:szCs w:val="20"/>
              </w:rPr>
            </w:pPr>
            <w:r>
              <w:rPr>
                <w:sz w:val="20"/>
                <w:szCs w:val="20"/>
              </w:rPr>
              <w:t>93.76</w:t>
            </w:r>
          </w:p>
        </w:tc>
        <w:tc>
          <w:tcPr>
            <w:tcW w:w="1080" w:type="dxa"/>
            <w:tcBorders/>
          </w:tcPr>
          <w:p>
            <w:pPr>
              <w:pStyle w:val="TableContents"/>
              <w:bidi w:val="0"/>
              <w:jc w:val="right"/>
              <w:rPr>
                <w:sz w:val="20"/>
                <w:szCs w:val="20"/>
              </w:rPr>
            </w:pPr>
            <w:r>
              <w:rPr>
                <w:sz w:val="20"/>
                <w:szCs w:val="20"/>
              </w:rPr>
              <w:t>0.09</w:t>
            </w:r>
          </w:p>
        </w:tc>
        <w:tc>
          <w:tcPr>
            <w:tcW w:w="7"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3" w:type="dxa"/>
            <w:tcBorders>
              <w:bottom w:val="single" w:sz="6" w:space="0" w:color="000000"/>
            </w:tcBorders>
          </w:tcPr>
          <w:p>
            <w:pPr>
              <w:pStyle w:val="TableContents"/>
              <w:bidi w:val="0"/>
              <w:jc w:val="left"/>
              <w:rPr>
                <w:i/>
                <w:i/>
                <w:color w:val="808080"/>
                <w:sz w:val="20"/>
                <w:szCs w:val="20"/>
              </w:rPr>
            </w:pPr>
            <w:r>
              <w:rPr>
                <w:i/>
                <w:color w:val="808080"/>
                <w:sz w:val="20"/>
                <w:szCs w:val="20"/>
              </w:rPr>
              <w:t>Random-Augmented*</w:t>
            </w:r>
          </w:p>
        </w:tc>
        <w:tc>
          <w:tcPr>
            <w:tcW w:w="966" w:type="dxa"/>
            <w:tcBorders>
              <w:bottom w:val="single" w:sz="6" w:space="0" w:color="000000"/>
            </w:tcBorders>
          </w:tcPr>
          <w:p>
            <w:pPr>
              <w:pStyle w:val="TableContents"/>
              <w:bidi w:val="0"/>
              <w:jc w:val="right"/>
              <w:rPr>
                <w:b/>
                <w:b/>
                <w:bCs/>
                <w:color w:val="808080"/>
                <w:sz w:val="20"/>
                <w:szCs w:val="20"/>
              </w:rPr>
            </w:pPr>
            <w:r>
              <w:rPr>
                <w:b/>
                <w:bCs/>
                <w:color w:val="808080"/>
                <w:sz w:val="20"/>
                <w:szCs w:val="20"/>
              </w:rPr>
              <w:t>26.78</w:t>
            </w:r>
          </w:p>
        </w:tc>
        <w:tc>
          <w:tcPr>
            <w:tcW w:w="1078" w:type="dxa"/>
            <w:tcBorders>
              <w:bottom w:val="single" w:sz="6" w:space="0" w:color="000000"/>
            </w:tcBorders>
          </w:tcPr>
          <w:p>
            <w:pPr>
              <w:pStyle w:val="TableContents"/>
              <w:bidi w:val="0"/>
              <w:jc w:val="right"/>
              <w:rPr>
                <w:color w:val="808080"/>
                <w:sz w:val="20"/>
                <w:szCs w:val="20"/>
              </w:rPr>
            </w:pPr>
            <w:r>
              <w:rPr>
                <w:color w:val="808080"/>
                <w:sz w:val="20"/>
                <w:szCs w:val="20"/>
              </w:rPr>
              <w:t>2.07</w:t>
            </w:r>
          </w:p>
        </w:tc>
        <w:tc>
          <w:tcPr>
            <w:tcW w:w="1584" w:type="dxa"/>
            <w:tcBorders>
              <w:bottom w:val="single" w:sz="6" w:space="0" w:color="000000"/>
            </w:tcBorders>
          </w:tcPr>
          <w:p>
            <w:pPr>
              <w:pStyle w:val="TableContents"/>
              <w:bidi w:val="0"/>
              <w:jc w:val="right"/>
              <w:rPr>
                <w:color w:val="808080"/>
                <w:sz w:val="20"/>
                <w:szCs w:val="20"/>
              </w:rPr>
            </w:pPr>
            <w:r>
              <w:rPr>
                <w:color w:val="808080"/>
                <w:sz w:val="20"/>
                <w:szCs w:val="20"/>
              </w:rPr>
              <w:t>13.96</w:t>
            </w:r>
          </w:p>
        </w:tc>
        <w:tc>
          <w:tcPr>
            <w:tcW w:w="1078" w:type="dxa"/>
            <w:tcBorders>
              <w:bottom w:val="single" w:sz="6" w:space="0" w:color="000000"/>
            </w:tcBorders>
          </w:tcPr>
          <w:p>
            <w:pPr>
              <w:pStyle w:val="TableContents"/>
              <w:bidi w:val="0"/>
              <w:jc w:val="right"/>
              <w:rPr>
                <w:color w:val="808080"/>
                <w:sz w:val="20"/>
                <w:szCs w:val="20"/>
              </w:rPr>
            </w:pPr>
            <w:r>
              <w:rPr>
                <w:color w:val="808080"/>
                <w:sz w:val="20"/>
                <w:szCs w:val="20"/>
              </w:rPr>
              <w:t>2.58</w:t>
            </w:r>
          </w:p>
        </w:tc>
        <w:tc>
          <w:tcPr>
            <w:tcW w:w="1359" w:type="dxa"/>
            <w:tcBorders>
              <w:bottom w:val="single" w:sz="6" w:space="0" w:color="000000"/>
            </w:tcBorders>
          </w:tcPr>
          <w:p>
            <w:pPr>
              <w:pStyle w:val="TableContents"/>
              <w:bidi w:val="0"/>
              <w:jc w:val="right"/>
              <w:rPr>
                <w:color w:val="808080"/>
                <w:sz w:val="20"/>
                <w:szCs w:val="20"/>
              </w:rPr>
            </w:pPr>
            <w:r>
              <w:rPr>
                <w:color w:val="808080"/>
                <w:sz w:val="20"/>
                <w:szCs w:val="20"/>
              </w:rPr>
              <w:t>58.07</w:t>
            </w:r>
          </w:p>
        </w:tc>
        <w:tc>
          <w:tcPr>
            <w:tcW w:w="1080" w:type="dxa"/>
            <w:tcBorders>
              <w:bottom w:val="single" w:sz="6" w:space="0" w:color="000000"/>
            </w:tcBorders>
          </w:tcPr>
          <w:p>
            <w:pPr>
              <w:pStyle w:val="TableContents"/>
              <w:bidi w:val="0"/>
              <w:jc w:val="right"/>
              <w:rPr>
                <w:color w:val="808080"/>
                <w:sz w:val="20"/>
                <w:szCs w:val="20"/>
              </w:rPr>
            </w:pPr>
            <w:r>
              <w:rPr>
                <w:color w:val="808080"/>
                <w:sz w:val="20"/>
                <w:szCs w:val="20"/>
              </w:rPr>
              <w:t>0.89</w:t>
            </w:r>
          </w:p>
        </w:tc>
        <w:tc>
          <w:tcPr>
            <w:tcW w:w="7" w:type="dxa"/>
            <w:vMerge w:val="continue"/>
            <w:tcBorders>
              <w:top w:val="single" w:sz="6" w:space="0" w:color="000000"/>
              <w:bottom w:val="single" w:sz="6" w:space="0" w:color="000000"/>
            </w:tcBorders>
          </w:tcPr>
          <w:p>
            <w:pPr>
              <w:pStyle w:val="TableContents"/>
              <w:bidi w:val="0"/>
              <w:jc w:val="right"/>
              <w:rPr>
                <w:sz w:val="20"/>
                <w:szCs w:val="20"/>
              </w:rPr>
            </w:pPr>
            <w:r>
              <w:rPr>
                <w:sz w:val="20"/>
                <w:szCs w:val="20"/>
              </w:rPr>
            </w:r>
          </w:p>
        </w:tc>
      </w:tr>
      <w:tr>
        <w:trPr/>
        <w:tc>
          <w:tcPr>
            <w:tcW w:w="2493" w:type="dxa"/>
            <w:tcBorders>
              <w:bottom w:val="single" w:sz="6" w:space="0" w:color="000000"/>
            </w:tcBorders>
          </w:tcPr>
          <w:p>
            <w:pPr>
              <w:pStyle w:val="TableContents"/>
              <w:bidi w:val="0"/>
              <w:jc w:val="left"/>
              <w:rPr>
                <w:sz w:val="20"/>
                <w:szCs w:val="20"/>
              </w:rPr>
            </w:pPr>
            <w:r>
              <w:rPr>
                <w:i/>
                <w:color w:val="000000"/>
                <w:sz w:val="20"/>
                <w:szCs w:val="20"/>
              </w:rPr>
              <w:t>Markov-Augmented</w:t>
            </w:r>
          </w:p>
        </w:tc>
        <w:tc>
          <w:tcPr>
            <w:tcW w:w="966" w:type="dxa"/>
            <w:tcBorders>
              <w:bottom w:val="single" w:sz="6" w:space="0" w:color="000000"/>
            </w:tcBorders>
          </w:tcPr>
          <w:p>
            <w:pPr>
              <w:pStyle w:val="TableContents"/>
              <w:bidi w:val="0"/>
              <w:jc w:val="right"/>
              <w:rPr>
                <w:b/>
                <w:b/>
                <w:bCs/>
                <w:color w:val="000000"/>
                <w:sz w:val="20"/>
                <w:szCs w:val="20"/>
              </w:rPr>
            </w:pPr>
            <w:r>
              <w:rPr>
                <w:b/>
                <w:bCs/>
                <w:color w:val="000000"/>
                <w:sz w:val="20"/>
                <w:szCs w:val="20"/>
              </w:rPr>
              <w:t>83.48</w:t>
            </w:r>
          </w:p>
        </w:tc>
        <w:tc>
          <w:tcPr>
            <w:tcW w:w="1078" w:type="dxa"/>
            <w:tcBorders>
              <w:bottom w:val="single" w:sz="6" w:space="0" w:color="000000"/>
            </w:tcBorders>
          </w:tcPr>
          <w:p>
            <w:pPr>
              <w:pStyle w:val="TableContents"/>
              <w:bidi w:val="0"/>
              <w:jc w:val="right"/>
              <w:rPr>
                <w:color w:val="000000"/>
                <w:sz w:val="20"/>
                <w:szCs w:val="20"/>
              </w:rPr>
            </w:pPr>
            <w:r>
              <w:rPr>
                <w:color w:val="000000"/>
                <w:sz w:val="20"/>
                <w:szCs w:val="20"/>
              </w:rPr>
              <w:t>0.37</w:t>
            </w:r>
          </w:p>
        </w:tc>
        <w:tc>
          <w:tcPr>
            <w:tcW w:w="1584" w:type="dxa"/>
            <w:tcBorders>
              <w:bottom w:val="single" w:sz="6" w:space="0" w:color="000000"/>
            </w:tcBorders>
          </w:tcPr>
          <w:p>
            <w:pPr>
              <w:pStyle w:val="TableContents"/>
              <w:bidi w:val="0"/>
              <w:jc w:val="right"/>
              <w:rPr>
                <w:sz w:val="20"/>
                <w:szCs w:val="20"/>
              </w:rPr>
            </w:pPr>
            <w:r>
              <w:rPr>
                <w:sz w:val="20"/>
                <w:szCs w:val="20"/>
              </w:rPr>
              <w:t>88.29</w:t>
            </w:r>
          </w:p>
        </w:tc>
        <w:tc>
          <w:tcPr>
            <w:tcW w:w="1078" w:type="dxa"/>
            <w:tcBorders>
              <w:bottom w:val="single" w:sz="6" w:space="0" w:color="000000"/>
            </w:tcBorders>
          </w:tcPr>
          <w:p>
            <w:pPr>
              <w:pStyle w:val="TableContents"/>
              <w:bidi w:val="0"/>
              <w:jc w:val="right"/>
              <w:rPr>
                <w:sz w:val="20"/>
                <w:szCs w:val="20"/>
              </w:rPr>
            </w:pPr>
            <w:r>
              <w:rPr>
                <w:sz w:val="20"/>
                <w:szCs w:val="20"/>
              </w:rPr>
              <w:t>0.26</w:t>
            </w:r>
          </w:p>
        </w:tc>
        <w:tc>
          <w:tcPr>
            <w:tcW w:w="1359" w:type="dxa"/>
            <w:tcBorders>
              <w:bottom w:val="single" w:sz="6" w:space="0" w:color="000000"/>
            </w:tcBorders>
          </w:tcPr>
          <w:p>
            <w:pPr>
              <w:pStyle w:val="TableContents"/>
              <w:bidi w:val="0"/>
              <w:jc w:val="right"/>
              <w:rPr>
                <w:sz w:val="20"/>
                <w:szCs w:val="20"/>
              </w:rPr>
            </w:pPr>
            <w:r>
              <w:rPr>
                <w:sz w:val="20"/>
                <w:szCs w:val="20"/>
              </w:rPr>
              <w:t>94.62</w:t>
            </w:r>
          </w:p>
        </w:tc>
        <w:tc>
          <w:tcPr>
            <w:tcW w:w="1080" w:type="dxa"/>
            <w:tcBorders>
              <w:bottom w:val="single" w:sz="6" w:space="0" w:color="000000"/>
            </w:tcBorders>
          </w:tcPr>
          <w:p>
            <w:pPr>
              <w:pStyle w:val="TableContents"/>
              <w:bidi w:val="0"/>
              <w:jc w:val="right"/>
              <w:rPr>
                <w:sz w:val="20"/>
                <w:szCs w:val="20"/>
              </w:rPr>
            </w:pPr>
            <w:r>
              <w:rPr>
                <w:sz w:val="20"/>
                <w:szCs w:val="20"/>
              </w:rPr>
              <w:t>0.07</w:t>
            </w:r>
          </w:p>
        </w:tc>
        <w:tc>
          <w:tcPr>
            <w:tcW w:w="7" w:type="dxa"/>
            <w:vMerge w:val="continue"/>
            <w:tcBorders>
              <w:bottom w:val="single" w:sz="6" w:space="0" w:color="000000"/>
            </w:tcBorders>
          </w:tcPr>
          <w:p>
            <w:pPr>
              <w:pStyle w:val="TableContents"/>
              <w:bidi w:val="0"/>
              <w:jc w:val="right"/>
              <w:rPr>
                <w:sz w:val="20"/>
                <w:szCs w:val="20"/>
              </w:rPr>
            </w:pPr>
            <w:r>
              <w:rPr>
                <w:sz w:val="20"/>
                <w:szCs w:val="20"/>
              </w:rPr>
            </w:r>
          </w:p>
        </w:tc>
      </w:tr>
    </w:tbl>
    <w:p>
      <w:pPr>
        <w:pStyle w:val="Normal"/>
        <w:bidi w:val="0"/>
        <w:jc w:val="center"/>
        <w:rPr/>
      </w:pPr>
      <w:r>
        <w:drawing>
          <wp:anchor behindDoc="0" distT="0" distB="0" distL="0" distR="0" simplePos="0" locked="0" layoutInCell="1" allowOverlap="1" relativeHeight="6">
            <wp:simplePos x="0" y="0"/>
            <wp:positionH relativeFrom="column">
              <wp:posOffset>-100965</wp:posOffset>
            </wp:positionH>
            <wp:positionV relativeFrom="paragraph">
              <wp:posOffset>63500</wp:posOffset>
            </wp:positionV>
            <wp:extent cx="6624320" cy="228092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624320" cy="2280920"/>
                    </a:xfrm>
                    <a:prstGeom prst="rect">
                      <a:avLst/>
                    </a:prstGeom>
                  </pic:spPr>
                </pic:pic>
              </a:graphicData>
            </a:graphic>
          </wp:anchor>
        </w:drawing>
      </w:r>
      <w:r>
        <w:rPr>
          <w:i/>
          <w:iCs/>
          <w:color w:val="000000"/>
          <w:sz w:val="20"/>
          <w:szCs w:val="20"/>
        </w:rPr>
        <w:t>F</w:t>
      </w:r>
      <w:r>
        <w:rPr>
          <w:i/>
          <w:iCs/>
          <w:color w:val="000000"/>
          <w:sz w:val="20"/>
          <w:szCs w:val="20"/>
        </w:rPr>
        <w:t>igure 4.2.1 – Impact of augmented data on prediction errors, broken down by word length</w:t>
      </w:r>
    </w:p>
    <w:p>
      <w:pPr>
        <w:pStyle w:val="Normal"/>
        <w:bidi w:val="0"/>
        <w:jc w:val="center"/>
        <w:rPr>
          <w:i/>
          <w:i/>
          <w:iCs/>
          <w:color w:val="000000"/>
          <w:sz w:val="20"/>
          <w:szCs w:val="20"/>
        </w:rPr>
      </w:pPr>
      <w:r>
        <w:rPr>
          <w:i/>
          <w:iCs/>
          <w:color w:val="000000"/>
          <w:sz w:val="20"/>
          <w:szCs w:val="20"/>
        </w:rPr>
      </w:r>
    </w:p>
    <w:p>
      <w:pPr>
        <w:pStyle w:val="Normal"/>
        <w:bidi w:val="0"/>
        <w:jc w:val="left"/>
        <w:rPr/>
      </w:pPr>
      <w:r>
        <w:rPr>
          <w:color w:val="000000"/>
          <w:sz w:val="24"/>
          <w:szCs w:val="24"/>
          <w:u w:val="single"/>
        </w:rPr>
        <w:t xml:space="preserve">Analysis </w:t>
      </w:r>
      <w:r>
        <w:rPr>
          <w:color w:val="000000"/>
          <w:sz w:val="20"/>
          <w:szCs w:val="20"/>
          <w:u w:val="single"/>
        </w:rPr>
        <w:br/>
      </w:r>
    </w:p>
    <w:p>
      <w:pPr>
        <w:pStyle w:val="Normal"/>
        <w:bidi w:val="0"/>
        <w:jc w:val="left"/>
        <w:rPr>
          <w:sz w:val="20"/>
          <w:szCs w:val="20"/>
        </w:rPr>
      </w:pPr>
      <w:r>
        <w:rPr>
          <w:color w:val="000000"/>
          <w:sz w:val="20"/>
          <w:szCs w:val="20"/>
        </w:rPr>
        <w:t>Inspecting the raw results, we see a marginal improvement in performance of the transformer model using the augmented data, with the exception of Ingrian which sees a relatively large boost of around 3.5% accuracy. Inspecting this further, we see that the number of errors relative to the word length (figure 4.2.1) reduces in most cases where there were errors originally; however the most common errors remain the most common, and a small number of errors have also been introduced where there were none previously. A possible interpretation for the results above, in terms of the languages chosen, might be as follows:</w:t>
      </w:r>
    </w:p>
    <w:p>
      <w:pPr>
        <w:pStyle w:val="Normal"/>
        <w:bidi w:val="0"/>
        <w:jc w:val="left"/>
        <w:rPr>
          <w:color w:val="000000"/>
        </w:rPr>
      </w:pPr>
      <w:r>
        <w:rPr>
          <w:color w:val="000000"/>
        </w:rPr>
      </w:r>
    </w:p>
    <w:p>
      <w:pPr>
        <w:pStyle w:val="Normal"/>
        <w:numPr>
          <w:ilvl w:val="0"/>
          <w:numId w:val="7"/>
        </w:numPr>
        <w:bidi w:val="0"/>
        <w:jc w:val="left"/>
        <w:rPr>
          <w:sz w:val="20"/>
          <w:szCs w:val="20"/>
        </w:rPr>
      </w:pPr>
      <w:r>
        <w:rPr>
          <w:color w:val="000000"/>
          <w:sz w:val="20"/>
          <w:szCs w:val="20"/>
        </w:rPr>
        <w:t>Ingrian and Murrinh-Patha are both very low resource datasets, wheras Maltese has roughly twice as many examples. The performance on Maltese is already quite good, and the model does not seem to benefit much from augmenting further with this technique.</w:t>
      </w:r>
    </w:p>
    <w:p>
      <w:pPr>
        <w:pStyle w:val="Normal"/>
        <w:numPr>
          <w:ilvl w:val="0"/>
          <w:numId w:val="7"/>
        </w:numPr>
        <w:bidi w:val="0"/>
        <w:jc w:val="left"/>
        <w:rPr>
          <w:sz w:val="20"/>
          <w:szCs w:val="20"/>
        </w:rPr>
      </w:pPr>
      <w:r>
        <w:rPr>
          <w:color w:val="000000"/>
          <w:sz w:val="20"/>
          <w:szCs w:val="20"/>
        </w:rPr>
        <w:t>Ingrian contain many words of length &gt; 4 characters and often a rich combination of character sequences, in theory this might lead to a good source of augmented data. Wheras Murrinh-Patha’s words are, on average, much shorter, and see less variation in the character combinations. This means a relatively restricted set of data for which to build up the augmentation vocabulary.</w:t>
      </w:r>
    </w:p>
    <w:p>
      <w:pPr>
        <w:pStyle w:val="Normal"/>
        <w:bidi w:val="0"/>
        <w:jc w:val="left"/>
        <w:rPr>
          <w:color w:val="000000"/>
          <w:sz w:val="20"/>
          <w:szCs w:val="20"/>
        </w:rPr>
      </w:pPr>
      <w:r>
        <w:rPr>
          <w:color w:val="000000"/>
          <w:sz w:val="20"/>
          <w:szCs w:val="20"/>
        </w:rPr>
      </w:r>
    </w:p>
    <w:p>
      <w:pPr>
        <w:pStyle w:val="Normal"/>
        <w:bidi w:val="0"/>
        <w:jc w:val="left"/>
        <w:rPr>
          <w:color w:val="000000"/>
          <w:sz w:val="20"/>
          <w:szCs w:val="20"/>
        </w:rPr>
      </w:pPr>
      <w:r>
        <w:rPr>
          <w:color w:val="000000"/>
          <w:sz w:val="20"/>
          <w:szCs w:val="20"/>
        </w:rPr>
      </w:r>
    </w:p>
    <w:tbl>
      <w:tblPr>
        <w:tblW w:w="10434" w:type="dxa"/>
        <w:jc w:val="left"/>
        <w:tblInd w:w="57" w:type="dxa"/>
        <w:tblCellMar>
          <w:top w:w="57" w:type="dxa"/>
          <w:left w:w="57" w:type="dxa"/>
          <w:bottom w:w="57" w:type="dxa"/>
          <w:right w:w="283" w:type="dxa"/>
        </w:tblCellMar>
      </w:tblPr>
      <w:tblGrid>
        <w:gridCol w:w="4819"/>
        <w:gridCol w:w="5614"/>
      </w:tblGrid>
      <w:tr>
        <w:trPr/>
        <w:tc>
          <w:tcPr>
            <w:tcW w:w="4819" w:type="dxa"/>
            <w:tcBorders/>
          </w:tcPr>
          <w:p>
            <w:pPr>
              <w:pStyle w:val="TableContents"/>
              <w:bidi w:val="0"/>
              <w:jc w:val="both"/>
              <w:rPr>
                <w:sz w:val="20"/>
                <w:szCs w:val="20"/>
              </w:rPr>
            </w:pPr>
            <w:r>
              <w:rPr>
                <w:sz w:val="20"/>
                <w:szCs w:val="20"/>
              </w:rPr>
              <w:t>Perhaps the largest impact that the data augmentation has is on the training speed. Figure 4.2.2 shows the marked increase in speed at which the model achieves its (approximately) best performance, somewhere around the 40</w:t>
            </w:r>
            <w:r>
              <w:rPr>
                <w:sz w:val="20"/>
                <w:szCs w:val="20"/>
                <w:vertAlign w:val="superscript"/>
              </w:rPr>
              <w:t>th</w:t>
            </w:r>
            <w:r>
              <w:rPr>
                <w:sz w:val="20"/>
                <w:szCs w:val="20"/>
              </w:rPr>
              <w:t xml:space="preserve"> epoch, compared to the unaugmented data set requiring 250 epochs. </w:t>
            </w:r>
          </w:p>
          <w:p>
            <w:pPr>
              <w:pStyle w:val="TableContents"/>
              <w:bidi w:val="0"/>
              <w:jc w:val="both"/>
              <w:rPr>
                <w:sz w:val="20"/>
                <w:szCs w:val="20"/>
              </w:rPr>
            </w:pPr>
            <w:r>
              <w:rPr>
                <w:sz w:val="20"/>
                <w:szCs w:val="20"/>
              </w:rPr>
            </w:r>
          </w:p>
          <w:p>
            <w:pPr>
              <w:pStyle w:val="TableContents"/>
              <w:bidi w:val="0"/>
              <w:jc w:val="both"/>
              <w:rPr>
                <w:sz w:val="20"/>
                <w:szCs w:val="20"/>
              </w:rPr>
            </w:pPr>
            <w:r>
              <w:rPr>
                <w:sz w:val="20"/>
                <w:szCs w:val="20"/>
              </w:rPr>
              <w:t>This could be very beneficial when training more complex architectures as the practicalities of computation is often a limiting factor.</w:t>
            </w:r>
          </w:p>
          <w:p>
            <w:pPr>
              <w:pStyle w:val="TableContents"/>
              <w:bidi w:val="0"/>
              <w:jc w:val="both"/>
              <w:rPr>
                <w:sz w:val="20"/>
                <w:szCs w:val="20"/>
              </w:rPr>
            </w:pPr>
            <w:r>
              <w:rPr>
                <w:sz w:val="20"/>
                <w:szCs w:val="20"/>
              </w:rPr>
            </w:r>
          </w:p>
          <w:p>
            <w:pPr>
              <w:pStyle w:val="TableContents"/>
              <w:bidi w:val="0"/>
              <w:jc w:val="both"/>
              <w:rPr>
                <w:sz w:val="20"/>
                <w:szCs w:val="20"/>
              </w:rPr>
            </w:pPr>
            <w:r>
              <w:rPr>
                <w:sz w:val="20"/>
                <w:szCs w:val="20"/>
              </w:rPr>
              <w:t>We can also see the rather arduous training journey the model takes with the uniform-augmented data. For now this remains a mystery.</w:t>
            </w:r>
          </w:p>
        </w:tc>
        <w:tc>
          <w:tcPr>
            <w:tcW w:w="5614" w:type="dxa"/>
            <w:tcBorders/>
          </w:tcPr>
          <w:p>
            <w:pPr>
              <w:pStyle w:val="TableContents"/>
              <w:bidi w:val="0"/>
              <w:jc w:val="center"/>
              <w:rPr>
                <w:sz w:val="20"/>
                <w:szCs w:val="20"/>
              </w:rPr>
            </w:pPr>
            <w:r>
              <w:drawing>
                <wp:anchor behindDoc="0" distT="0" distB="0" distL="0" distR="0" simplePos="0" locked="0" layoutInCell="1" allowOverlap="1" relativeHeight="7">
                  <wp:simplePos x="0" y="0"/>
                  <wp:positionH relativeFrom="column">
                    <wp:posOffset>0</wp:posOffset>
                  </wp:positionH>
                  <wp:positionV relativeFrom="paragraph">
                    <wp:posOffset>99060</wp:posOffset>
                  </wp:positionV>
                  <wp:extent cx="3242310" cy="225615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rcRect l="0" t="4202" r="0" b="0"/>
                          <a:stretch>
                            <a:fillRect/>
                          </a:stretch>
                        </pic:blipFill>
                        <pic:spPr bwMode="auto">
                          <a:xfrm>
                            <a:off x="0" y="0"/>
                            <a:ext cx="3242310" cy="2256155"/>
                          </a:xfrm>
                          <a:prstGeom prst="rect">
                            <a:avLst/>
                          </a:prstGeom>
                        </pic:spPr>
                      </pic:pic>
                    </a:graphicData>
                  </a:graphic>
                </wp:anchor>
              </w:drawing>
            </w:r>
            <w:r>
              <w:rPr>
                <w:i/>
                <w:iCs/>
                <w:sz w:val="20"/>
                <w:szCs w:val="20"/>
              </w:rPr>
              <w:t>F</w:t>
            </w:r>
            <w:r>
              <w:rPr>
                <w:i/>
                <w:iCs/>
                <w:sz w:val="20"/>
                <w:szCs w:val="20"/>
              </w:rPr>
              <w:t>igure 4.2.2 Effect on dev loss vs. training iteration (IZH)</w:t>
            </w:r>
          </w:p>
        </w:tc>
      </w:tr>
    </w:tbl>
    <w:p>
      <w:pPr>
        <w:pStyle w:val="Normal"/>
        <w:bidi w:val="0"/>
        <w:jc w:val="left"/>
        <w:rPr>
          <w:color w:val="000000"/>
          <w:sz w:val="20"/>
          <w:szCs w:val="20"/>
        </w:rPr>
      </w:pPr>
      <w:r>
        <w:rPr>
          <w:color w:val="000000"/>
          <w:sz w:val="20"/>
          <w:szCs w:val="2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000000"/>
          <w:u w:val="single"/>
        </w:rPr>
      </w:pPr>
      <w:r>
        <w:rPr>
          <w:color w:val="000000"/>
          <w:u w:val="single"/>
        </w:rPr>
        <w:t>Parameter Tuning</w:t>
      </w:r>
    </w:p>
    <w:p>
      <w:pPr>
        <w:pStyle w:val="Normal"/>
        <w:bidi w:val="0"/>
        <w:jc w:val="left"/>
        <w:rPr>
          <w:color w:val="C9211E"/>
        </w:rPr>
      </w:pPr>
      <w:r>
        <w:rPr>
          <w:color w:val="C9211E"/>
        </w:rPr>
      </w:r>
    </w:p>
    <w:p>
      <w:pPr>
        <w:pStyle w:val="Normal"/>
        <w:bidi w:val="0"/>
        <w:jc w:val="left"/>
        <w:rPr/>
      </w:pPr>
      <w:r>
        <w:rPr/>
        <w:t>There appears marginal difference with the different parameter settings. The best performing settings do outperform the raw data set marginally (please refer to the appendix for the table of results). Reducing the LCS minimum seems to have the largest impact. In fact, initially the implementation had no minimum length setting, so it would match a subsequence of 1 character (providing it existed in a larger LCS match). This created many errors; in particular with Murrinh-Patha given its shorter word lengths.</w:t>
      </w:r>
    </w:p>
    <w:p>
      <w:pPr>
        <w:pStyle w:val="Normal"/>
        <w:bidi w:val="0"/>
        <w:jc w:val="left"/>
        <w:rPr/>
      </w:pPr>
      <w:r>
        <w:rPr/>
        <w:t>This result confirms a reasonable choice for a consecutive sequence replacement of 2-3 characters. Longer than this would yield little benefit as it would limit the number of words that could be augmented.</w:t>
      </w:r>
    </w:p>
    <w:p>
      <w:pPr>
        <w:pStyle w:val="Normal"/>
        <w:bidi w:val="0"/>
        <w:jc w:val="left"/>
        <w:rPr/>
      </w:pPr>
      <w:r>
        <w:rPr/>
      </w:r>
    </w:p>
    <w:p>
      <w:pPr>
        <w:pStyle w:val="Normal"/>
        <w:bidi w:val="0"/>
        <w:jc w:val="left"/>
        <w:rPr/>
      </w:pPr>
      <w:r>
        <w:rPr/>
        <w:t>Whereas the parameters above had a relatively small impact on performance, the amount of augmented data (target data-set size) had a large impact on performance (figure 4.2.3 below)- mainly due to the extremely negative impact on the mwf data-set. This could be attributed to the sequence invariance in the training data (as mentioned above). A size of 2000 was found to be consistently optimal; it tells us that the transformer model is quite good with moderately low training examples and to bolster it with more hallucinated data hinders more than helps. (Potentially if with future work the augmentation techniques became a bit more flexible, an increase in size could be warranted).</w:t>
      </w:r>
    </w:p>
    <w:p>
      <w:pPr>
        <w:pStyle w:val="Normal"/>
        <w:bidi w:val="0"/>
        <w:jc w:val="left"/>
        <w:rPr/>
      </w:pPr>
      <w:r>
        <w:rPr/>
      </w:r>
    </w:p>
    <w:p>
      <w:pPr>
        <w:pStyle w:val="Normal"/>
        <w:bidi w:val="0"/>
        <w:jc w:val="left"/>
        <w:rPr/>
      </w:pPr>
      <w:r>
        <w:rPr/>
      </w:r>
    </w:p>
    <w:p>
      <w:pPr>
        <w:pStyle w:val="Normal"/>
        <w:bidi w:val="0"/>
        <w:jc w:val="center"/>
        <w:rPr>
          <w:i/>
          <w:i/>
          <w:iCs/>
          <w:sz w:val="20"/>
          <w:szCs w:val="20"/>
        </w:rPr>
      </w:pPr>
      <w:r>
        <w:drawing>
          <wp:anchor behindDoc="0" distT="0" distB="0" distL="0" distR="0" simplePos="0" locked="0" layoutInCell="1" allowOverlap="1" relativeHeight="8">
            <wp:simplePos x="0" y="0"/>
            <wp:positionH relativeFrom="column">
              <wp:posOffset>-29845</wp:posOffset>
            </wp:positionH>
            <wp:positionV relativeFrom="paragraph">
              <wp:posOffset>19050</wp:posOffset>
            </wp:positionV>
            <wp:extent cx="6624320" cy="165417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624320" cy="16541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-200660</wp:posOffset>
            </wp:positionH>
            <wp:positionV relativeFrom="paragraph">
              <wp:posOffset>381000</wp:posOffset>
            </wp:positionV>
            <wp:extent cx="171450" cy="644525"/>
            <wp:effectExtent l="0" t="0" r="0" b="0"/>
            <wp:wrapSquare wrapText="largest"/>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171450" cy="64452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3293745</wp:posOffset>
            </wp:positionH>
            <wp:positionV relativeFrom="paragraph">
              <wp:posOffset>404495</wp:posOffset>
            </wp:positionV>
            <wp:extent cx="171450" cy="644525"/>
            <wp:effectExtent l="0" t="0" r="0" b="0"/>
            <wp:wrapSquare wrapText="largest"/>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2"/>
                    <a:stretch>
                      <a:fillRect/>
                    </a:stretch>
                  </pic:blipFill>
                  <pic:spPr bwMode="auto">
                    <a:xfrm>
                      <a:off x="0" y="0"/>
                      <a:ext cx="171450" cy="644525"/>
                    </a:xfrm>
                    <a:prstGeom prst="rect">
                      <a:avLst/>
                    </a:prstGeom>
                  </pic:spPr>
                </pic:pic>
              </a:graphicData>
            </a:graphic>
          </wp:anchor>
        </w:drawing>
      </w:r>
      <w:r>
        <w:rPr>
          <w:i/>
          <w:iCs/>
          <w:sz w:val="20"/>
          <w:szCs w:val="20"/>
        </w:rPr>
        <w:t>F</w:t>
      </w:r>
      <w:r>
        <w:rPr>
          <w:i/>
          <w:iCs/>
          <w:sz w:val="20"/>
          <w:szCs w:val="20"/>
        </w:rPr>
        <w:t>igure 4.2.3 Effect of augmentation amount on prediction accuracy</w:t>
      </w:r>
    </w:p>
    <w:p>
      <w:pPr>
        <w:pStyle w:val="Normal"/>
        <w:bidi w:val="0"/>
        <w:jc w:val="left"/>
        <w:rPr/>
      </w:pPr>
      <w:r>
        <w:rPr/>
      </w:r>
    </w:p>
    <w:p>
      <w:pPr>
        <w:pStyle w:val="Heading2"/>
        <w:numPr>
          <w:ilvl w:val="1"/>
          <w:numId w:val="2"/>
        </w:numPr>
        <w:bidi w:val="0"/>
        <w:jc w:val="left"/>
        <w:rPr/>
      </w:pPr>
      <w:r>
        <w:rPr/>
        <w:t>Conclusion</w:t>
      </w:r>
    </w:p>
    <w:p>
      <w:pPr>
        <w:pStyle w:val="Normal"/>
        <w:bidi w:val="0"/>
        <w:jc w:val="left"/>
        <w:rPr>
          <w:color w:val="000000"/>
        </w:rPr>
      </w:pPr>
      <w:r>
        <w:rPr>
          <w:color w:val="000000"/>
        </w:rPr>
      </w:r>
    </w:p>
    <w:p>
      <w:pPr>
        <w:pStyle w:val="Normal"/>
        <w:bidi w:val="0"/>
        <w:jc w:val="left"/>
        <w:rPr>
          <w:color w:val="000000"/>
        </w:rPr>
      </w:pPr>
      <w:r>
        <w:rPr>
          <w:color w:val="000000"/>
        </w:rPr>
        <w:t>Morphological reinflection is the task of generating a word inflection from a lemma (source word), and is an important and challenging task of Natural Language Processing. Over the past several decades there have been many advancements in approaches to tackling morphological reinflection, with the most modern and substantive of these with the use of neural networks.</w:t>
      </w:r>
    </w:p>
    <w:p>
      <w:pPr>
        <w:pStyle w:val="Normal"/>
        <w:bidi w:val="0"/>
        <w:jc w:val="left"/>
        <w:rPr>
          <w:color w:val="000000"/>
        </w:rPr>
      </w:pPr>
      <w:r>
        <w:rPr>
          <w:color w:val="000000"/>
        </w:rPr>
      </w:r>
    </w:p>
    <w:p>
      <w:pPr>
        <w:pStyle w:val="Normal"/>
        <w:bidi w:val="0"/>
        <w:jc w:val="left"/>
        <w:rPr>
          <w:color w:val="000000"/>
        </w:rPr>
      </w:pPr>
      <w:r>
        <w:rPr>
          <w:color w:val="000000"/>
        </w:rPr>
        <w:t>The goal of this assignment and report was to investigate and develop an understanding of neural network approaches to NLP tasks. To achieve this, two baseline neural models differing in architecture were implemented, and an attempt at improving upon their performance was undertaken through the augmentation of training data. Two low resource languages (Ingrian and Murrinh-Patha) that have had poor relative performance in the 2020 shared task challenge were chosen to highlight the challenge.</w:t>
      </w:r>
    </w:p>
    <w:p>
      <w:pPr>
        <w:pStyle w:val="Normal"/>
        <w:bidi w:val="0"/>
        <w:jc w:val="left"/>
        <w:rPr>
          <w:color w:val="000000"/>
        </w:rPr>
      </w:pPr>
      <w:r>
        <w:rPr>
          <w:color w:val="000000"/>
        </w:rPr>
      </w:r>
    </w:p>
    <w:p>
      <w:pPr>
        <w:pStyle w:val="Normal"/>
        <w:bidi w:val="0"/>
        <w:jc w:val="left"/>
        <w:rPr>
          <w:color w:val="000000"/>
        </w:rPr>
      </w:pPr>
      <w:r>
        <w:rPr>
          <w:color w:val="000000"/>
        </w:rPr>
        <w:t>We demonstrated that augmenting the training data using a categorical sampling distribution based on a Markov model can yield some level of improvement, and that there is benefit to augmenting data specific to the requirements of a language family and it’s morphological paradigms. Unfortunately we were unable to gain a meaningful comparison to existing augmentation techniques due to issues with implementation. Future work could investigate alternative methods such as the use of unsupervised neural methods to augment data (via auto encoders / variational auto encoders) and self-supervised training techniques (such as word completion or Unimorph tag to word generation).</w:t>
      </w:r>
    </w:p>
    <w:p>
      <w:pPr>
        <w:sectPr>
          <w:headerReference w:type="default" r:id="rId13"/>
          <w:footerReference w:type="default" r:id="rId14"/>
          <w:type w:val="nextPage"/>
          <w:pgSz w:w="11906" w:h="16838"/>
          <w:pgMar w:left="737" w:right="737" w:header="567" w:top="1126" w:footer="567" w:bottom="1126" w:gutter="0"/>
          <w:pgNumType w:fmt="decimal"/>
          <w:formProt w:val="false"/>
          <w:textDirection w:val="lrTb"/>
          <w:docGrid w:type="default" w:linePitch="312" w:charSpace="0"/>
        </w:sectPr>
      </w:pPr>
    </w:p>
    <w:p>
      <w:pPr>
        <w:pStyle w:val="Heading2"/>
        <w:numPr>
          <w:ilvl w:val="1"/>
          <w:numId w:val="2"/>
        </w:numPr>
        <w:bidi w:val="0"/>
        <w:jc w:val="left"/>
        <w:rPr/>
      </w:pPr>
      <w:r>
        <w:rPr/>
        <w:t>References</w:t>
      </w:r>
    </w:p>
    <w:p>
      <w:pPr>
        <w:pStyle w:val="Bibliography1"/>
        <w:suppressLineNumbers/>
        <w:bidi w:val="0"/>
        <w:spacing w:lineRule="atLeast" w:line="480" w:before="0" w:after="0"/>
        <w:ind w:left="737" w:right="0" w:hanging="624"/>
        <w:jc w:val="left"/>
        <w:rPr>
          <w:sz w:val="20"/>
          <w:szCs w:val="20"/>
        </w:rPr>
      </w:pPr>
      <w:r>
        <w:rPr>
          <w:sz w:val="20"/>
          <w:szCs w:val="20"/>
        </w:rPr>
        <w:t xml:space="preserve">Aharoni, R., &amp; Goldberg, Y. (2017). Morphological Inflection Generation with Hard Monotonic Attention. </w:t>
      </w:r>
      <w:r>
        <w:rPr>
          <w:i/>
          <w:sz w:val="20"/>
          <w:szCs w:val="20"/>
        </w:rPr>
        <w:t>Proceedings of the 55th Annual Meeting of the Association for           Computational Linguistics (Volume 1: Long Papers)</w:t>
      </w:r>
      <w:r>
        <w:rPr>
          <w:sz w:val="20"/>
          <w:szCs w:val="20"/>
        </w:rPr>
        <w:t>, 2004–2015. https://doi.org/10.18653/v1/P17-1183</w:t>
      </w:r>
    </w:p>
    <w:p>
      <w:pPr>
        <w:pStyle w:val="Bibliography1"/>
        <w:suppressLineNumbers/>
        <w:bidi w:val="0"/>
        <w:spacing w:lineRule="atLeast" w:line="480" w:before="0" w:after="0"/>
        <w:ind w:left="737" w:right="0" w:hanging="624"/>
        <w:jc w:val="left"/>
        <w:rPr>
          <w:sz w:val="20"/>
          <w:szCs w:val="20"/>
        </w:rPr>
      </w:pPr>
      <w:r>
        <w:rPr>
          <w:sz w:val="20"/>
          <w:szCs w:val="20"/>
        </w:rPr>
        <w:t xml:space="preserve">Anastasopoulos, A., &amp; Neubig, G. (2019). Pushing the Limits of Low-Resource Morphological Inflection. </w:t>
      </w:r>
      <w:r>
        <w:rPr>
          <w:i/>
          <w:sz w:val="20"/>
          <w:szCs w:val="20"/>
        </w:rPr>
        <w:t>Proceedings of the 2019 Conference on Empirical Methods in Natural Language Processing and the 9th International Joint Conference on Natural Language Processing (EMNLP-IJCNLP)</w:t>
      </w:r>
      <w:r>
        <w:rPr>
          <w:sz w:val="20"/>
          <w:szCs w:val="20"/>
        </w:rPr>
        <w:t>, 984–996. https://doi.org/10.18653/v1/D19-1091</w:t>
      </w:r>
    </w:p>
    <w:p>
      <w:pPr>
        <w:pStyle w:val="Bibliography1"/>
        <w:suppressLineNumbers/>
        <w:bidi w:val="0"/>
        <w:spacing w:lineRule="atLeast" w:line="480" w:before="0" w:after="0"/>
        <w:ind w:left="737" w:right="0" w:hanging="624"/>
        <w:jc w:val="left"/>
        <w:rPr>
          <w:sz w:val="20"/>
          <w:szCs w:val="20"/>
        </w:rPr>
      </w:pPr>
      <w:r>
        <w:rPr>
          <w:sz w:val="20"/>
          <w:szCs w:val="20"/>
        </w:rPr>
        <w:t xml:space="preserve">Bojanowski, P., Grave, E., Joulin, A., &amp; Mikolov, T. (2017). Enriching Word Vectors with Subword Information. </w:t>
      </w:r>
      <w:r>
        <w:rPr>
          <w:i/>
          <w:sz w:val="20"/>
          <w:szCs w:val="20"/>
        </w:rPr>
        <w:t>ArXiv:1607.04606 [Cs]</w:t>
      </w:r>
      <w:r>
        <w:rPr>
          <w:sz w:val="20"/>
          <w:szCs w:val="20"/>
        </w:rPr>
        <w:t>. http://arxiv.org/abs/1607.04606</w:t>
      </w:r>
    </w:p>
    <w:p>
      <w:pPr>
        <w:pStyle w:val="Bibliography1"/>
        <w:suppressLineNumbers/>
        <w:bidi w:val="0"/>
        <w:spacing w:lineRule="atLeast" w:line="480" w:before="0" w:after="0"/>
        <w:ind w:left="737" w:right="0" w:hanging="624"/>
        <w:jc w:val="left"/>
        <w:rPr>
          <w:sz w:val="20"/>
          <w:szCs w:val="20"/>
        </w:rPr>
      </w:pPr>
      <w:r>
        <w:rPr>
          <w:sz w:val="20"/>
          <w:szCs w:val="20"/>
        </w:rPr>
        <w:t xml:space="preserve">Faruqui, M., Tsvetkov, Y., Neubig, G., &amp; Dyer, C. (2016). Morphological Inflection Generation Using Character Sequence to Sequence Learning. </w:t>
      </w:r>
      <w:r>
        <w:rPr>
          <w:i/>
          <w:sz w:val="20"/>
          <w:szCs w:val="20"/>
        </w:rPr>
        <w:t>ArXiv:1512.06110 [Cs]</w:t>
      </w:r>
      <w:r>
        <w:rPr>
          <w:sz w:val="20"/>
          <w:szCs w:val="20"/>
        </w:rPr>
        <w:t>. http://arxiv.org/abs/1512.06110</w:t>
      </w:r>
    </w:p>
    <w:p>
      <w:pPr>
        <w:pStyle w:val="Bibliography1"/>
        <w:suppressLineNumbers/>
        <w:bidi w:val="0"/>
        <w:spacing w:lineRule="atLeast" w:line="480" w:before="0" w:after="0"/>
        <w:ind w:left="737" w:right="0" w:hanging="624"/>
        <w:jc w:val="left"/>
        <w:rPr>
          <w:sz w:val="20"/>
          <w:szCs w:val="20"/>
        </w:rPr>
      </w:pPr>
      <w:r>
        <w:rPr>
          <w:sz w:val="20"/>
          <w:szCs w:val="20"/>
        </w:rPr>
        <w:t xml:space="preserve">Graves, A. (2014). Generating Sequences With Recurrent Neural Networks. </w:t>
      </w:r>
      <w:r>
        <w:rPr>
          <w:i/>
          <w:sz w:val="20"/>
          <w:szCs w:val="20"/>
        </w:rPr>
        <w:t>ArXiv:1308.0850 [Cs]</w:t>
      </w:r>
      <w:r>
        <w:rPr>
          <w:sz w:val="20"/>
          <w:szCs w:val="20"/>
        </w:rPr>
        <w:t>. http://arxiv.org/abs/1308.0850</w:t>
      </w:r>
    </w:p>
    <w:p>
      <w:pPr>
        <w:pStyle w:val="Bibliography1"/>
        <w:suppressLineNumbers/>
        <w:bidi w:val="0"/>
        <w:spacing w:lineRule="atLeast" w:line="480" w:before="0" w:after="0"/>
        <w:ind w:left="737" w:right="0" w:hanging="624"/>
        <w:jc w:val="left"/>
        <w:rPr>
          <w:sz w:val="20"/>
          <w:szCs w:val="20"/>
        </w:rPr>
      </w:pPr>
      <w:r>
        <w:rPr>
          <w:sz w:val="20"/>
          <w:szCs w:val="20"/>
        </w:rPr>
        <w:t xml:space="preserve">Liu, L., &amp; Hulden, M. (2020). Leveraging Principal Parts for Morphological Inflection. </w:t>
      </w:r>
      <w:r>
        <w:rPr>
          <w:i/>
          <w:sz w:val="20"/>
          <w:szCs w:val="20"/>
        </w:rPr>
        <w:t>Proceedings of the 17th SIGMORPHON Workshop on Computational Research in Phonetics, Phonology, and Morphology</w:t>
      </w:r>
      <w:r>
        <w:rPr>
          <w:sz w:val="20"/>
          <w:szCs w:val="20"/>
        </w:rPr>
        <w:t>, 153–161. https://doi.org/10.18653/v1/2020.sigmorphon-1.17</w:t>
      </w:r>
    </w:p>
    <w:p>
      <w:pPr>
        <w:pStyle w:val="Bibliography1"/>
        <w:suppressLineNumbers/>
        <w:bidi w:val="0"/>
        <w:spacing w:lineRule="atLeast" w:line="480" w:before="0" w:after="0"/>
        <w:ind w:left="737" w:right="0" w:hanging="624"/>
        <w:jc w:val="left"/>
        <w:rPr>
          <w:sz w:val="20"/>
          <w:szCs w:val="20"/>
        </w:rPr>
      </w:pPr>
      <w:r>
        <w:rPr>
          <w:sz w:val="20"/>
          <w:szCs w:val="20"/>
        </w:rPr>
        <w:t xml:space="preserve">Vaswani, A., Shazeer, N., Parmar, N., Uszkoreit, J., Jones, L., Gomez, A. N., Kaiser, Ł., &amp; Polosukhin, I. (n.d.). </w:t>
      </w:r>
      <w:r>
        <w:rPr>
          <w:i/>
          <w:sz w:val="20"/>
          <w:szCs w:val="20"/>
        </w:rPr>
        <w:t>Attention is All you Need</w:t>
      </w:r>
      <w:r>
        <w:rPr>
          <w:sz w:val="20"/>
          <w:szCs w:val="20"/>
        </w:rPr>
        <w:t>. 11.</w:t>
      </w:r>
    </w:p>
    <w:p>
      <w:pPr>
        <w:pStyle w:val="Bibliography1"/>
        <w:suppressLineNumbers/>
        <w:bidi w:val="0"/>
        <w:spacing w:lineRule="atLeast" w:line="480" w:before="0" w:after="0"/>
        <w:ind w:left="737" w:right="0" w:hanging="624"/>
        <w:jc w:val="left"/>
        <w:rPr>
          <w:sz w:val="20"/>
          <w:szCs w:val="20"/>
        </w:rPr>
      </w:pPr>
      <w:r>
        <w:rPr>
          <w:sz w:val="20"/>
          <w:szCs w:val="20"/>
        </w:rPr>
        <w:t xml:space="preserve">Vylomova, E., White, J., Salesky, E., Mielke, S. J., Wu, S., Ponti, E. M., Hall Maudslay, R., Zmigrod, R., Valvoda, J., Toldova, S., Tyers, F., Klyachko, E., Yegorov, I., Krizhanovsky, N., Czarnowska, P., Nikkarinen, I., Krizhanovsky, A., Pimentel, T., Torroba Hennigen, L., … Hulden, M. (2020). SIGMORPHON 2020 Shared Task 0: Typologically Diverse Morphological Inflection. </w:t>
      </w:r>
      <w:r>
        <w:rPr>
          <w:i/>
          <w:sz w:val="20"/>
          <w:szCs w:val="20"/>
        </w:rPr>
        <w:t>Proceedings of the 17th SIGMORPHON Workshop on Computational Research in Phonetics, Phonology, and Morphology</w:t>
      </w:r>
      <w:r>
        <w:rPr>
          <w:sz w:val="20"/>
          <w:szCs w:val="20"/>
        </w:rPr>
        <w:t>, 1–39. https://doi.org/10.18653/v1/2020.sigmorphon-1.1</w:t>
      </w:r>
    </w:p>
    <w:p>
      <w:pPr>
        <w:pStyle w:val="Bibliography1"/>
        <w:suppressLineNumbers/>
        <w:bidi w:val="0"/>
        <w:spacing w:lineRule="atLeast" w:line="480" w:before="0" w:after="0"/>
        <w:ind w:left="737" w:right="0" w:hanging="624"/>
        <w:jc w:val="left"/>
        <w:rPr>
          <w:sz w:val="20"/>
          <w:szCs w:val="20"/>
        </w:rPr>
      </w:pPr>
      <w:r>
        <w:rPr>
          <w:sz w:val="20"/>
          <w:szCs w:val="20"/>
        </w:rPr>
        <w:t xml:space="preserve">Wu, S., &amp; Cotterell, R. (2019). Exact Hard Monotonic Attention for Character-Level Transduction. </w:t>
      </w:r>
      <w:r>
        <w:rPr>
          <w:i/>
          <w:sz w:val="20"/>
          <w:szCs w:val="20"/>
        </w:rPr>
        <w:t>ArXiv:1905.06319 [Cs]</w:t>
      </w:r>
      <w:r>
        <w:rPr>
          <w:sz w:val="20"/>
          <w:szCs w:val="20"/>
        </w:rPr>
        <w:t>. http://arxiv.org/abs/1905.06319</w:t>
      </w:r>
    </w:p>
    <w:p>
      <w:pPr>
        <w:pStyle w:val="Bibliography1"/>
        <w:suppressLineNumbers/>
        <w:bidi w:val="0"/>
        <w:spacing w:lineRule="atLeast" w:line="480" w:before="0" w:after="0"/>
        <w:ind w:left="737" w:right="0" w:hanging="624"/>
        <w:jc w:val="left"/>
        <w:rPr>
          <w:sz w:val="20"/>
          <w:szCs w:val="20"/>
        </w:rPr>
      </w:pPr>
      <w:r>
        <w:rPr>
          <w:sz w:val="20"/>
          <w:szCs w:val="20"/>
        </w:rPr>
        <w:t xml:space="preserve">Wu, S., Cotterell, R., &amp; Hulden, M. (2021). Applying the Transformer to Character-level Transduction. </w:t>
      </w:r>
      <w:r>
        <w:rPr>
          <w:i/>
          <w:sz w:val="20"/>
          <w:szCs w:val="20"/>
        </w:rPr>
        <w:t>ArXiv:2005.10213 [Cs]</w:t>
      </w:r>
      <w:r>
        <w:rPr>
          <w:sz w:val="20"/>
          <w:szCs w:val="20"/>
        </w:rPr>
        <w:t>. http://arxiv.org/abs/2005.10213</w:t>
      </w:r>
    </w:p>
    <w:p>
      <w:pPr>
        <w:sectPr>
          <w:type w:val="continuous"/>
          <w:pgSz w:w="11906" w:h="16838"/>
          <w:pgMar w:left="737" w:right="737" w:header="567" w:top="1126" w:footer="567" w:bottom="1126" w:gutter="0"/>
          <w:formProt w:val="false"/>
          <w:textDirection w:val="lrTb"/>
          <w:docGrid w:type="default" w:linePitch="312" w:charSpace="0"/>
        </w:sectPr>
      </w:pPr>
    </w:p>
    <w:p>
      <w:pPr>
        <w:pStyle w:val="Normal"/>
        <w:bidi w:val="0"/>
        <w:jc w:val="left"/>
        <w:rPr>
          <w:color w:val="000000"/>
        </w:rPr>
      </w:pPr>
      <w:r>
        <w:rPr>
          <w:color w:val="000000"/>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Heading2"/>
        <w:numPr>
          <w:ilvl w:val="1"/>
          <w:numId w:val="2"/>
        </w:numPr>
        <w:bidi w:val="0"/>
        <w:jc w:val="left"/>
        <w:rPr/>
      </w:pPr>
      <w:r>
        <w:rPr/>
        <w:t>Appendix</w:t>
      </w:r>
    </w:p>
    <w:p>
      <w:pPr>
        <w:pStyle w:val="Normal"/>
        <w:bidi w:val="0"/>
        <w:jc w:val="left"/>
        <w:rPr/>
      </w:pPr>
      <w:r>
        <w:rPr/>
      </w:r>
    </w:p>
    <w:p>
      <w:pPr>
        <w:pStyle w:val="Normal"/>
        <w:bidi w:val="0"/>
        <w:jc w:val="left"/>
        <w:rPr/>
      </w:pPr>
      <w:r>
        <w:rPr>
          <w:u w:val="single"/>
        </w:rPr>
        <w:t>Model Parameters</w:t>
        <w:br/>
      </w:r>
    </w:p>
    <w:tbl>
      <w:tblPr>
        <w:tblW w:w="10432" w:type="dxa"/>
        <w:jc w:val="left"/>
        <w:tblInd w:w="55" w:type="dxa"/>
        <w:tblCellMar>
          <w:top w:w="55" w:type="dxa"/>
          <w:left w:w="55" w:type="dxa"/>
          <w:bottom w:w="55" w:type="dxa"/>
          <w:right w:w="55" w:type="dxa"/>
        </w:tblCellMar>
      </w:tblPr>
      <w:tblGrid>
        <w:gridCol w:w="5216"/>
        <w:gridCol w:w="5215"/>
      </w:tblGrid>
      <w:tr>
        <w:trPr/>
        <w:tc>
          <w:tcPr>
            <w:tcW w:w="5216" w:type="dxa"/>
            <w:tcBorders>
              <w:top w:val="single" w:sz="2" w:space="0" w:color="000000"/>
              <w:left w:val="single" w:sz="2" w:space="0" w:color="000000"/>
              <w:bottom w:val="single" w:sz="2" w:space="0" w:color="000000"/>
            </w:tcBorders>
          </w:tcPr>
          <w:p>
            <w:pPr>
              <w:pStyle w:val="TableContents"/>
              <w:bidi w:val="0"/>
              <w:jc w:val="left"/>
              <w:rPr>
                <w:b/>
                <w:b/>
                <w:bCs/>
                <w:sz w:val="20"/>
                <w:szCs w:val="20"/>
              </w:rPr>
            </w:pPr>
            <w:r>
              <w:rPr>
                <w:b/>
                <w:bCs/>
                <w:sz w:val="20"/>
                <w:szCs w:val="20"/>
              </w:rPr>
              <w:t>Hard-Attention (2017 Baseline)</w:t>
            </w:r>
          </w:p>
        </w:tc>
        <w:tc>
          <w:tcPr>
            <w:tcW w:w="5215"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b/>
                <w:bCs/>
                <w:sz w:val="20"/>
                <w:szCs w:val="20"/>
              </w:rPr>
            </w:pPr>
            <w:r>
              <w:rPr>
                <w:b/>
                <w:bCs/>
                <w:sz w:val="20"/>
                <w:szCs w:val="20"/>
              </w:rPr>
              <w:t>Transformer (2020 Baseline)</w:t>
            </w:r>
          </w:p>
        </w:tc>
      </w:tr>
      <w:tr>
        <w:trPr/>
        <w:tc>
          <w:tcPr>
            <w:tcW w:w="5216" w:type="dxa"/>
            <w:tcBorders>
              <w:left w:val="single" w:sz="2" w:space="0" w:color="000000"/>
              <w:bottom w:val="single" w:sz="2" w:space="0" w:color="000000"/>
            </w:tcBorders>
          </w:tcPr>
          <w:p>
            <w:pPr>
              <w:pStyle w:val="Normal"/>
              <w:bidi w:val="0"/>
              <w:jc w:val="left"/>
              <w:rPr>
                <w:sz w:val="20"/>
                <w:szCs w:val="20"/>
              </w:rPr>
            </w:pPr>
            <w:r>
              <w:rPr>
                <w:sz w:val="20"/>
                <w:szCs w:val="20"/>
              </w:rPr>
              <w:t>Input embedding dimensions: 100</w:t>
            </w:r>
          </w:p>
          <w:p>
            <w:pPr>
              <w:pStyle w:val="Normal"/>
              <w:bidi w:val="0"/>
              <w:jc w:val="left"/>
              <w:rPr>
                <w:sz w:val="20"/>
                <w:szCs w:val="20"/>
              </w:rPr>
            </w:pPr>
            <w:r>
              <w:rPr>
                <w:sz w:val="20"/>
                <w:szCs w:val="20"/>
              </w:rPr>
              <w:t>Hidden Layers:100</w:t>
            </w:r>
          </w:p>
          <w:p>
            <w:pPr>
              <w:pStyle w:val="Normal"/>
              <w:bidi w:val="0"/>
              <w:jc w:val="left"/>
              <w:rPr>
                <w:sz w:val="20"/>
                <w:szCs w:val="20"/>
              </w:rPr>
            </w:pPr>
            <w:r>
              <w:rPr>
                <w:sz w:val="20"/>
                <w:szCs w:val="20"/>
              </w:rPr>
              <w:t>Feature embedding dimensions: 20</w:t>
            </w:r>
          </w:p>
          <w:p>
            <w:pPr>
              <w:pStyle w:val="Normal"/>
              <w:bidi w:val="0"/>
              <w:jc w:val="left"/>
              <w:rPr>
                <w:sz w:val="20"/>
                <w:szCs w:val="20"/>
              </w:rPr>
            </w:pPr>
            <w:r>
              <w:rPr>
                <w:sz w:val="20"/>
                <w:szCs w:val="20"/>
              </w:rPr>
              <w:t>Epochs: 50</w:t>
            </w:r>
          </w:p>
          <w:p>
            <w:pPr>
              <w:pStyle w:val="Normal"/>
              <w:bidi w:val="0"/>
              <w:jc w:val="left"/>
              <w:rPr>
                <w:sz w:val="20"/>
                <w:szCs w:val="20"/>
              </w:rPr>
            </w:pPr>
            <w:r>
              <w:rPr>
                <w:sz w:val="20"/>
                <w:szCs w:val="20"/>
              </w:rPr>
              <w:t>LSTM layers: 2</w:t>
            </w:r>
          </w:p>
          <w:p>
            <w:pPr>
              <w:pStyle w:val="Normal"/>
              <w:bidi w:val="0"/>
              <w:jc w:val="left"/>
              <w:rPr>
                <w:sz w:val="20"/>
                <w:szCs w:val="20"/>
              </w:rPr>
            </w:pPr>
            <w:r>
              <w:rPr>
                <w:sz w:val="20"/>
                <w:szCs w:val="20"/>
              </w:rPr>
              <w:t>Optimization: ADADELTA</w:t>
            </w:r>
          </w:p>
          <w:p>
            <w:pPr>
              <w:pStyle w:val="TextBody"/>
              <w:bidi w:val="0"/>
              <w:spacing w:before="0" w:after="140"/>
              <w:jc w:val="left"/>
              <w:rPr>
                <w:sz w:val="20"/>
                <w:szCs w:val="20"/>
              </w:rPr>
            </w:pPr>
            <w:r>
              <w:rPr>
                <w:sz w:val="20"/>
                <w:szCs w:val="20"/>
              </w:rPr>
              <w:t>Regularization: 0</w:t>
              <w:br/>
              <w:t>Learning Rate: 0.0001</w:t>
              <w:br/>
              <w:t>Epochs: 50 (CPU intensive, no gains noted after 50)</w:t>
            </w:r>
          </w:p>
        </w:tc>
        <w:tc>
          <w:tcPr>
            <w:tcW w:w="5215" w:type="dxa"/>
            <w:tcBorders>
              <w:left w:val="single" w:sz="2" w:space="0" w:color="000000"/>
              <w:bottom w:val="single" w:sz="2" w:space="0" w:color="000000"/>
              <w:right w:val="single" w:sz="2" w:space="0" w:color="000000"/>
            </w:tcBorders>
          </w:tcPr>
          <w:p>
            <w:pPr>
              <w:pStyle w:val="TableContents"/>
              <w:bidi w:val="0"/>
              <w:jc w:val="left"/>
              <w:rPr>
                <w:sz w:val="20"/>
                <w:szCs w:val="20"/>
              </w:rPr>
            </w:pPr>
            <w:r>
              <w:rPr>
                <w:sz w:val="20"/>
                <w:szCs w:val="20"/>
              </w:rPr>
              <w:t>Batch size = 125</w:t>
              <w:br/>
              <w:t>Input/Output embedding size (dmodel) = 1024</w:t>
            </w:r>
          </w:p>
          <w:p>
            <w:pPr>
              <w:pStyle w:val="TableContents"/>
              <w:bidi w:val="0"/>
              <w:jc w:val="left"/>
              <w:rPr>
                <w:sz w:val="20"/>
                <w:szCs w:val="20"/>
              </w:rPr>
            </w:pPr>
            <w:r>
              <w:rPr>
                <w:sz w:val="20"/>
                <w:szCs w:val="20"/>
              </w:rPr>
              <w:t>Embedding dimension: 256</w:t>
            </w:r>
          </w:p>
          <w:p>
            <w:pPr>
              <w:pStyle w:val="TableContents"/>
              <w:bidi w:val="0"/>
              <w:jc w:val="left"/>
              <w:rPr>
                <w:sz w:val="20"/>
                <w:szCs w:val="20"/>
              </w:rPr>
            </w:pPr>
            <w:r>
              <w:rPr>
                <w:sz w:val="20"/>
                <w:szCs w:val="20"/>
              </w:rPr>
              <w:t>Attention heads: 4</w:t>
            </w:r>
          </w:p>
          <w:p>
            <w:pPr>
              <w:pStyle w:val="TableContents"/>
              <w:bidi w:val="0"/>
              <w:jc w:val="left"/>
              <w:rPr>
                <w:sz w:val="20"/>
                <w:szCs w:val="20"/>
              </w:rPr>
            </w:pPr>
            <w:r>
              <w:rPr>
                <w:sz w:val="20"/>
                <w:szCs w:val="20"/>
              </w:rPr>
              <w:t>Regularization: 0.03 (Dropout)</w:t>
            </w:r>
          </w:p>
          <w:p>
            <w:pPr>
              <w:pStyle w:val="TableContents"/>
              <w:bidi w:val="0"/>
              <w:jc w:val="left"/>
              <w:rPr>
                <w:sz w:val="20"/>
                <w:szCs w:val="20"/>
              </w:rPr>
            </w:pPr>
            <w:r>
              <w:rPr>
                <w:sz w:val="20"/>
                <w:szCs w:val="20"/>
              </w:rPr>
              <w:t>Encoder/Decoder stack layers (transformer): 4</w:t>
            </w:r>
          </w:p>
          <w:p>
            <w:pPr>
              <w:pStyle w:val="TableContents"/>
              <w:bidi w:val="0"/>
              <w:jc w:val="left"/>
              <w:rPr>
                <w:sz w:val="20"/>
                <w:szCs w:val="20"/>
              </w:rPr>
            </w:pPr>
            <w:r>
              <w:rPr>
                <w:sz w:val="20"/>
                <w:szCs w:val="20"/>
              </w:rPr>
              <w:t>Epochs: 300+</w:t>
            </w:r>
          </w:p>
        </w:tc>
      </w:tr>
    </w:tbl>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t>Augmentation Implementation - Optimal Parameters</w:t>
      </w:r>
    </w:p>
    <w:p>
      <w:pPr>
        <w:pStyle w:val="Normal"/>
        <w:bidi w:val="0"/>
        <w:jc w:val="left"/>
        <w:rPr/>
      </w:pPr>
      <w:r>
        <w:rPr/>
      </w:r>
    </w:p>
    <w:tbl>
      <w:tblPr>
        <w:tblW w:w="10432" w:type="dxa"/>
        <w:jc w:val="left"/>
        <w:tblInd w:w="55" w:type="dxa"/>
        <w:tblCellMar>
          <w:top w:w="55" w:type="dxa"/>
          <w:left w:w="55" w:type="dxa"/>
          <w:bottom w:w="55" w:type="dxa"/>
          <w:right w:w="55" w:type="dxa"/>
        </w:tblCellMar>
      </w:tblPr>
      <w:tblGrid>
        <w:gridCol w:w="5216"/>
        <w:gridCol w:w="5215"/>
      </w:tblGrid>
      <w:tr>
        <w:trPr/>
        <w:tc>
          <w:tcPr>
            <w:tcW w:w="5216" w:type="dxa"/>
            <w:tcBorders>
              <w:top w:val="single" w:sz="2" w:space="0" w:color="000000"/>
              <w:left w:val="single" w:sz="2" w:space="0" w:color="000000"/>
              <w:bottom w:val="single" w:sz="2" w:space="0" w:color="000000"/>
            </w:tcBorders>
          </w:tcPr>
          <w:p>
            <w:pPr>
              <w:pStyle w:val="TableContents"/>
              <w:bidi w:val="0"/>
              <w:jc w:val="left"/>
              <w:rPr>
                <w:b w:val="false"/>
                <w:b w:val="false"/>
                <w:bCs w:val="false"/>
                <w:u w:val="single"/>
              </w:rPr>
            </w:pPr>
            <w:r>
              <w:rPr>
                <w:b w:val="false"/>
                <w:bCs w:val="false"/>
                <w:u w:val="single"/>
              </w:rPr>
              <w:t>Development set</w:t>
            </w:r>
          </w:p>
        </w:tc>
        <w:tc>
          <w:tcPr>
            <w:tcW w:w="5215" w:type="dxa"/>
            <w:tcBorders>
              <w:top w:val="single" w:sz="2" w:space="0" w:color="000000"/>
              <w:left w:val="single" w:sz="2" w:space="0" w:color="000000"/>
              <w:bottom w:val="single" w:sz="2" w:space="0" w:color="000000"/>
              <w:right w:val="single" w:sz="2" w:space="0" w:color="000000"/>
            </w:tcBorders>
          </w:tcPr>
          <w:p>
            <w:pPr>
              <w:pStyle w:val="TableContents"/>
              <w:bidi w:val="0"/>
              <w:jc w:val="left"/>
              <w:rPr>
                <w:b w:val="false"/>
                <w:b w:val="false"/>
                <w:bCs w:val="false"/>
                <w:u w:val="single"/>
              </w:rPr>
            </w:pPr>
            <w:r>
              <w:rPr>
                <w:b w:val="false"/>
                <w:bCs w:val="false"/>
                <w:u w:val="single"/>
              </w:rPr>
              <w:t>Test set</w:t>
            </w:r>
          </w:p>
        </w:tc>
      </w:tr>
      <w:tr>
        <w:trPr/>
        <w:tc>
          <w:tcPr>
            <w:tcW w:w="5216" w:type="dxa"/>
            <w:tcBorders>
              <w:left w:val="single" w:sz="2" w:space="0" w:color="000000"/>
              <w:bottom w:val="single" w:sz="2" w:space="0" w:color="000000"/>
            </w:tcBorders>
          </w:tcPr>
          <w:p>
            <w:pPr>
              <w:pStyle w:val="Normal"/>
              <w:bidi w:val="0"/>
              <w:jc w:val="left"/>
              <w:rPr>
                <w:sz w:val="20"/>
                <w:szCs w:val="20"/>
              </w:rPr>
            </w:pPr>
            <w:r>
              <w:rPr>
                <w:sz w:val="20"/>
                <w:szCs w:val="20"/>
              </w:rPr>
              <w:t>Dataset size: 2000</w:t>
            </w:r>
          </w:p>
          <w:p>
            <w:pPr>
              <w:pStyle w:val="Normal"/>
              <w:bidi w:val="0"/>
              <w:jc w:val="left"/>
              <w:rPr>
                <w:sz w:val="20"/>
                <w:szCs w:val="20"/>
              </w:rPr>
            </w:pPr>
            <w:r>
              <w:rPr>
                <w:sz w:val="20"/>
                <w:szCs w:val="20"/>
              </w:rPr>
              <w:t>Sequence Offset: +/- 1</w:t>
            </w:r>
          </w:p>
          <w:p>
            <w:pPr>
              <w:pStyle w:val="Normal"/>
              <w:bidi w:val="0"/>
              <w:jc w:val="left"/>
              <w:rPr>
                <w:sz w:val="20"/>
                <w:szCs w:val="20"/>
              </w:rPr>
            </w:pPr>
            <w:r>
              <w:rPr>
                <w:sz w:val="20"/>
                <w:szCs w:val="20"/>
              </w:rPr>
              <w:t>LCS_min: 3</w:t>
            </w:r>
          </w:p>
          <w:p>
            <w:pPr>
              <w:pStyle w:val="Normal"/>
              <w:bidi w:val="0"/>
              <w:jc w:val="left"/>
              <w:rPr>
                <w:sz w:val="20"/>
                <w:szCs w:val="20"/>
              </w:rPr>
            </w:pPr>
            <w:r>
              <w:rPr>
                <w:sz w:val="20"/>
                <w:szCs w:val="20"/>
              </w:rPr>
              <w:t>Compositional/Fixed replacement: Fixed</w:t>
            </w:r>
          </w:p>
          <w:p>
            <w:pPr>
              <w:pStyle w:val="Normal"/>
              <w:bidi w:val="0"/>
              <w:jc w:val="left"/>
              <w:rPr>
                <w:sz w:val="20"/>
                <w:szCs w:val="20"/>
              </w:rPr>
            </w:pPr>
            <w:r>
              <w:rPr>
                <w:sz w:val="20"/>
                <w:szCs w:val="20"/>
              </w:rPr>
              <w:t>Max_len replacement: 10</w:t>
            </w:r>
          </w:p>
        </w:tc>
        <w:tc>
          <w:tcPr>
            <w:tcW w:w="5215" w:type="dxa"/>
            <w:tcBorders>
              <w:left w:val="single" w:sz="2" w:space="0" w:color="000000"/>
              <w:bottom w:val="single" w:sz="2" w:space="0" w:color="000000"/>
              <w:right w:val="single" w:sz="2" w:space="0" w:color="000000"/>
            </w:tcBorders>
          </w:tcPr>
          <w:p>
            <w:pPr>
              <w:pStyle w:val="Normal"/>
              <w:bidi w:val="0"/>
              <w:jc w:val="left"/>
              <w:rPr>
                <w:sz w:val="20"/>
                <w:szCs w:val="20"/>
              </w:rPr>
            </w:pPr>
            <w:r>
              <w:rPr>
                <w:sz w:val="20"/>
                <w:szCs w:val="20"/>
              </w:rPr>
              <w:t>Dataset size: 2000</w:t>
            </w:r>
          </w:p>
          <w:p>
            <w:pPr>
              <w:pStyle w:val="Normal"/>
              <w:bidi w:val="0"/>
              <w:jc w:val="left"/>
              <w:rPr>
                <w:sz w:val="20"/>
                <w:szCs w:val="20"/>
              </w:rPr>
            </w:pPr>
            <w:r>
              <w:rPr>
                <w:sz w:val="20"/>
                <w:szCs w:val="20"/>
              </w:rPr>
              <w:t>Sequence Offset: 0</w:t>
            </w:r>
          </w:p>
          <w:p>
            <w:pPr>
              <w:pStyle w:val="Normal"/>
              <w:bidi w:val="0"/>
              <w:jc w:val="left"/>
              <w:rPr>
                <w:sz w:val="20"/>
                <w:szCs w:val="20"/>
              </w:rPr>
            </w:pPr>
            <w:r>
              <w:rPr>
                <w:sz w:val="20"/>
                <w:szCs w:val="20"/>
              </w:rPr>
              <w:t>LCS_min: 3</w:t>
            </w:r>
          </w:p>
          <w:p>
            <w:pPr>
              <w:pStyle w:val="Normal"/>
              <w:bidi w:val="0"/>
              <w:jc w:val="left"/>
              <w:rPr>
                <w:sz w:val="20"/>
                <w:szCs w:val="20"/>
              </w:rPr>
            </w:pPr>
            <w:r>
              <w:rPr>
                <w:sz w:val="20"/>
                <w:szCs w:val="20"/>
              </w:rPr>
              <w:t>Compositional/Fixed replacement: Fixed</w:t>
            </w:r>
          </w:p>
          <w:p>
            <w:pPr>
              <w:pStyle w:val="Normal"/>
              <w:bidi w:val="0"/>
              <w:jc w:val="left"/>
              <w:rPr>
                <w:sz w:val="20"/>
                <w:szCs w:val="20"/>
              </w:rPr>
            </w:pPr>
            <w:r>
              <w:rPr>
                <w:sz w:val="20"/>
                <w:szCs w:val="20"/>
              </w:rPr>
              <w:t>Max_len replacement: 10</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u w:val="single"/>
        </w:rPr>
      </w:pPr>
      <w:r>
        <w:rPr>
          <w:u w:val="single"/>
        </w:rPr>
        <w:t>Augmentation Implementation - Optimal Parameters</w:t>
      </w:r>
    </w:p>
    <w:p>
      <w:pPr>
        <w:pStyle w:val="Normal"/>
        <w:bidi w:val="0"/>
        <w:jc w:val="left"/>
        <w:rPr/>
      </w:pPr>
      <w:r>
        <w:rPr/>
      </w:r>
    </w:p>
    <w:p>
      <w:pPr>
        <w:pStyle w:val="Normal"/>
        <w:bidi w:val="0"/>
        <w:jc w:val="left"/>
        <w:rPr>
          <w:color w:val="000000"/>
        </w:rPr>
      </w:pPr>
      <w:r>
        <w:rPr>
          <w:color w:val="000000"/>
        </w:rPr>
      </w:r>
    </w:p>
    <w:p>
      <w:pPr>
        <w:pStyle w:val="Normal"/>
        <w:bidi w:val="0"/>
        <w:jc w:val="left"/>
        <w:rPr>
          <w:color w:val="000000"/>
        </w:rPr>
      </w:pPr>
      <w:r>
        <w:rPr>
          <w:color w:val="000000"/>
        </w:rPr>
        <w:t>A selection of parameters where chosen for assessment, initially with a datasize of 2000. Their results are given in table 4.2.3 below:</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11">
            <wp:simplePos x="0" y="0"/>
            <wp:positionH relativeFrom="column">
              <wp:posOffset>574040</wp:posOffset>
            </wp:positionH>
            <wp:positionV relativeFrom="paragraph">
              <wp:posOffset>169545</wp:posOffset>
            </wp:positionV>
            <wp:extent cx="5334635" cy="2286000"/>
            <wp:effectExtent l="0" t="0" r="0" b="0"/>
            <wp:wrapSquare wrapText="largest"/>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5"/>
                    <a:stretch>
                      <a:fillRect/>
                    </a:stretch>
                  </pic:blipFill>
                  <pic:spPr bwMode="auto">
                    <a:xfrm>
                      <a:off x="0" y="0"/>
                      <a:ext cx="5334635" cy="2286000"/>
                    </a:xfrm>
                    <a:prstGeom prst="rect">
                      <a:avLst/>
                    </a:prstGeom>
                  </pic:spPr>
                </pic:pic>
              </a:graphicData>
            </a:graphic>
          </wp:anchor>
        </w:drawing>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center"/>
        <w:rPr>
          <w:i/>
          <w:i/>
          <w:iCs/>
          <w:color w:val="000000"/>
          <w:sz w:val="20"/>
          <w:szCs w:val="20"/>
        </w:rPr>
      </w:pPr>
      <w:r>
        <w:rPr>
          <w:i/>
          <w:iCs/>
          <w:color w:val="000000"/>
          <w:sz w:val="20"/>
          <w:szCs w:val="20"/>
        </w:rPr>
      </w:r>
    </w:p>
    <w:p>
      <w:pPr>
        <w:pStyle w:val="Normal"/>
        <w:bidi w:val="0"/>
        <w:jc w:val="left"/>
        <w:rPr>
          <w:color w:val="C9211E"/>
        </w:rPr>
      </w:pPr>
      <w:r>
        <w:rPr>
          <w:color w:val="C9211E"/>
        </w:rPr>
      </w:r>
    </w:p>
    <w:p>
      <w:pPr>
        <w:pStyle w:val="Normal"/>
        <w:bidi w:val="0"/>
        <w:jc w:val="left"/>
        <w:rPr/>
      </w:pPr>
      <w:r>
        <w:rPr/>
      </w:r>
    </w:p>
    <w:p>
      <w:pPr>
        <w:pStyle w:val="Normal"/>
        <w:bidi w:val="0"/>
        <w:jc w:val="left"/>
        <w:rPr/>
      </w:pPr>
      <w:r>
        <w:rPr/>
      </w:r>
    </w:p>
    <w:p>
      <w:pPr>
        <w:pStyle w:val="Normal"/>
        <w:bidi w:val="0"/>
        <w:jc w:val="left"/>
        <w:rPr>
          <w:sz w:val="20"/>
          <w:szCs w:val="20"/>
        </w:rPr>
      </w:pPr>
      <w:r>
        <w:rPr/>
      </w:r>
    </w:p>
    <w:sectPr>
      <w:type w:val="continuous"/>
      <w:pgSz w:w="11906" w:h="16838"/>
      <w:pgMar w:left="737" w:right="737" w:header="567" w:top="1126" w:footer="567" w:bottom="1126"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4330" w:leader="none"/>
        <w:tab w:val="center" w:pos="5216" w:leader="none"/>
        <w:tab w:val="right" w:pos="10432" w:leader="none"/>
      </w:tabs>
      <w:bidi w:val="0"/>
      <w:jc w:val="left"/>
      <w:rPr>
        <w:color w:val="666666"/>
        <w:sz w:val="16"/>
        <w:szCs w:val="16"/>
      </w:rPr>
    </w:pPr>
    <w:r>
      <w:rPr>
        <w:color w:val="666666"/>
        <w:sz w:val="16"/>
        <w:szCs w:val="16"/>
      </w:rPr>
      <w:t>N</w:t>
    </w:r>
    <w:r>
      <w:rPr>
        <w:color w:val="666666"/>
        <w:sz w:val="16"/>
        <w:szCs w:val="16"/>
      </w:rPr>
      <w:t>eural Methods for Morphological Inflection</w:t>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5216" w:leader="none"/>
        <w:tab w:val="right" w:pos="10432" w:leader="none"/>
      </w:tabs>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rFonts w:ascii="Liberation Mono" w:hAnsi="Liberation Mono" w:eastAsia="Noto Sans Mono CJK SC" w:cs="Liberation Mono"/>
      <w:sz w:val="20"/>
      <w:szCs w:val="20"/>
    </w:rPr>
  </w:style>
  <w:style w:type="paragraph" w:styleId="Bibliography1">
    <w:name w:val="Bibliography 1"/>
    <w:basedOn w:val="Index"/>
    <w:qFormat/>
    <w:pPr>
      <w:tabs>
        <w:tab w:val="clear" w:pos="720"/>
      </w:tabs>
      <w:spacing w:lineRule="atLeast" w:line="480" w:before="0" w:after="0"/>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LibreOffice/6.4.6.2$Linux_X86_64 LibreOffice_project/40$Build-2</Application>
  <Pages>9</Pages>
  <Words>3463</Words>
  <Characters>19949</Characters>
  <CharactersWithSpaces>23144</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2021-05-27T08:32:18Z</dcterms:created>
  <dc:creator/>
  <dc:description/>
  <dc:language>en-AU</dc:language>
  <cp:lastModifiedBy/>
  <dcterms:modified xsi:type="dcterms:W3CDTF">2021-06-26T12:57:37Z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id="KfP00gH7"/&gt;&lt;style id="http://www.zotero.org/styles/apa" locale="en-US" hasBibliography="1" bibliographyStyleHasBeenSet="1"/&gt;&lt;prefs&gt;&lt;pref name="fieldType" value="ReferenceMark"/&gt;&lt;pref name="auto</vt:lpwstr>
  </property>
  <property fmtid="{D5CDD505-2E9C-101B-9397-08002B2CF9AE}" pid="3" name="ZOTERO_PREF_2">
    <vt:lpwstr>maticJournalAbbreviations" value="true"/&gt;&lt;/prefs&gt;&lt;/data&gt;</vt:lpwstr>
  </property>
</Properties>
</file>