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F0C" w:rsidRDefault="005A5DB2">
      <w:r>
        <w:t>Minority Rights</w:t>
      </w:r>
      <w:r w:rsidR="00225877">
        <w:t xml:space="preserve"> Resolution Issue Sheet</w:t>
      </w:r>
    </w:p>
    <w:p w:rsidR="00225877" w:rsidRDefault="00225877"/>
    <w:p w:rsidR="00225877" w:rsidRDefault="00225877">
      <w:r>
        <w:t xml:space="preserve">Resolution: </w:t>
      </w:r>
      <w:r w:rsidR="005A5DB2">
        <w:t xml:space="preserve">The land title of indigenous groups in the United States </w:t>
      </w:r>
      <w:r w:rsidR="00030B80">
        <w:t>shall</w:t>
      </w:r>
      <w:r w:rsidR="005A5DB2">
        <w:t xml:space="preserve"> be expanded to encompass all traditional territory controlled by that indigenous group, even if that group was semi-nomadic.</w:t>
      </w:r>
      <w:r w:rsidR="005A5DB2">
        <w:rPr>
          <w:rStyle w:val="FootnoteReference"/>
        </w:rPr>
        <w:footnoteReference w:id="1"/>
      </w:r>
      <w:r w:rsidR="005A5DB2">
        <w:t xml:space="preserve"> This would bring the United States into line with international best practices, exemplified by Canada’s Indigenous People’s Act and upheld in the 2014 Supreme Court of Canada decision, </w:t>
      </w:r>
      <w:proofErr w:type="spellStart"/>
      <w:r w:rsidR="005A5DB2" w:rsidRPr="005A5DB2">
        <w:rPr>
          <w:bCs/>
          <w:i/>
          <w:iCs/>
        </w:rPr>
        <w:t>Tsilhqot'in</w:t>
      </w:r>
      <w:proofErr w:type="spellEnd"/>
      <w:r w:rsidR="005A5DB2" w:rsidRPr="005A5DB2">
        <w:rPr>
          <w:bCs/>
          <w:i/>
          <w:iCs/>
        </w:rPr>
        <w:t xml:space="preserve"> Nation v British Columbia</w:t>
      </w:r>
      <w:r w:rsidR="005A5DB2" w:rsidRPr="005A5DB2">
        <w:t> </w:t>
      </w:r>
      <w:hyperlink r:id="rId7" w:history="1">
        <w:r w:rsidR="005A5DB2" w:rsidRPr="005A5DB2">
          <w:rPr>
            <w:rStyle w:val="Hyperlink"/>
          </w:rPr>
          <w:t>2014 SCC 44</w:t>
        </w:r>
      </w:hyperlink>
      <w:r w:rsidR="005A5DB2">
        <w:t>.</w:t>
      </w:r>
    </w:p>
    <w:p w:rsidR="00225877" w:rsidRDefault="00225877"/>
    <w:p w:rsidR="00225877" w:rsidRDefault="00225877">
      <w:r>
        <w:t xml:space="preserve">Sponsor: </w:t>
      </w:r>
      <w:r w:rsidR="005A5DB2">
        <w:t>Difference Liberal Faction</w:t>
      </w:r>
    </w:p>
    <w:p w:rsidR="00030B80" w:rsidRDefault="00030B80"/>
    <w:p w:rsidR="00030B80" w:rsidRDefault="00030B80">
      <w:r>
        <w:t xml:space="preserve">Commentary: “Because the state cannot be neutral with respect to culture, it has a special duty to protect the property rights of indigenous peoples. This resolution will reduce the normalizing effect of non-ownership on disadvantaged </w:t>
      </w:r>
      <w:proofErr w:type="gramStart"/>
      <w:r>
        <w:t>groups, and</w:t>
      </w:r>
      <w:proofErr w:type="gramEnd"/>
      <w:r>
        <w:t xml:space="preserve"> go some way towards rectifying unchosen inequalities.”</w:t>
      </w:r>
    </w:p>
    <w:p w:rsidR="00225877" w:rsidRDefault="00225877">
      <w:bookmarkStart w:id="0" w:name="_GoBack"/>
      <w:bookmarkEnd w:id="0"/>
    </w:p>
    <w:p w:rsidR="00D80192" w:rsidRDefault="00225877" w:rsidP="00D80192">
      <w:r>
        <w:t xml:space="preserve">Status: </w:t>
      </w:r>
      <w:r w:rsidR="00D80192">
        <w:t>This resolution, or a version of it, must be voted on by the close of the third legislative session unless the assembly, by majority vote, chooses to consider a different resolution.</w:t>
      </w:r>
    </w:p>
    <w:p w:rsidR="00030B80" w:rsidRDefault="00030B80" w:rsidP="00D80192"/>
    <w:p w:rsidR="00030B80" w:rsidRDefault="00030B80" w:rsidP="00D80192">
      <w:r>
        <w:rPr>
          <w:noProof/>
        </w:rPr>
        <w:drawing>
          <wp:inline distT="0" distB="0" distL="0" distR="0">
            <wp:extent cx="3409950" cy="3259912"/>
            <wp:effectExtent l="0" t="0" r="0" b="0"/>
            <wp:docPr id="1" name="Picture 1" descr="Image result for map of native americans califor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p of native americans californ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9" cy="326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77" w:rsidRDefault="00225877"/>
    <w:sectPr w:rsidR="00225877" w:rsidSect="00D534AA">
      <w:pgSz w:w="11899" w:h="16838"/>
      <w:pgMar w:top="1440" w:right="1797" w:bottom="1440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FCF" w:rsidRDefault="00BF5FCF" w:rsidP="005A5DB2">
      <w:r>
        <w:separator/>
      </w:r>
    </w:p>
  </w:endnote>
  <w:endnote w:type="continuationSeparator" w:id="0">
    <w:p w:rsidR="00BF5FCF" w:rsidRDefault="00BF5FCF" w:rsidP="005A5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FCF" w:rsidRDefault="00BF5FCF" w:rsidP="005A5DB2">
      <w:r>
        <w:separator/>
      </w:r>
    </w:p>
  </w:footnote>
  <w:footnote w:type="continuationSeparator" w:id="0">
    <w:p w:rsidR="00BF5FCF" w:rsidRDefault="00BF5FCF" w:rsidP="005A5DB2">
      <w:r>
        <w:continuationSeparator/>
      </w:r>
    </w:p>
  </w:footnote>
  <w:footnote w:id="1">
    <w:p w:rsidR="005A5DB2" w:rsidRPr="005A5DB2" w:rsidRDefault="005A5DB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676EDA">
        <w:t>Much</w:t>
      </w:r>
      <w:r>
        <w:rPr>
          <w:lang w:val="en-US"/>
        </w:rPr>
        <w:t xml:space="preserve"> of the Western United States, including more than </w:t>
      </w:r>
      <w:r w:rsidR="00676EDA">
        <w:rPr>
          <w:lang w:val="en-US"/>
        </w:rPr>
        <w:t>4</w:t>
      </w:r>
      <w:r>
        <w:rPr>
          <w:lang w:val="en-US"/>
        </w:rPr>
        <w:t>0% of Arizona, California, Idaho, Oregon, Montana, Nevada, New Mexico, Utah and Washington would be returned to native ownership.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90109"/>
    <w:multiLevelType w:val="hybridMultilevel"/>
    <w:tmpl w:val="8DD6ACA8"/>
    <w:lvl w:ilvl="0" w:tplc="432C833E">
      <w:numFmt w:val="bullet"/>
      <w:pStyle w:val="BulletbodyLG"/>
      <w:lvlText w:val=""/>
      <w:lvlJc w:val="left"/>
      <w:pPr>
        <w:tabs>
          <w:tab w:val="num" w:pos="298"/>
        </w:tabs>
        <w:ind w:left="298" w:hanging="298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877"/>
    <w:rsid w:val="000234BB"/>
    <w:rsid w:val="00030B80"/>
    <w:rsid w:val="000F24A4"/>
    <w:rsid w:val="001A7179"/>
    <w:rsid w:val="00225877"/>
    <w:rsid w:val="004132D0"/>
    <w:rsid w:val="005A5DB2"/>
    <w:rsid w:val="00676EDA"/>
    <w:rsid w:val="007F1F16"/>
    <w:rsid w:val="00885AA6"/>
    <w:rsid w:val="008D7B54"/>
    <w:rsid w:val="00973BE5"/>
    <w:rsid w:val="00A93F0C"/>
    <w:rsid w:val="00AD7BB1"/>
    <w:rsid w:val="00B80570"/>
    <w:rsid w:val="00BF5FCF"/>
    <w:rsid w:val="00D534AA"/>
    <w:rsid w:val="00D80192"/>
    <w:rsid w:val="00E56441"/>
    <w:rsid w:val="00EA5C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502695"/>
  <w15:docId w15:val="{272CCF9A-301A-4E6B-8C20-C5F567C3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" w:eastAsiaTheme="minorEastAsia" w:hAnsi="Palatino" w:cs="Times New Roman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204"/>
  </w:style>
  <w:style w:type="paragraph" w:styleId="Heading1">
    <w:name w:val="heading 1"/>
    <w:basedOn w:val="Normal"/>
    <w:next w:val="Normal"/>
    <w:qFormat/>
    <w:rsid w:val="000F0AB7"/>
    <w:pPr>
      <w:keepNext/>
      <w:spacing w:before="720" w:after="360" w:line="360" w:lineRule="auto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0F0AB7"/>
    <w:pPr>
      <w:keepNext/>
      <w:spacing w:before="720" w:after="360" w:line="360" w:lineRule="auto"/>
      <w:outlineLvl w:val="1"/>
    </w:pPr>
    <w:rPr>
      <w:rFonts w:eastAsia="Times"/>
      <w:b/>
      <w:i/>
      <w:szCs w:val="20"/>
      <w:lang w:val="en-GB"/>
    </w:rPr>
  </w:style>
  <w:style w:type="paragraph" w:styleId="Heading3">
    <w:name w:val="heading 3"/>
    <w:basedOn w:val="Normal"/>
    <w:next w:val="Normal"/>
    <w:qFormat/>
    <w:rsid w:val="000F0AB7"/>
    <w:pPr>
      <w:keepNext/>
      <w:spacing w:before="480" w:after="120" w:line="360" w:lineRule="auto"/>
      <w:ind w:left="567"/>
      <w:outlineLvl w:val="2"/>
    </w:pPr>
    <w:rPr>
      <w:rFonts w:eastAsia="Times"/>
      <w:b/>
      <w:i/>
      <w:szCs w:val="20"/>
      <w:lang w:val="en-GB"/>
    </w:rPr>
  </w:style>
  <w:style w:type="paragraph" w:styleId="Heading4">
    <w:name w:val="heading 4"/>
    <w:basedOn w:val="Normal"/>
    <w:next w:val="Normal"/>
    <w:qFormat/>
    <w:rsid w:val="000F0AB7"/>
    <w:pPr>
      <w:keepNext/>
      <w:spacing w:before="360" w:after="60" w:line="360" w:lineRule="auto"/>
      <w:ind w:left="1134"/>
      <w:outlineLvl w:val="3"/>
    </w:pPr>
    <w:rPr>
      <w:rFonts w:eastAsia="Times"/>
      <w:i/>
      <w:szCs w:val="20"/>
      <w:lang w:val="en-GB"/>
    </w:rPr>
  </w:style>
  <w:style w:type="paragraph" w:styleId="Heading5">
    <w:name w:val="heading 5"/>
    <w:basedOn w:val="Normal"/>
    <w:next w:val="Normal"/>
    <w:qFormat/>
    <w:rsid w:val="000F0AB7"/>
    <w:pPr>
      <w:spacing w:before="240" w:after="60" w:line="360" w:lineRule="auto"/>
      <w:outlineLvl w:val="4"/>
    </w:pPr>
    <w:rPr>
      <w:rFonts w:eastAsia="Times"/>
      <w:szCs w:val="20"/>
      <w:u w:val="single"/>
      <w:lang w:val="en-GB"/>
    </w:rPr>
  </w:style>
  <w:style w:type="paragraph" w:styleId="Heading6">
    <w:name w:val="heading 6"/>
    <w:basedOn w:val="Normal"/>
    <w:next w:val="Normal"/>
    <w:qFormat/>
    <w:rsid w:val="000F0AB7"/>
    <w:pPr>
      <w:spacing w:before="240" w:after="60" w:line="360" w:lineRule="auto"/>
      <w:outlineLvl w:val="5"/>
    </w:pPr>
    <w:rPr>
      <w:rFonts w:ascii="Times New Roman" w:eastAsia="Times" w:hAnsi="Times New Roman"/>
      <w:b/>
      <w:sz w:val="22"/>
      <w:szCs w:val="22"/>
    </w:rPr>
  </w:style>
  <w:style w:type="paragraph" w:styleId="Heading7">
    <w:name w:val="heading 7"/>
    <w:basedOn w:val="Normal"/>
    <w:next w:val="Normal"/>
    <w:qFormat/>
    <w:rsid w:val="000F0AB7"/>
    <w:pPr>
      <w:spacing w:before="120" w:line="360" w:lineRule="auto"/>
      <w:ind w:left="3119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F0AB7"/>
    <w:pPr>
      <w:spacing w:before="240" w:after="60" w:line="360" w:lineRule="auto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0F0AB7"/>
    <w:pPr>
      <w:keepNext/>
      <w:spacing w:before="120" w:line="360" w:lineRule="auto"/>
      <w:jc w:val="center"/>
      <w:outlineLvl w:val="8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F0AB7"/>
    <w:pPr>
      <w:spacing w:before="120" w:line="360" w:lineRule="auto"/>
    </w:pPr>
    <w:rPr>
      <w:rFonts w:ascii="Lucida Grande" w:hAnsi="Lucida Grande"/>
      <w:sz w:val="18"/>
      <w:szCs w:val="18"/>
    </w:rPr>
  </w:style>
  <w:style w:type="paragraph" w:styleId="BlockText">
    <w:name w:val="Block Text"/>
    <w:basedOn w:val="Normal"/>
    <w:rsid w:val="000F0AB7"/>
    <w:pPr>
      <w:spacing w:before="240" w:after="240" w:line="360" w:lineRule="auto"/>
      <w:ind w:left="851" w:right="907"/>
    </w:pPr>
  </w:style>
  <w:style w:type="paragraph" w:styleId="BodyText">
    <w:name w:val="Body Text"/>
    <w:basedOn w:val="Normal"/>
    <w:rsid w:val="000F0AB7"/>
    <w:pPr>
      <w:spacing w:before="120" w:line="360" w:lineRule="auto"/>
      <w:ind w:right="-871"/>
    </w:pPr>
    <w:rPr>
      <w:rFonts w:ascii="Verdana" w:hAnsi="Verdana"/>
      <w:sz w:val="20"/>
      <w:szCs w:val="20"/>
    </w:rPr>
  </w:style>
  <w:style w:type="paragraph" w:styleId="BodyTextIndent">
    <w:name w:val="Body Text Indent"/>
    <w:basedOn w:val="Normal"/>
    <w:rsid w:val="000F0AB7"/>
    <w:pPr>
      <w:spacing w:before="120" w:line="360" w:lineRule="auto"/>
      <w:ind w:left="720"/>
    </w:pPr>
  </w:style>
  <w:style w:type="paragraph" w:customStyle="1" w:styleId="BulletbodyLG">
    <w:name w:val="Bullet body LG"/>
    <w:basedOn w:val="Normal"/>
    <w:rsid w:val="000F0AB7"/>
    <w:pPr>
      <w:numPr>
        <w:numId w:val="1"/>
      </w:numPr>
      <w:spacing w:before="120" w:line="360" w:lineRule="auto"/>
    </w:pPr>
  </w:style>
  <w:style w:type="character" w:styleId="EndnoteReference">
    <w:name w:val="endnote reference"/>
    <w:basedOn w:val="DefaultParagraphFont"/>
    <w:semiHidden/>
    <w:rsid w:val="000F0AB7"/>
    <w:rPr>
      <w:vertAlign w:val="superscript"/>
    </w:rPr>
  </w:style>
  <w:style w:type="paragraph" w:styleId="EndnoteText">
    <w:name w:val="endnote text"/>
    <w:basedOn w:val="Normal"/>
    <w:semiHidden/>
    <w:rsid w:val="000F0AB7"/>
    <w:pPr>
      <w:spacing w:before="120" w:line="360" w:lineRule="auto"/>
    </w:pPr>
  </w:style>
  <w:style w:type="paragraph" w:styleId="Footer">
    <w:name w:val="footer"/>
    <w:basedOn w:val="Normal"/>
    <w:semiHidden/>
    <w:rsid w:val="000F0AB7"/>
    <w:pPr>
      <w:tabs>
        <w:tab w:val="center" w:pos="4320"/>
        <w:tab w:val="right" w:pos="8640"/>
      </w:tabs>
      <w:spacing w:before="120" w:line="360" w:lineRule="auto"/>
    </w:pPr>
  </w:style>
  <w:style w:type="character" w:styleId="FootnoteReference">
    <w:name w:val="footnote reference"/>
    <w:basedOn w:val="DefaultParagraphFont"/>
    <w:rsid w:val="000F0AB7"/>
    <w:rPr>
      <w:vertAlign w:val="superscript"/>
    </w:rPr>
  </w:style>
  <w:style w:type="paragraph" w:styleId="FootnoteText">
    <w:name w:val="footnote text"/>
    <w:basedOn w:val="Normal"/>
    <w:rsid w:val="000F0AB7"/>
    <w:pPr>
      <w:spacing w:before="120" w:line="360" w:lineRule="auto"/>
    </w:pPr>
    <w:rPr>
      <w:sz w:val="20"/>
      <w:szCs w:val="20"/>
    </w:rPr>
  </w:style>
  <w:style w:type="paragraph" w:styleId="Header">
    <w:name w:val="header"/>
    <w:basedOn w:val="Normal"/>
    <w:rsid w:val="000F0AB7"/>
    <w:pPr>
      <w:tabs>
        <w:tab w:val="center" w:pos="4320"/>
        <w:tab w:val="right" w:pos="8640"/>
      </w:tabs>
      <w:spacing w:before="120" w:line="360" w:lineRule="auto"/>
    </w:pPr>
  </w:style>
  <w:style w:type="character" w:styleId="PageNumber">
    <w:name w:val="page number"/>
    <w:basedOn w:val="DefaultParagraphFont"/>
    <w:rsid w:val="000F0AB7"/>
  </w:style>
  <w:style w:type="table" w:styleId="TableGrid">
    <w:name w:val="Table Grid"/>
    <w:basedOn w:val="TableNormal"/>
    <w:rsid w:val="000F0AB7"/>
    <w:pPr>
      <w:spacing w:before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0F0AB7"/>
    <w:pPr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5A5D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canlii.org/en/ca/scc/doc/2014/2014scc44/2014scc4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Lamey</dc:creator>
  <cp:keywords/>
  <dc:description/>
  <cp:lastModifiedBy>mwdrap@gmail.com</cp:lastModifiedBy>
  <cp:revision>7</cp:revision>
  <dcterms:created xsi:type="dcterms:W3CDTF">2019-11-03T23:48:00Z</dcterms:created>
  <dcterms:modified xsi:type="dcterms:W3CDTF">2019-11-04T01:16:00Z</dcterms:modified>
</cp:coreProperties>
</file>