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B8EA2" w14:textId="51DC0C8E" w:rsidR="008A0127" w:rsidRPr="00E21687" w:rsidRDefault="00C945B7">
      <w:pPr>
        <w:rPr>
          <w:rFonts w:ascii="Palatino Linotype" w:hAnsi="Palatino Linotype" w:cs="Times New Roman"/>
          <w:sz w:val="24"/>
          <w:szCs w:val="24"/>
        </w:rPr>
      </w:pPr>
      <w:r>
        <w:rPr>
          <w:rFonts w:ascii="Palatino Linotype" w:hAnsi="Palatino Linotype" w:cs="Times New Roman"/>
          <w:sz w:val="24"/>
          <w:szCs w:val="24"/>
        </w:rPr>
        <w:t>Arnesonian</w:t>
      </w:r>
      <w:r w:rsidR="00607711" w:rsidRPr="00E21687">
        <w:rPr>
          <w:rFonts w:ascii="Palatino Linotype" w:hAnsi="Palatino Linotype" w:cs="Times New Roman"/>
          <w:sz w:val="24"/>
          <w:szCs w:val="24"/>
        </w:rPr>
        <w:t xml:space="preserve"> role sheet</w:t>
      </w:r>
    </w:p>
    <w:p w14:paraId="566B82EA" w14:textId="77777777" w:rsidR="00607711" w:rsidRPr="00E21687" w:rsidRDefault="00607711">
      <w:pPr>
        <w:rPr>
          <w:rFonts w:ascii="Palatino Linotype" w:hAnsi="Palatino Linotype" w:cs="Times New Roman"/>
          <w:b/>
          <w:sz w:val="24"/>
          <w:szCs w:val="24"/>
        </w:rPr>
      </w:pPr>
      <w:r w:rsidRPr="00E21687">
        <w:rPr>
          <w:rFonts w:ascii="Palatino Linotype" w:hAnsi="Palatino Linotype" w:cs="Times New Roman"/>
          <w:b/>
          <w:sz w:val="24"/>
          <w:szCs w:val="24"/>
        </w:rPr>
        <w:t>Core Beliefs</w:t>
      </w:r>
    </w:p>
    <w:p w14:paraId="758A2F56" w14:textId="0D780DC2" w:rsidR="00607711" w:rsidRDefault="00607711">
      <w:pPr>
        <w:rPr>
          <w:rFonts w:ascii="Palatino Linotype" w:hAnsi="Palatino Linotype" w:cs="Times New Roman"/>
          <w:sz w:val="24"/>
          <w:szCs w:val="24"/>
        </w:rPr>
      </w:pPr>
      <w:r w:rsidRPr="00E21687">
        <w:rPr>
          <w:rFonts w:ascii="Palatino Linotype" w:hAnsi="Palatino Linotype" w:cs="Times New Roman"/>
          <w:sz w:val="24"/>
          <w:szCs w:val="24"/>
        </w:rPr>
        <w:t xml:space="preserve">You are a proponent of the philosophy of </w:t>
      </w:r>
      <w:r w:rsidR="00C945B7">
        <w:rPr>
          <w:rFonts w:ascii="Palatino Linotype" w:hAnsi="Palatino Linotype" w:cs="Times New Roman"/>
          <w:sz w:val="24"/>
          <w:szCs w:val="24"/>
        </w:rPr>
        <w:t>Richard Arneson</w:t>
      </w:r>
      <w:r w:rsidRPr="00E21687">
        <w:rPr>
          <w:rFonts w:ascii="Palatino Linotype" w:hAnsi="Palatino Linotype" w:cs="Times New Roman"/>
          <w:sz w:val="24"/>
          <w:szCs w:val="24"/>
        </w:rPr>
        <w:t xml:space="preserve"> as it is outlined in </w:t>
      </w:r>
      <w:r w:rsidR="00C945B7">
        <w:rPr>
          <w:rFonts w:ascii="Palatino Linotype" w:hAnsi="Palatino Linotype" w:cs="Times New Roman"/>
          <w:sz w:val="24"/>
          <w:szCs w:val="24"/>
        </w:rPr>
        <w:t>“Equality and Equal Opportunity for Welfare”.</w:t>
      </w:r>
      <w:r w:rsidR="00D66DC7">
        <w:rPr>
          <w:rFonts w:ascii="Palatino Linotype" w:hAnsi="Palatino Linotype" w:cs="Times New Roman"/>
          <w:sz w:val="24"/>
          <w:szCs w:val="24"/>
        </w:rPr>
        <w:t xml:space="preserve"> This text</w:t>
      </w:r>
      <w:r w:rsidRPr="00E21687">
        <w:rPr>
          <w:rFonts w:ascii="Palatino Linotype" w:hAnsi="Palatino Linotype" w:cs="Times New Roman"/>
          <w:sz w:val="24"/>
          <w:szCs w:val="24"/>
        </w:rPr>
        <w:t xml:space="preserve"> is the foundation of your beliefs. At some moments in the game, it may be obvious how </w:t>
      </w:r>
      <w:r w:rsidR="00C945B7">
        <w:rPr>
          <w:rFonts w:ascii="Palatino Linotype" w:hAnsi="Palatino Linotype" w:cs="Times New Roman"/>
          <w:sz w:val="24"/>
          <w:szCs w:val="24"/>
        </w:rPr>
        <w:t>Arneson’s</w:t>
      </w:r>
      <w:r w:rsidRPr="00E21687">
        <w:rPr>
          <w:rFonts w:ascii="Palatino Linotype" w:hAnsi="Palatino Linotype" w:cs="Times New Roman"/>
          <w:sz w:val="24"/>
          <w:szCs w:val="24"/>
        </w:rPr>
        <w:t xml:space="preserve"> arguments oblige you to speak and act. However, at other times it will likely be unclear how to apply the </w:t>
      </w:r>
      <w:r w:rsidR="00C945B7">
        <w:rPr>
          <w:rFonts w:ascii="Palatino Linotype" w:hAnsi="Palatino Linotype" w:cs="Times New Roman"/>
          <w:sz w:val="24"/>
          <w:szCs w:val="24"/>
        </w:rPr>
        <w:t>essay’s</w:t>
      </w:r>
      <w:r w:rsidRPr="00E21687">
        <w:rPr>
          <w:rFonts w:ascii="Palatino Linotype" w:hAnsi="Palatino Linotype" w:cs="Times New Roman"/>
          <w:sz w:val="24"/>
          <w:szCs w:val="24"/>
        </w:rPr>
        <w:t xml:space="preserve"> abstract principles to current political issues. In such instances, you will need to decide for yourself what to say or do. So long as your speech and actions do not contradict your foundational principles, you will be living up to your role.</w:t>
      </w:r>
    </w:p>
    <w:p w14:paraId="7C5DABD8" w14:textId="733F145B" w:rsidR="00BC674F" w:rsidRDefault="00BC674F" w:rsidP="00BC674F">
      <w:pPr>
        <w:rPr>
          <w:rFonts w:ascii="Palatino Linotype" w:hAnsi="Palatino Linotype" w:cs="Times New Roman"/>
          <w:b/>
          <w:sz w:val="24"/>
          <w:szCs w:val="24"/>
        </w:rPr>
      </w:pPr>
      <w:r>
        <w:rPr>
          <w:rFonts w:ascii="Palatino Linotype" w:hAnsi="Palatino Linotype" w:cs="Times New Roman"/>
          <w:b/>
          <w:sz w:val="24"/>
          <w:szCs w:val="24"/>
        </w:rPr>
        <w:t>Major Goals</w:t>
      </w:r>
    </w:p>
    <w:p w14:paraId="68C6E7B2" w14:textId="7A61339E" w:rsidR="00C945B7" w:rsidRDefault="00C945B7" w:rsidP="00C945B7">
      <w:pPr>
        <w:rPr>
          <w:rFonts w:ascii="Palatino Linotype" w:hAnsi="Palatino Linotype" w:cs="Times New Roman"/>
          <w:sz w:val="24"/>
          <w:szCs w:val="24"/>
        </w:rPr>
      </w:pPr>
      <w:r>
        <w:rPr>
          <w:rFonts w:ascii="Palatino Linotype" w:hAnsi="Palatino Linotype" w:cs="Times New Roman"/>
          <w:sz w:val="24"/>
          <w:szCs w:val="24"/>
        </w:rPr>
        <w:t xml:space="preserve">You believe that distributive equality is best satisfied when each person has an equal opportunity for welfare. </w:t>
      </w:r>
      <w:r w:rsidRPr="00C945B7">
        <w:rPr>
          <w:rFonts w:ascii="Palatino Linotype" w:hAnsi="Palatino Linotype" w:cs="Times New Roman"/>
          <w:sz w:val="24"/>
          <w:szCs w:val="24"/>
        </w:rPr>
        <w:t>For equal</w:t>
      </w:r>
      <w:r>
        <w:rPr>
          <w:rFonts w:ascii="Palatino Linotype" w:hAnsi="Palatino Linotype" w:cs="Times New Roman"/>
          <w:sz w:val="24"/>
          <w:szCs w:val="24"/>
        </w:rPr>
        <w:t xml:space="preserve"> </w:t>
      </w:r>
      <w:r w:rsidRPr="00C945B7">
        <w:rPr>
          <w:rFonts w:ascii="Palatino Linotype" w:hAnsi="Palatino Linotype" w:cs="Times New Roman"/>
          <w:sz w:val="24"/>
          <w:szCs w:val="24"/>
        </w:rPr>
        <w:t>opportunity for welfare to obtain, each</w:t>
      </w:r>
      <w:r>
        <w:rPr>
          <w:rFonts w:ascii="Palatino Linotype" w:hAnsi="Palatino Linotype" w:cs="Times New Roman"/>
          <w:sz w:val="24"/>
          <w:szCs w:val="24"/>
        </w:rPr>
        <w:t xml:space="preserve"> person </w:t>
      </w:r>
      <w:r w:rsidRPr="00C945B7">
        <w:rPr>
          <w:rFonts w:ascii="Palatino Linotype" w:hAnsi="Palatino Linotype" w:cs="Times New Roman"/>
          <w:sz w:val="24"/>
          <w:szCs w:val="24"/>
        </w:rPr>
        <w:t>must face an array of options that is equivalent to every other person's</w:t>
      </w:r>
      <w:r>
        <w:rPr>
          <w:rFonts w:ascii="Palatino Linotype" w:hAnsi="Palatino Linotype" w:cs="Times New Roman"/>
          <w:sz w:val="24"/>
          <w:szCs w:val="24"/>
        </w:rPr>
        <w:t xml:space="preserve"> </w:t>
      </w:r>
      <w:r w:rsidRPr="00C945B7">
        <w:rPr>
          <w:rFonts w:ascii="Palatino Linotype" w:hAnsi="Palatino Linotype" w:cs="Times New Roman"/>
          <w:sz w:val="24"/>
          <w:szCs w:val="24"/>
        </w:rPr>
        <w:t xml:space="preserve">in terms of the prospects for </w:t>
      </w:r>
      <w:r>
        <w:rPr>
          <w:rFonts w:ascii="Palatino Linotype" w:hAnsi="Palatino Linotype" w:cs="Times New Roman"/>
          <w:sz w:val="24"/>
          <w:szCs w:val="24"/>
        </w:rPr>
        <w:t xml:space="preserve">welfare </w:t>
      </w:r>
      <w:r w:rsidRPr="00C945B7">
        <w:rPr>
          <w:rFonts w:ascii="Palatino Linotype" w:hAnsi="Palatino Linotype" w:cs="Times New Roman"/>
          <w:sz w:val="24"/>
          <w:szCs w:val="24"/>
        </w:rPr>
        <w:t>it offers</w:t>
      </w:r>
      <w:r>
        <w:rPr>
          <w:rFonts w:ascii="Palatino Linotype" w:hAnsi="Palatino Linotype" w:cs="Times New Roman"/>
          <w:sz w:val="24"/>
          <w:szCs w:val="24"/>
        </w:rPr>
        <w:t>, where welfare is defined as the satisfaction of self-interested hypothetical preferences. In other words, what would a person’s preferences be under ideal circumstances and given full deliberation? You are committed to the view that people should only be responsible for their own freely chosen actions, which leads you to worry less about inequality resulting from individual choice. In short, whether or not two people face equivalent opportunities for welfare depends on whether they face equivalent arrays of options.</w:t>
      </w:r>
    </w:p>
    <w:p w14:paraId="6558C42B" w14:textId="34105F37" w:rsidR="00C945B7" w:rsidRDefault="00BB73E0" w:rsidP="00C945B7">
      <w:pPr>
        <w:rPr>
          <w:rFonts w:ascii="Palatino Linotype" w:hAnsi="Palatino Linotype" w:cs="Times New Roman"/>
          <w:sz w:val="24"/>
          <w:szCs w:val="24"/>
        </w:rPr>
      </w:pPr>
      <w:r>
        <w:rPr>
          <w:rFonts w:ascii="Palatino Linotype" w:hAnsi="Palatino Linotype" w:cs="Times New Roman"/>
          <w:sz w:val="24"/>
          <w:szCs w:val="24"/>
        </w:rPr>
        <w:t xml:space="preserve">Arneson (and you) take great care to distinguish this position from one that would define distributive equality as equal opportunity for </w:t>
      </w:r>
      <w:r>
        <w:rPr>
          <w:rFonts w:ascii="Palatino Linotype" w:hAnsi="Palatino Linotype" w:cs="Times New Roman"/>
          <w:i/>
          <w:sz w:val="24"/>
          <w:szCs w:val="24"/>
        </w:rPr>
        <w:t>resources</w:t>
      </w:r>
      <w:r>
        <w:rPr>
          <w:rFonts w:ascii="Palatino Linotype" w:hAnsi="Palatino Linotype" w:cs="Times New Roman"/>
          <w:sz w:val="24"/>
          <w:szCs w:val="24"/>
        </w:rPr>
        <w:t xml:space="preserve">. This position (advanced by uniform liberals such as Rawls and Dworkin) produces unacceptable results because if we do not include individual talents and skills in the redistribution scheme, the resulting distribution will be dramatically unequal, but if we </w:t>
      </w:r>
      <w:r>
        <w:rPr>
          <w:rFonts w:ascii="Palatino Linotype" w:hAnsi="Palatino Linotype" w:cs="Times New Roman"/>
          <w:i/>
          <w:sz w:val="24"/>
          <w:szCs w:val="24"/>
        </w:rPr>
        <w:t>do</w:t>
      </w:r>
      <w:r>
        <w:rPr>
          <w:rFonts w:ascii="Palatino Linotype" w:hAnsi="Palatino Linotype" w:cs="Times New Roman"/>
          <w:sz w:val="24"/>
          <w:szCs w:val="24"/>
        </w:rPr>
        <w:t xml:space="preserve"> include individual skills and talents in the redistribution, the resulting distribution will cause inequality in the other direction as the talented will need to contribute relatively more of their time and effort to society (see “Harrison Bergeron”, below).</w:t>
      </w:r>
    </w:p>
    <w:p w14:paraId="230CE72F" w14:textId="77777777" w:rsidR="00D97B49" w:rsidRPr="00D97B49" w:rsidRDefault="00D97B49" w:rsidP="00D97B49">
      <w:pPr>
        <w:rPr>
          <w:rFonts w:ascii="Palatino Linotype" w:hAnsi="Palatino Linotype" w:cs="Times New Roman"/>
          <w:sz w:val="24"/>
          <w:szCs w:val="24"/>
        </w:rPr>
      </w:pPr>
      <w:r w:rsidRPr="00D97B49">
        <w:rPr>
          <w:rFonts w:ascii="Palatino Linotype" w:hAnsi="Palatino Linotype" w:cs="Times New Roman"/>
          <w:sz w:val="24"/>
          <w:szCs w:val="24"/>
        </w:rPr>
        <w:t xml:space="preserve">Unlike some other characters, you have a separate issue of concern. The United Nations will soon review its Human Development Index (HDI), an international ranking of countries according to their level of development. The notion of </w:t>
      </w:r>
      <w:r w:rsidRPr="00D97B49">
        <w:rPr>
          <w:rFonts w:ascii="Palatino Linotype" w:hAnsi="Palatino Linotype" w:cs="Times New Roman"/>
          <w:sz w:val="24"/>
          <w:szCs w:val="24"/>
        </w:rPr>
        <w:lastRenderedPageBreak/>
        <w:t>development that the HDI has traditionally employed is based on capabilities, reflecting the involvement of Amartya Sen. The review, however, means there is a real possibility that that may change. You believe that the HDI should be not be revised but rather should continue to be broadly based on the notion of capabilities. It will be a major victory for you if you can convince the assembly to pass a resolution, written by you, stating as much. The purpose of doing so will be to send a message to the UN in the hope of influence its review. </w:t>
      </w:r>
    </w:p>
    <w:p w14:paraId="06101971" w14:textId="5FB354D3" w:rsidR="00D97B49" w:rsidRPr="00D97B49" w:rsidRDefault="00D97B49" w:rsidP="00D97B49">
      <w:pPr>
        <w:rPr>
          <w:rFonts w:ascii="Palatino Linotype" w:hAnsi="Palatino Linotype" w:cs="Times New Roman"/>
          <w:sz w:val="24"/>
          <w:szCs w:val="24"/>
        </w:rPr>
      </w:pPr>
      <w:r w:rsidRPr="00D97B49">
        <w:rPr>
          <w:rFonts w:ascii="Palatino Linotype" w:hAnsi="Palatino Linotype" w:cs="Times New Roman"/>
          <w:sz w:val="24"/>
          <w:szCs w:val="24"/>
        </w:rPr>
        <w:t>Note that your resolution does not need to outline the particulars of the HDI in any detail: your concern is with the philosophy of its overall approach. So long as you can convince the assembly to endorse your broad philosophy as it pertains to the HDI, you will have achieved a significant personal victory. But be warned: there may be other players in the game who want the HDI to take a different approach. Remember that you can bargain with factions and other indeterminates, possibly voting to support a measure of theirs in return for their support of yours</w:t>
      </w:r>
      <w:r>
        <w:rPr>
          <w:rFonts w:ascii="Palatino Linotype" w:hAnsi="Palatino Linotype" w:cs="Times New Roman"/>
          <w:sz w:val="24"/>
          <w:szCs w:val="24"/>
        </w:rPr>
        <w:t xml:space="preserve">. </w:t>
      </w:r>
      <w:r w:rsidRPr="00D97B49">
        <w:rPr>
          <w:rFonts w:ascii="Palatino Linotype" w:hAnsi="Palatino Linotype" w:cs="Times New Roman"/>
          <w:sz w:val="24"/>
          <w:szCs w:val="24"/>
        </w:rPr>
        <w:t>More information on the HDI is available at: </w:t>
      </w:r>
      <w:hyperlink r:id="rId4" w:tgtFrame="_blank" w:tooltip="http://hdr.undp.org/en/humandev&#10;Cmd+Click to follow link" w:history="1">
        <w:r w:rsidRPr="00D97B49">
          <w:rPr>
            <w:rStyle w:val="Hyperlink"/>
            <w:rFonts w:ascii="Palatino Linotype" w:hAnsi="Palatino Linotype" w:cs="Times New Roman"/>
            <w:sz w:val="24"/>
            <w:szCs w:val="24"/>
          </w:rPr>
          <w:t>http://hdr.undp.org/en/humandev</w:t>
        </w:r>
      </w:hyperlink>
      <w:r w:rsidRPr="00D97B49">
        <w:rPr>
          <w:rFonts w:ascii="Palatino Linotype" w:hAnsi="Palatino Linotype" w:cs="Times New Roman"/>
          <w:sz w:val="24"/>
          <w:szCs w:val="24"/>
        </w:rPr>
        <w:t>. See in particular the section, “Intellectual and Historical Underpinnings.”</w:t>
      </w:r>
    </w:p>
    <w:p w14:paraId="7321A262" w14:textId="77777777" w:rsidR="00D97B49" w:rsidRPr="00BB73E0" w:rsidRDefault="00D97B49" w:rsidP="00C945B7">
      <w:pPr>
        <w:rPr>
          <w:rFonts w:ascii="Palatino Linotype" w:hAnsi="Palatino Linotype" w:cs="Times New Roman"/>
          <w:sz w:val="24"/>
          <w:szCs w:val="24"/>
        </w:rPr>
      </w:pPr>
    </w:p>
    <w:p w14:paraId="287BC33B" w14:textId="4F78B611" w:rsidR="001330C1" w:rsidRPr="001330C1" w:rsidRDefault="001330C1">
      <w:pPr>
        <w:rPr>
          <w:rFonts w:ascii="Palatino Linotype" w:hAnsi="Palatino Linotype" w:cs="Times New Roman"/>
          <w:b/>
          <w:sz w:val="24"/>
          <w:szCs w:val="24"/>
        </w:rPr>
      </w:pPr>
      <w:r>
        <w:rPr>
          <w:rFonts w:ascii="Palatino Linotype" w:hAnsi="Palatino Linotype" w:cs="Times New Roman"/>
          <w:b/>
          <w:sz w:val="24"/>
          <w:szCs w:val="24"/>
        </w:rPr>
        <w:t>Tips and Strategies</w:t>
      </w:r>
    </w:p>
    <w:p w14:paraId="0BDC8030" w14:textId="0B01D846" w:rsidR="00C16F28" w:rsidRDefault="00C16F28" w:rsidP="001330C1">
      <w:pPr>
        <w:rPr>
          <w:rFonts w:ascii="Palatino Linotype" w:hAnsi="Palatino Linotype" w:cs="Times New Roman"/>
          <w:sz w:val="24"/>
          <w:szCs w:val="24"/>
        </w:rPr>
      </w:pPr>
      <w:r>
        <w:rPr>
          <w:rFonts w:ascii="Palatino Linotype" w:hAnsi="Palatino Linotype" w:cs="Times New Roman"/>
          <w:sz w:val="24"/>
          <w:szCs w:val="24"/>
        </w:rPr>
        <w:t xml:space="preserve">When voting on raising or lowering national welfare provisions, you will have to decide whether you think the proposal helps to equalize the opportunity for welfare. For example, you are likely to react favorably to proposals targeting populations with below-average prospects, but less favorably to proposals that provide handouts to all citizens. Your position on immigration will be shaped by your view that immigration dramatically improves </w:t>
      </w:r>
      <w:r w:rsidRPr="00A545EB">
        <w:rPr>
          <w:rFonts w:ascii="Palatino Linotype" w:hAnsi="Palatino Linotype" w:cs="Times New Roman"/>
          <w:i/>
          <w:sz w:val="24"/>
          <w:szCs w:val="24"/>
        </w:rPr>
        <w:t>immigrants’</w:t>
      </w:r>
      <w:r>
        <w:rPr>
          <w:rFonts w:ascii="Palatino Linotype" w:hAnsi="Palatino Linotype" w:cs="Times New Roman"/>
          <w:sz w:val="24"/>
          <w:szCs w:val="24"/>
        </w:rPr>
        <w:t xml:space="preserve"> opportunities for welfare while at the same time exerting a</w:t>
      </w:r>
      <w:r w:rsidR="00A545EB">
        <w:rPr>
          <w:rFonts w:ascii="Palatino Linotype" w:hAnsi="Palatino Linotype" w:cs="Times New Roman"/>
          <w:sz w:val="24"/>
          <w:szCs w:val="24"/>
        </w:rPr>
        <w:t xml:space="preserve"> modest</w:t>
      </w:r>
      <w:r>
        <w:rPr>
          <w:rFonts w:ascii="Palatino Linotype" w:hAnsi="Palatino Linotype" w:cs="Times New Roman"/>
          <w:sz w:val="24"/>
          <w:szCs w:val="24"/>
        </w:rPr>
        <w:t xml:space="preserve"> adverse effect on a </w:t>
      </w:r>
      <w:r w:rsidRPr="00A545EB">
        <w:rPr>
          <w:rFonts w:ascii="Palatino Linotype" w:hAnsi="Palatino Linotype" w:cs="Times New Roman"/>
          <w:i/>
          <w:sz w:val="24"/>
          <w:szCs w:val="24"/>
        </w:rPr>
        <w:t>society’s</w:t>
      </w:r>
      <w:r>
        <w:rPr>
          <w:rFonts w:ascii="Palatino Linotype" w:hAnsi="Palatino Linotype" w:cs="Times New Roman"/>
          <w:sz w:val="24"/>
          <w:szCs w:val="24"/>
        </w:rPr>
        <w:t xml:space="preserve"> distributive equality (because </w:t>
      </w:r>
      <w:r w:rsidR="00A545EB">
        <w:rPr>
          <w:rFonts w:ascii="Palatino Linotype" w:hAnsi="Palatino Linotype" w:cs="Times New Roman"/>
          <w:sz w:val="24"/>
          <w:szCs w:val="24"/>
        </w:rPr>
        <w:t>that society</w:t>
      </w:r>
      <w:r>
        <w:rPr>
          <w:rFonts w:ascii="Palatino Linotype" w:hAnsi="Palatino Linotype" w:cs="Times New Roman"/>
          <w:sz w:val="24"/>
          <w:szCs w:val="24"/>
        </w:rPr>
        <w:t xml:space="preserve"> now contains a wider range of prospects for welfare). Similarly, you will evaluate proposals to grant or withhold minority rights instrumentally, on the basis of their propensity to enhance equal opportunity for welfare.</w:t>
      </w:r>
    </w:p>
    <w:p w14:paraId="22C4A9B2" w14:textId="69861AFB" w:rsidR="00BB73E0" w:rsidRDefault="00BB73E0" w:rsidP="001330C1">
      <w:pPr>
        <w:rPr>
          <w:rFonts w:ascii="Palatino Linotype" w:hAnsi="Palatino Linotype" w:cs="Times New Roman"/>
          <w:sz w:val="24"/>
          <w:szCs w:val="24"/>
        </w:rPr>
      </w:pPr>
      <w:r>
        <w:rPr>
          <w:rFonts w:ascii="Palatino Linotype" w:hAnsi="Palatino Linotype" w:cs="Times New Roman"/>
          <w:sz w:val="24"/>
          <w:szCs w:val="24"/>
        </w:rPr>
        <w:t>For the reasons</w:t>
      </w:r>
      <w:r w:rsidR="00C16F28">
        <w:rPr>
          <w:rFonts w:ascii="Palatino Linotype" w:hAnsi="Palatino Linotype" w:cs="Times New Roman"/>
          <w:sz w:val="24"/>
          <w:szCs w:val="24"/>
        </w:rPr>
        <w:t xml:space="preserve"> mentioned above</w:t>
      </w:r>
      <w:r>
        <w:rPr>
          <w:rFonts w:ascii="Palatino Linotype" w:hAnsi="Palatino Linotype" w:cs="Times New Roman"/>
          <w:sz w:val="24"/>
          <w:szCs w:val="24"/>
        </w:rPr>
        <w:t xml:space="preserve">, you will be reluctant to cooperate with the Uniform Liberalism faction if they suggest equalizing resources. The small government faction is also likely to suggest equalizing resources, understood as property rights. While you might support this position in a hypothetical scenario </w:t>
      </w:r>
      <w:r>
        <w:rPr>
          <w:rFonts w:ascii="Palatino Linotype" w:hAnsi="Palatino Linotype" w:cs="Times New Roman"/>
          <w:sz w:val="24"/>
          <w:szCs w:val="24"/>
        </w:rPr>
        <w:lastRenderedPageBreak/>
        <w:t xml:space="preserve">where property endowments were equal in the first place, if the proposal is simply to codify existing property rights you will likely reject it. When engaging with difference liberalism, you will </w:t>
      </w:r>
      <w:r w:rsidR="00C16F28">
        <w:rPr>
          <w:rFonts w:ascii="Palatino Linotype" w:hAnsi="Palatino Linotype" w:cs="Times New Roman"/>
          <w:sz w:val="24"/>
          <w:szCs w:val="24"/>
        </w:rPr>
        <w:t xml:space="preserve">be skeptical of attempts to </w:t>
      </w:r>
      <w:r w:rsidR="00A545EB">
        <w:rPr>
          <w:rFonts w:ascii="Palatino Linotype" w:hAnsi="Palatino Linotype" w:cs="Times New Roman"/>
          <w:sz w:val="24"/>
          <w:szCs w:val="24"/>
        </w:rPr>
        <w:t>enhance</w:t>
      </w:r>
      <w:r w:rsidR="00C16F28">
        <w:rPr>
          <w:rFonts w:ascii="Palatino Linotype" w:hAnsi="Palatino Linotype" w:cs="Times New Roman"/>
          <w:sz w:val="24"/>
          <w:szCs w:val="24"/>
        </w:rPr>
        <w:t xml:space="preserve"> group rights if these rights provide different capabilities to different groups, because you believe that each person should face an array of options that is equivalent to every other person’s in terms of the prospects for preference satisfaction it offers.</w:t>
      </w:r>
    </w:p>
    <w:p w14:paraId="128C45B6" w14:textId="1A206A9A" w:rsidR="00C16F28" w:rsidRPr="00EC7D48" w:rsidRDefault="00C16F28" w:rsidP="001330C1">
      <w:pPr>
        <w:rPr>
          <w:rFonts w:ascii="Palatino Linotype" w:hAnsi="Palatino Linotype" w:cs="Times New Roman"/>
          <w:sz w:val="24"/>
          <w:szCs w:val="24"/>
        </w:rPr>
      </w:pPr>
      <w:r>
        <w:rPr>
          <w:rFonts w:ascii="Palatino Linotype" w:hAnsi="Palatino Linotype" w:cs="Times New Roman"/>
          <w:sz w:val="24"/>
          <w:szCs w:val="24"/>
        </w:rPr>
        <w:t xml:space="preserve">Should any followers of Amartya Sen’s and Martha Nussbaum’s capabilities approach be present, you will find you have much common ground. </w:t>
      </w:r>
      <w:r w:rsidR="00AA1516">
        <w:rPr>
          <w:rFonts w:ascii="Palatino Linotype" w:hAnsi="Palatino Linotype" w:cs="Times New Roman"/>
          <w:sz w:val="24"/>
          <w:szCs w:val="24"/>
        </w:rPr>
        <w:t xml:space="preserve">Your only major point of difference is that unlike these thinkers, you do not believe that capabilities have any value independent of the preferences of the people who hold them. Similarly, followers of Michael Walzer’s idea of complex equality provide a fruitful basis for cooperation. In addition, adherents of K.C. Tan’s luck egalitarianism, if present, will share your view that distributive justice should be luck-insensitive and choice-sensitive, though you are prepared to go </w:t>
      </w:r>
      <w:r w:rsidR="00A545EB">
        <w:rPr>
          <w:rFonts w:ascii="Palatino Linotype" w:hAnsi="Palatino Linotype" w:cs="Times New Roman"/>
          <w:sz w:val="24"/>
          <w:szCs w:val="24"/>
        </w:rPr>
        <w:t>further</w:t>
      </w:r>
      <w:r w:rsidR="00AA1516">
        <w:rPr>
          <w:rFonts w:ascii="Palatino Linotype" w:hAnsi="Palatino Linotype" w:cs="Times New Roman"/>
          <w:sz w:val="24"/>
          <w:szCs w:val="24"/>
        </w:rPr>
        <w:t xml:space="preserve"> and assert that it must also include equal opportunity for hypothetical preference satisfaction.</w:t>
      </w:r>
    </w:p>
    <w:p w14:paraId="27829C77" w14:textId="77777777" w:rsidR="008153DC" w:rsidRDefault="008153DC" w:rsidP="00EC7D48">
      <w:pPr>
        <w:pStyle w:val="BodyA"/>
        <w:rPr>
          <w:rFonts w:ascii="Palatino" w:hAnsi="Palatino"/>
          <w:b/>
          <w:lang w:val="de-DE"/>
        </w:rPr>
      </w:pPr>
    </w:p>
    <w:p w14:paraId="1BC9C516" w14:textId="660B7ADA" w:rsidR="000A79FC" w:rsidRDefault="000A79FC" w:rsidP="00EC7D48">
      <w:pPr>
        <w:pStyle w:val="BodyA"/>
        <w:rPr>
          <w:rFonts w:ascii="Palatino" w:hAnsi="Palatino"/>
          <w:b/>
          <w:lang w:val="de-DE"/>
        </w:rPr>
      </w:pPr>
      <w:r>
        <w:rPr>
          <w:rFonts w:ascii="Palatino" w:hAnsi="Palatino"/>
          <w:b/>
          <w:lang w:val="de-DE"/>
        </w:rPr>
        <w:t xml:space="preserve">Primary </w:t>
      </w:r>
      <w:r w:rsidR="00D66DC7">
        <w:rPr>
          <w:rFonts w:ascii="Palatino" w:hAnsi="Palatino"/>
          <w:b/>
          <w:lang w:val="de-DE"/>
        </w:rPr>
        <w:t>Text</w:t>
      </w:r>
      <w:r>
        <w:rPr>
          <w:rFonts w:ascii="Palatino" w:hAnsi="Palatino"/>
          <w:b/>
          <w:lang w:val="de-DE"/>
        </w:rPr>
        <w:t>:</w:t>
      </w:r>
    </w:p>
    <w:p w14:paraId="5E28C31F" w14:textId="4D8BFB20" w:rsidR="00C945B7" w:rsidRPr="00C945B7" w:rsidRDefault="00C945B7" w:rsidP="00C945B7">
      <w:pPr>
        <w:pStyle w:val="BodyA"/>
        <w:rPr>
          <w:rFonts w:ascii="Palatino" w:hAnsi="Palatino"/>
        </w:rPr>
      </w:pPr>
      <w:r w:rsidRPr="00C945B7">
        <w:rPr>
          <w:rFonts w:ascii="Palatino" w:hAnsi="Palatino"/>
        </w:rPr>
        <w:t>Arneson</w:t>
      </w:r>
      <w:r w:rsidR="00C16F28">
        <w:rPr>
          <w:rFonts w:ascii="Palatino" w:hAnsi="Palatino"/>
        </w:rPr>
        <w:t>,</w:t>
      </w:r>
      <w:r w:rsidRPr="00C945B7">
        <w:rPr>
          <w:rFonts w:ascii="Palatino" w:hAnsi="Palatino"/>
        </w:rPr>
        <w:t xml:space="preserve"> </w:t>
      </w:r>
      <w:r w:rsidR="00A545EB" w:rsidRPr="00C945B7">
        <w:rPr>
          <w:rFonts w:ascii="Palatino" w:hAnsi="Palatino"/>
        </w:rPr>
        <w:t>Richard</w:t>
      </w:r>
      <w:r w:rsidR="00A545EB">
        <w:rPr>
          <w:rFonts w:ascii="Palatino" w:hAnsi="Palatino"/>
        </w:rPr>
        <w:t>, “</w:t>
      </w:r>
      <w:r w:rsidRPr="00C945B7">
        <w:rPr>
          <w:rFonts w:ascii="Palatino" w:hAnsi="Palatino"/>
        </w:rPr>
        <w:t>Equality and Equal Opportunity for Welfare</w:t>
      </w:r>
      <w:r w:rsidR="00A545EB">
        <w:rPr>
          <w:rFonts w:ascii="Palatino" w:hAnsi="Palatino"/>
        </w:rPr>
        <w:t>”</w:t>
      </w:r>
      <w:r w:rsidRPr="00C945B7">
        <w:rPr>
          <w:rFonts w:ascii="Palatino" w:hAnsi="Palatino"/>
        </w:rPr>
        <w:t xml:space="preserve">. </w:t>
      </w:r>
      <w:r w:rsidRPr="00C945B7">
        <w:rPr>
          <w:rFonts w:ascii="Palatino" w:hAnsi="Palatino"/>
          <w:i/>
        </w:rPr>
        <w:t>Philosophical Studies</w:t>
      </w:r>
      <w:r w:rsidRPr="00C945B7">
        <w:rPr>
          <w:rFonts w:ascii="Palatino" w:hAnsi="Palatino"/>
        </w:rPr>
        <w:t xml:space="preserve"> 56/1 (1989): 77-93.</w:t>
      </w:r>
    </w:p>
    <w:p w14:paraId="103F4374" w14:textId="77777777" w:rsidR="00194B60" w:rsidRDefault="00194B60" w:rsidP="00EC7D48">
      <w:pPr>
        <w:pStyle w:val="BodyA"/>
        <w:rPr>
          <w:rFonts w:ascii="Palatino" w:hAnsi="Palatino"/>
          <w:lang w:val="de-DE"/>
        </w:rPr>
      </w:pPr>
    </w:p>
    <w:p w14:paraId="5EB8FF37" w14:textId="77777777" w:rsidR="004240DE" w:rsidRDefault="004240DE" w:rsidP="00EC7D48">
      <w:pPr>
        <w:pStyle w:val="BodyA"/>
        <w:rPr>
          <w:rFonts w:ascii="Palatino" w:hAnsi="Palatino"/>
          <w:b/>
          <w:lang w:val="de-DE"/>
        </w:rPr>
      </w:pPr>
      <w:r>
        <w:rPr>
          <w:rFonts w:ascii="Palatino" w:hAnsi="Palatino"/>
          <w:b/>
          <w:lang w:val="de-DE"/>
        </w:rPr>
        <w:t>Further Reading:</w:t>
      </w:r>
    </w:p>
    <w:p w14:paraId="2D141564" w14:textId="2039536B" w:rsidR="00A545EB" w:rsidRDefault="00A545EB" w:rsidP="00BC674F">
      <w:pPr>
        <w:pStyle w:val="BodyA"/>
        <w:rPr>
          <w:rFonts w:ascii="Palatino" w:hAnsi="Palatino"/>
          <w:lang w:val="de-DE"/>
        </w:rPr>
      </w:pPr>
      <w:r>
        <w:rPr>
          <w:rFonts w:ascii="Palatino" w:hAnsi="Palatino"/>
          <w:lang w:val="de-DE"/>
        </w:rPr>
        <w:t xml:space="preserve">Arneson, Richard, “Democratic Equality and Relating as Equals“ </w:t>
      </w:r>
      <w:r w:rsidRPr="00A545EB">
        <w:rPr>
          <w:rFonts w:ascii="Palatino" w:hAnsi="Palatino"/>
          <w:i/>
          <w:lang w:val="de-DE"/>
        </w:rPr>
        <w:t>Canadian Journal of Philosophy</w:t>
      </w:r>
      <w:r>
        <w:rPr>
          <w:rFonts w:ascii="Palatino" w:hAnsi="Palatino"/>
          <w:lang w:val="de-DE"/>
        </w:rPr>
        <w:t>, 40:sup2, (2010): 25-52.</w:t>
      </w:r>
    </w:p>
    <w:p w14:paraId="7B3B6CB7" w14:textId="77777777" w:rsidR="00A545EB" w:rsidRDefault="00A545EB" w:rsidP="00BC674F">
      <w:pPr>
        <w:pStyle w:val="BodyA"/>
        <w:rPr>
          <w:rFonts w:ascii="Palatino" w:hAnsi="Palatino"/>
          <w:lang w:val="de-DE"/>
        </w:rPr>
      </w:pPr>
    </w:p>
    <w:p w14:paraId="577BE5F1" w14:textId="63DDC3A5" w:rsidR="00D97B49" w:rsidRPr="00BB73E0" w:rsidRDefault="00BB73E0" w:rsidP="00BC674F">
      <w:pPr>
        <w:pStyle w:val="BodyA"/>
        <w:rPr>
          <w:rFonts w:ascii="Palatino" w:hAnsi="Palatino"/>
          <w:lang w:val="de-DE"/>
        </w:rPr>
      </w:pPr>
      <w:r>
        <w:rPr>
          <w:rFonts w:ascii="Palatino" w:hAnsi="Palatino"/>
          <w:lang w:val="de-DE"/>
        </w:rPr>
        <w:t>Vonnegut, Kurt</w:t>
      </w:r>
      <w:r w:rsidR="00A545EB">
        <w:rPr>
          <w:rFonts w:ascii="Palatino" w:hAnsi="Palatino"/>
          <w:lang w:val="de-DE"/>
        </w:rPr>
        <w:t>,</w:t>
      </w:r>
      <w:r w:rsidR="00C16F28">
        <w:rPr>
          <w:rFonts w:ascii="Palatino" w:hAnsi="Palatino"/>
          <w:lang w:val="de-DE"/>
        </w:rPr>
        <w:t xml:space="preserve"> </w:t>
      </w:r>
      <w:r>
        <w:rPr>
          <w:rFonts w:ascii="Palatino" w:hAnsi="Palatino"/>
          <w:lang w:val="de-DE"/>
        </w:rPr>
        <w:t xml:space="preserve">“Harrison Bergeron“ in </w:t>
      </w:r>
      <w:r>
        <w:rPr>
          <w:rFonts w:ascii="Palatino" w:hAnsi="Palatino"/>
          <w:i/>
          <w:lang w:val="de-DE"/>
        </w:rPr>
        <w:t>Welcome to the Monkey House</w:t>
      </w:r>
      <w:r>
        <w:rPr>
          <w:rFonts w:ascii="Palatino" w:hAnsi="Palatino"/>
          <w:lang w:val="de-DE"/>
        </w:rPr>
        <w:t>, Delacorte Press</w:t>
      </w:r>
      <w:r w:rsidR="00C16F28">
        <w:rPr>
          <w:rFonts w:ascii="Palatino" w:hAnsi="Palatino"/>
          <w:lang w:val="de-DE"/>
        </w:rPr>
        <w:t xml:space="preserve"> (1968)</w:t>
      </w:r>
      <w:r>
        <w:rPr>
          <w:rFonts w:ascii="Palatino" w:hAnsi="Palatino"/>
          <w:lang w:val="de-DE"/>
        </w:rPr>
        <w:t>.</w:t>
      </w:r>
    </w:p>
    <w:p w14:paraId="1719ED6B" w14:textId="6EC41810" w:rsidR="004240DE" w:rsidRDefault="004240DE" w:rsidP="00BC674F">
      <w:pPr>
        <w:pStyle w:val="BodyA"/>
        <w:rPr>
          <w:rFonts w:ascii="Palatino" w:hAnsi="Palatino"/>
          <w:b/>
          <w:lang w:val="de-DE"/>
        </w:rPr>
      </w:pPr>
    </w:p>
    <w:tbl>
      <w:tblPr>
        <w:tblStyle w:val="TableGrid"/>
        <w:tblW w:w="9613" w:type="dxa"/>
        <w:tblLook w:val="04A0" w:firstRow="1" w:lastRow="0" w:firstColumn="1" w:lastColumn="0" w:noHBand="0" w:noVBand="1"/>
      </w:tblPr>
      <w:tblGrid>
        <w:gridCol w:w="2179"/>
        <w:gridCol w:w="7434"/>
      </w:tblGrid>
      <w:tr w:rsidR="00F34B4A" w:rsidRPr="00F34B4A" w14:paraId="68A4FA18" w14:textId="77777777" w:rsidTr="00F34B4A">
        <w:trPr>
          <w:trHeight w:val="450"/>
        </w:trPr>
        <w:tc>
          <w:tcPr>
            <w:tcW w:w="2179" w:type="dxa"/>
            <w:noWrap/>
            <w:hideMark/>
          </w:tcPr>
          <w:p w14:paraId="64B6B80D" w14:textId="77777777" w:rsidR="00F34B4A" w:rsidRPr="00F34B4A" w:rsidRDefault="00F34B4A" w:rsidP="00F34B4A">
            <w:pPr>
              <w:pStyle w:val="BodyA"/>
              <w:rPr>
                <w:rFonts w:ascii="Palatino" w:hAnsi="Palatino"/>
                <w:b/>
                <w:i/>
                <w:iCs/>
                <w:u w:val="single"/>
                <w:lang w:val="en-US"/>
              </w:rPr>
            </w:pPr>
            <w:r w:rsidRPr="00F34B4A">
              <w:rPr>
                <w:rFonts w:ascii="Palatino" w:hAnsi="Palatino"/>
                <w:b/>
                <w:i/>
                <w:iCs/>
                <w:u w:val="single"/>
                <w:lang w:val="en-US"/>
              </w:rPr>
              <w:t>Point Value</w:t>
            </w:r>
          </w:p>
        </w:tc>
        <w:tc>
          <w:tcPr>
            <w:tcW w:w="7434" w:type="dxa"/>
            <w:noWrap/>
            <w:hideMark/>
          </w:tcPr>
          <w:p w14:paraId="50BFC993" w14:textId="77777777" w:rsidR="00F34B4A" w:rsidRPr="00F34B4A" w:rsidRDefault="00F34B4A" w:rsidP="00F34B4A">
            <w:pPr>
              <w:pStyle w:val="BodyA"/>
              <w:rPr>
                <w:rFonts w:ascii="Palatino" w:hAnsi="Palatino"/>
                <w:b/>
                <w:i/>
                <w:iCs/>
                <w:u w:val="single"/>
                <w:lang w:val="en-US"/>
              </w:rPr>
            </w:pPr>
            <w:r w:rsidRPr="00F34B4A">
              <w:rPr>
                <w:rFonts w:ascii="Palatino" w:hAnsi="Palatino"/>
                <w:b/>
                <w:i/>
                <w:iCs/>
                <w:u w:val="single"/>
                <w:lang w:val="en-US"/>
              </w:rPr>
              <w:t>Action</w:t>
            </w:r>
          </w:p>
        </w:tc>
      </w:tr>
      <w:tr w:rsidR="00F34B4A" w:rsidRPr="00F34B4A" w14:paraId="4C5F308B" w14:textId="77777777" w:rsidTr="00F34B4A">
        <w:trPr>
          <w:trHeight w:val="450"/>
        </w:trPr>
        <w:tc>
          <w:tcPr>
            <w:tcW w:w="2179" w:type="dxa"/>
            <w:noWrap/>
            <w:hideMark/>
          </w:tcPr>
          <w:p w14:paraId="1C1B67ED" w14:textId="77777777" w:rsidR="00F34B4A" w:rsidRPr="00F34B4A" w:rsidRDefault="00F34B4A" w:rsidP="00F34B4A">
            <w:pPr>
              <w:pStyle w:val="BodyA"/>
              <w:rPr>
                <w:rFonts w:ascii="Palatino" w:hAnsi="Palatino"/>
                <w:b/>
                <w:lang w:val="en-US"/>
              </w:rPr>
            </w:pPr>
            <w:r w:rsidRPr="00F34B4A">
              <w:rPr>
                <w:rFonts w:ascii="Palatino" w:hAnsi="Palatino"/>
                <w:b/>
                <w:lang w:val="en-US"/>
              </w:rPr>
              <w:t>2</w:t>
            </w:r>
          </w:p>
        </w:tc>
        <w:tc>
          <w:tcPr>
            <w:tcW w:w="7434" w:type="dxa"/>
            <w:noWrap/>
            <w:hideMark/>
          </w:tcPr>
          <w:p w14:paraId="626EB694" w14:textId="77777777" w:rsidR="00F34B4A" w:rsidRPr="00F34B4A" w:rsidRDefault="00F34B4A" w:rsidP="00F34B4A">
            <w:pPr>
              <w:pStyle w:val="BodyA"/>
              <w:rPr>
                <w:rFonts w:ascii="Palatino" w:hAnsi="Palatino"/>
                <w:b/>
                <w:lang w:val="en-US"/>
              </w:rPr>
            </w:pPr>
            <w:r w:rsidRPr="00F34B4A">
              <w:rPr>
                <w:rFonts w:ascii="Palatino" w:hAnsi="Palatino"/>
                <w:b/>
                <w:lang w:val="en-US"/>
              </w:rPr>
              <w:t>Targeted increase in welfare provisions (to the most vulnerable)</w:t>
            </w:r>
          </w:p>
        </w:tc>
      </w:tr>
      <w:tr w:rsidR="00F34B4A" w:rsidRPr="00F34B4A" w14:paraId="4DB0CD4E" w14:textId="77777777" w:rsidTr="00F34B4A">
        <w:trPr>
          <w:trHeight w:val="450"/>
        </w:trPr>
        <w:tc>
          <w:tcPr>
            <w:tcW w:w="2179" w:type="dxa"/>
            <w:noWrap/>
            <w:hideMark/>
          </w:tcPr>
          <w:p w14:paraId="7AD62A18" w14:textId="77777777" w:rsidR="00F34B4A" w:rsidRPr="00F34B4A" w:rsidRDefault="00F34B4A" w:rsidP="00F34B4A">
            <w:pPr>
              <w:pStyle w:val="BodyA"/>
              <w:rPr>
                <w:rFonts w:ascii="Palatino" w:hAnsi="Palatino"/>
                <w:b/>
                <w:lang w:val="en-US"/>
              </w:rPr>
            </w:pPr>
            <w:r w:rsidRPr="00F34B4A">
              <w:rPr>
                <w:rFonts w:ascii="Palatino" w:hAnsi="Palatino"/>
                <w:b/>
                <w:lang w:val="en-US"/>
              </w:rPr>
              <w:t>1</w:t>
            </w:r>
          </w:p>
        </w:tc>
        <w:tc>
          <w:tcPr>
            <w:tcW w:w="7434" w:type="dxa"/>
            <w:noWrap/>
            <w:hideMark/>
          </w:tcPr>
          <w:p w14:paraId="0519E69D" w14:textId="77777777" w:rsidR="00F34B4A" w:rsidRPr="00F34B4A" w:rsidRDefault="00F34B4A" w:rsidP="00F34B4A">
            <w:pPr>
              <w:pStyle w:val="BodyA"/>
              <w:rPr>
                <w:rFonts w:ascii="Palatino" w:hAnsi="Palatino"/>
                <w:b/>
                <w:lang w:val="en-US"/>
              </w:rPr>
            </w:pPr>
            <w:r w:rsidRPr="00F34B4A">
              <w:rPr>
                <w:rFonts w:ascii="Palatino" w:hAnsi="Palatino"/>
                <w:b/>
                <w:lang w:val="en-US"/>
              </w:rPr>
              <w:t>Targeted increase in group rights (to equalize rights)</w:t>
            </w:r>
          </w:p>
        </w:tc>
      </w:tr>
      <w:tr w:rsidR="00F34B4A" w:rsidRPr="00F34B4A" w14:paraId="32548B23" w14:textId="77777777" w:rsidTr="00F34B4A">
        <w:trPr>
          <w:trHeight w:val="450"/>
        </w:trPr>
        <w:tc>
          <w:tcPr>
            <w:tcW w:w="2179" w:type="dxa"/>
            <w:noWrap/>
            <w:hideMark/>
          </w:tcPr>
          <w:p w14:paraId="12C112FD" w14:textId="77777777" w:rsidR="00F34B4A" w:rsidRPr="00F34B4A" w:rsidRDefault="00F34B4A" w:rsidP="00F34B4A">
            <w:pPr>
              <w:pStyle w:val="BodyA"/>
              <w:rPr>
                <w:rFonts w:ascii="Palatino" w:hAnsi="Palatino"/>
                <w:b/>
                <w:lang w:val="en-US"/>
              </w:rPr>
            </w:pPr>
            <w:r w:rsidRPr="00F34B4A">
              <w:rPr>
                <w:rFonts w:ascii="Palatino" w:hAnsi="Palatino"/>
                <w:b/>
                <w:lang w:val="en-US"/>
              </w:rPr>
              <w:t>1</w:t>
            </w:r>
          </w:p>
        </w:tc>
        <w:tc>
          <w:tcPr>
            <w:tcW w:w="7434" w:type="dxa"/>
            <w:noWrap/>
            <w:hideMark/>
          </w:tcPr>
          <w:p w14:paraId="14022BBC" w14:textId="77777777" w:rsidR="00F34B4A" w:rsidRPr="00F34B4A" w:rsidRDefault="00F34B4A" w:rsidP="00F34B4A">
            <w:pPr>
              <w:pStyle w:val="BodyA"/>
              <w:rPr>
                <w:rFonts w:ascii="Palatino" w:hAnsi="Palatino"/>
                <w:b/>
                <w:lang w:val="en-US"/>
              </w:rPr>
            </w:pPr>
            <w:r w:rsidRPr="00F34B4A">
              <w:rPr>
                <w:rFonts w:ascii="Palatino" w:hAnsi="Palatino"/>
                <w:b/>
                <w:lang w:val="en-US"/>
              </w:rPr>
              <w:t>UN HDI based on capabilities</w:t>
            </w:r>
          </w:p>
        </w:tc>
      </w:tr>
      <w:tr w:rsidR="00F34B4A" w:rsidRPr="00F34B4A" w14:paraId="3A401713" w14:textId="77777777" w:rsidTr="00F34B4A">
        <w:trPr>
          <w:trHeight w:val="450"/>
        </w:trPr>
        <w:tc>
          <w:tcPr>
            <w:tcW w:w="2179" w:type="dxa"/>
            <w:noWrap/>
            <w:hideMark/>
          </w:tcPr>
          <w:p w14:paraId="706A8E43" w14:textId="77777777" w:rsidR="00F34B4A" w:rsidRPr="00F34B4A" w:rsidRDefault="00F34B4A" w:rsidP="00F34B4A">
            <w:pPr>
              <w:pStyle w:val="BodyA"/>
              <w:rPr>
                <w:rFonts w:ascii="Palatino" w:hAnsi="Palatino"/>
                <w:b/>
                <w:lang w:val="en-US"/>
              </w:rPr>
            </w:pPr>
            <w:r w:rsidRPr="00F34B4A">
              <w:rPr>
                <w:rFonts w:ascii="Palatino" w:hAnsi="Palatino"/>
                <w:b/>
                <w:lang w:val="en-US"/>
              </w:rPr>
              <w:t>-1</w:t>
            </w:r>
          </w:p>
        </w:tc>
        <w:tc>
          <w:tcPr>
            <w:tcW w:w="7434" w:type="dxa"/>
            <w:noWrap/>
            <w:hideMark/>
          </w:tcPr>
          <w:p w14:paraId="42E0844B" w14:textId="77777777" w:rsidR="00F34B4A" w:rsidRPr="00F34B4A" w:rsidRDefault="00F34B4A" w:rsidP="00F34B4A">
            <w:pPr>
              <w:pStyle w:val="BodyA"/>
              <w:rPr>
                <w:rFonts w:ascii="Palatino" w:hAnsi="Palatino"/>
                <w:b/>
                <w:lang w:val="en-US"/>
              </w:rPr>
            </w:pPr>
            <w:r w:rsidRPr="00F34B4A">
              <w:rPr>
                <w:rFonts w:ascii="Palatino" w:hAnsi="Palatino"/>
                <w:b/>
                <w:lang w:val="en-US"/>
              </w:rPr>
              <w:t>Generalized increase in welfare provisions</w:t>
            </w:r>
          </w:p>
        </w:tc>
      </w:tr>
      <w:tr w:rsidR="00F34B4A" w:rsidRPr="00F34B4A" w14:paraId="3CEAC379" w14:textId="77777777" w:rsidTr="00F34B4A">
        <w:trPr>
          <w:trHeight w:val="450"/>
        </w:trPr>
        <w:tc>
          <w:tcPr>
            <w:tcW w:w="2179" w:type="dxa"/>
            <w:noWrap/>
            <w:hideMark/>
          </w:tcPr>
          <w:p w14:paraId="47C207F9" w14:textId="77777777" w:rsidR="00F34B4A" w:rsidRPr="00F34B4A" w:rsidRDefault="00F34B4A" w:rsidP="00F34B4A">
            <w:pPr>
              <w:pStyle w:val="BodyA"/>
              <w:rPr>
                <w:rFonts w:ascii="Palatino" w:hAnsi="Palatino"/>
                <w:b/>
                <w:lang w:val="en-US"/>
              </w:rPr>
            </w:pPr>
            <w:r w:rsidRPr="00F34B4A">
              <w:rPr>
                <w:rFonts w:ascii="Palatino" w:hAnsi="Palatino"/>
                <w:b/>
                <w:lang w:val="en-US"/>
              </w:rPr>
              <w:t>-2</w:t>
            </w:r>
          </w:p>
        </w:tc>
        <w:tc>
          <w:tcPr>
            <w:tcW w:w="7434" w:type="dxa"/>
            <w:noWrap/>
            <w:hideMark/>
          </w:tcPr>
          <w:p w14:paraId="79B8ADA6" w14:textId="77777777" w:rsidR="00F34B4A" w:rsidRPr="00F34B4A" w:rsidRDefault="00F34B4A" w:rsidP="00F34B4A">
            <w:pPr>
              <w:pStyle w:val="BodyA"/>
              <w:rPr>
                <w:rFonts w:ascii="Palatino" w:hAnsi="Palatino"/>
                <w:b/>
                <w:lang w:val="en-US"/>
              </w:rPr>
            </w:pPr>
            <w:r w:rsidRPr="00F34B4A">
              <w:rPr>
                <w:rFonts w:ascii="Palatino" w:hAnsi="Palatino"/>
                <w:b/>
                <w:lang w:val="en-US"/>
              </w:rPr>
              <w:t>Assembly passes a measure adopting difference principle</w:t>
            </w:r>
          </w:p>
        </w:tc>
      </w:tr>
    </w:tbl>
    <w:p w14:paraId="73DC0429" w14:textId="77777777" w:rsidR="00C16F28" w:rsidRPr="004240DE" w:rsidRDefault="00C16F28" w:rsidP="00F34B4A">
      <w:pPr>
        <w:pStyle w:val="BodyA"/>
        <w:rPr>
          <w:rFonts w:ascii="Palatino" w:hAnsi="Palatino"/>
          <w:b/>
          <w:lang w:val="de-DE"/>
        </w:rPr>
      </w:pPr>
      <w:bookmarkStart w:id="0" w:name="_GoBack"/>
      <w:bookmarkEnd w:id="0"/>
    </w:p>
    <w:sectPr w:rsidR="00C16F28" w:rsidRPr="004240DE" w:rsidSect="00137A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altName w:val="Palatino Linotype"/>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48"/>
    <w:rsid w:val="00007011"/>
    <w:rsid w:val="000221DF"/>
    <w:rsid w:val="0006424A"/>
    <w:rsid w:val="000A79FC"/>
    <w:rsid w:val="001330C1"/>
    <w:rsid w:val="00137A9C"/>
    <w:rsid w:val="00170EB2"/>
    <w:rsid w:val="00194B60"/>
    <w:rsid w:val="00194FF3"/>
    <w:rsid w:val="001D48C4"/>
    <w:rsid w:val="00265861"/>
    <w:rsid w:val="0027638F"/>
    <w:rsid w:val="0032495E"/>
    <w:rsid w:val="004240DE"/>
    <w:rsid w:val="00607711"/>
    <w:rsid w:val="007927DE"/>
    <w:rsid w:val="007A024A"/>
    <w:rsid w:val="007A7BE2"/>
    <w:rsid w:val="008153DC"/>
    <w:rsid w:val="008624D9"/>
    <w:rsid w:val="008A0127"/>
    <w:rsid w:val="009A3AC9"/>
    <w:rsid w:val="00A11650"/>
    <w:rsid w:val="00A2060A"/>
    <w:rsid w:val="00A545EB"/>
    <w:rsid w:val="00AA1516"/>
    <w:rsid w:val="00AF3234"/>
    <w:rsid w:val="00BB73E0"/>
    <w:rsid w:val="00BC674F"/>
    <w:rsid w:val="00C16F28"/>
    <w:rsid w:val="00C945B7"/>
    <w:rsid w:val="00CD7848"/>
    <w:rsid w:val="00D62726"/>
    <w:rsid w:val="00D66DC7"/>
    <w:rsid w:val="00D97B49"/>
    <w:rsid w:val="00DC2AE9"/>
    <w:rsid w:val="00E21687"/>
    <w:rsid w:val="00E87E9A"/>
    <w:rsid w:val="00EC2C12"/>
    <w:rsid w:val="00EC7D48"/>
    <w:rsid w:val="00F34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2E547"/>
  <w15:docId w15:val="{029B92C9-8653-46BB-8567-8801718A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21687"/>
    <w:pPr>
      <w:pBdr>
        <w:top w:val="nil"/>
        <w:left w:val="nil"/>
        <w:bottom w:val="nil"/>
        <w:right w:val="nil"/>
        <w:between w:val="nil"/>
        <w:bar w:val="nil"/>
      </w:pBdr>
      <w:spacing w:after="0" w:line="240" w:lineRule="auto"/>
    </w:pPr>
    <w:rPr>
      <w:rFonts w:ascii="Times" w:eastAsia="Arial Unicode MS" w:hAnsi="Arial Unicode MS" w:cs="Arial Unicode MS"/>
      <w:color w:val="000000"/>
      <w:sz w:val="24"/>
      <w:szCs w:val="24"/>
      <w:u w:color="000000"/>
      <w:bdr w:val="nil"/>
      <w:lang w:val="en-AU"/>
    </w:rPr>
  </w:style>
  <w:style w:type="character" w:styleId="Hyperlink">
    <w:name w:val="Hyperlink"/>
    <w:basedOn w:val="DefaultParagraphFont"/>
    <w:uiPriority w:val="99"/>
    <w:unhideWhenUsed/>
    <w:rsid w:val="004240DE"/>
    <w:rPr>
      <w:color w:val="0000FF"/>
      <w:u w:val="single"/>
    </w:rPr>
  </w:style>
  <w:style w:type="character" w:styleId="CommentReference">
    <w:name w:val="annotation reference"/>
    <w:basedOn w:val="DefaultParagraphFont"/>
    <w:uiPriority w:val="99"/>
    <w:semiHidden/>
    <w:unhideWhenUsed/>
    <w:rsid w:val="007A7BE2"/>
    <w:rPr>
      <w:sz w:val="16"/>
      <w:szCs w:val="16"/>
    </w:rPr>
  </w:style>
  <w:style w:type="paragraph" w:styleId="CommentText">
    <w:name w:val="annotation text"/>
    <w:basedOn w:val="Normal"/>
    <w:link w:val="CommentTextChar"/>
    <w:uiPriority w:val="99"/>
    <w:semiHidden/>
    <w:unhideWhenUsed/>
    <w:rsid w:val="007A7BE2"/>
    <w:pPr>
      <w:spacing w:line="240" w:lineRule="auto"/>
    </w:pPr>
    <w:rPr>
      <w:sz w:val="20"/>
      <w:szCs w:val="20"/>
    </w:rPr>
  </w:style>
  <w:style w:type="character" w:customStyle="1" w:styleId="CommentTextChar">
    <w:name w:val="Comment Text Char"/>
    <w:basedOn w:val="DefaultParagraphFont"/>
    <w:link w:val="CommentText"/>
    <w:uiPriority w:val="99"/>
    <w:semiHidden/>
    <w:rsid w:val="007A7BE2"/>
    <w:rPr>
      <w:sz w:val="20"/>
      <w:szCs w:val="20"/>
    </w:rPr>
  </w:style>
  <w:style w:type="paragraph" w:styleId="CommentSubject">
    <w:name w:val="annotation subject"/>
    <w:basedOn w:val="CommentText"/>
    <w:next w:val="CommentText"/>
    <w:link w:val="CommentSubjectChar"/>
    <w:uiPriority w:val="99"/>
    <w:semiHidden/>
    <w:unhideWhenUsed/>
    <w:rsid w:val="007A7BE2"/>
    <w:rPr>
      <w:b/>
      <w:bCs/>
    </w:rPr>
  </w:style>
  <w:style w:type="character" w:customStyle="1" w:styleId="CommentSubjectChar">
    <w:name w:val="Comment Subject Char"/>
    <w:basedOn w:val="CommentTextChar"/>
    <w:link w:val="CommentSubject"/>
    <w:uiPriority w:val="99"/>
    <w:semiHidden/>
    <w:rsid w:val="007A7BE2"/>
    <w:rPr>
      <w:b/>
      <w:bCs/>
      <w:sz w:val="20"/>
      <w:szCs w:val="20"/>
    </w:rPr>
  </w:style>
  <w:style w:type="paragraph" w:styleId="BalloonText">
    <w:name w:val="Balloon Text"/>
    <w:basedOn w:val="Normal"/>
    <w:link w:val="BalloonTextChar"/>
    <w:uiPriority w:val="99"/>
    <w:semiHidden/>
    <w:unhideWhenUsed/>
    <w:rsid w:val="007A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BE2"/>
    <w:rPr>
      <w:rFonts w:ascii="Segoe UI" w:hAnsi="Segoe UI" w:cs="Segoe UI"/>
      <w:sz w:val="18"/>
      <w:szCs w:val="18"/>
    </w:rPr>
  </w:style>
  <w:style w:type="character" w:styleId="UnresolvedMention">
    <w:name w:val="Unresolved Mention"/>
    <w:basedOn w:val="DefaultParagraphFont"/>
    <w:uiPriority w:val="99"/>
    <w:semiHidden/>
    <w:unhideWhenUsed/>
    <w:rsid w:val="00D97B49"/>
    <w:rPr>
      <w:color w:val="605E5C"/>
      <w:shd w:val="clear" w:color="auto" w:fill="E1DFDD"/>
    </w:rPr>
  </w:style>
  <w:style w:type="table" w:styleId="TableGrid">
    <w:name w:val="Table Grid"/>
    <w:basedOn w:val="TableNormal"/>
    <w:uiPriority w:val="39"/>
    <w:rsid w:val="00F34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32095">
      <w:bodyDiv w:val="1"/>
      <w:marLeft w:val="0"/>
      <w:marRight w:val="0"/>
      <w:marTop w:val="0"/>
      <w:marBottom w:val="0"/>
      <w:divBdr>
        <w:top w:val="none" w:sz="0" w:space="0" w:color="auto"/>
        <w:left w:val="none" w:sz="0" w:space="0" w:color="auto"/>
        <w:bottom w:val="none" w:sz="0" w:space="0" w:color="auto"/>
        <w:right w:val="none" w:sz="0" w:space="0" w:color="auto"/>
      </w:divBdr>
    </w:div>
    <w:div w:id="445001643">
      <w:bodyDiv w:val="1"/>
      <w:marLeft w:val="0"/>
      <w:marRight w:val="0"/>
      <w:marTop w:val="0"/>
      <w:marBottom w:val="0"/>
      <w:divBdr>
        <w:top w:val="none" w:sz="0" w:space="0" w:color="auto"/>
        <w:left w:val="none" w:sz="0" w:space="0" w:color="auto"/>
        <w:bottom w:val="none" w:sz="0" w:space="0" w:color="auto"/>
        <w:right w:val="none" w:sz="0" w:space="0" w:color="auto"/>
      </w:divBdr>
    </w:div>
    <w:div w:id="802232349">
      <w:bodyDiv w:val="1"/>
      <w:marLeft w:val="0"/>
      <w:marRight w:val="0"/>
      <w:marTop w:val="0"/>
      <w:marBottom w:val="0"/>
      <w:divBdr>
        <w:top w:val="none" w:sz="0" w:space="0" w:color="auto"/>
        <w:left w:val="none" w:sz="0" w:space="0" w:color="auto"/>
        <w:bottom w:val="none" w:sz="0" w:space="0" w:color="auto"/>
        <w:right w:val="none" w:sz="0" w:space="0" w:color="auto"/>
      </w:divBdr>
    </w:div>
    <w:div w:id="901479361">
      <w:bodyDiv w:val="1"/>
      <w:marLeft w:val="0"/>
      <w:marRight w:val="0"/>
      <w:marTop w:val="0"/>
      <w:marBottom w:val="0"/>
      <w:divBdr>
        <w:top w:val="none" w:sz="0" w:space="0" w:color="auto"/>
        <w:left w:val="none" w:sz="0" w:space="0" w:color="auto"/>
        <w:bottom w:val="none" w:sz="0" w:space="0" w:color="auto"/>
        <w:right w:val="none" w:sz="0" w:space="0" w:color="auto"/>
      </w:divBdr>
    </w:div>
    <w:div w:id="1052655208">
      <w:bodyDiv w:val="1"/>
      <w:marLeft w:val="0"/>
      <w:marRight w:val="0"/>
      <w:marTop w:val="0"/>
      <w:marBottom w:val="0"/>
      <w:divBdr>
        <w:top w:val="none" w:sz="0" w:space="0" w:color="auto"/>
        <w:left w:val="none" w:sz="0" w:space="0" w:color="auto"/>
        <w:bottom w:val="none" w:sz="0" w:space="0" w:color="auto"/>
        <w:right w:val="none" w:sz="0" w:space="0" w:color="auto"/>
      </w:divBdr>
    </w:div>
    <w:div w:id="198982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dr.undp.org/en/huma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mwdrap@gmail.com</dc:creator>
  <cp:keywords/>
  <dc:description/>
  <cp:lastModifiedBy>mwdrap@gmail.com</cp:lastModifiedBy>
  <cp:revision>6</cp:revision>
  <cp:lastPrinted>2019-09-23T01:25:00Z</cp:lastPrinted>
  <dcterms:created xsi:type="dcterms:W3CDTF">2019-09-28T22:35:00Z</dcterms:created>
  <dcterms:modified xsi:type="dcterms:W3CDTF">2019-11-10T23:14:00Z</dcterms:modified>
</cp:coreProperties>
</file>