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77777777"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to define the testing requirements for MODPATH and related codes for CH2M HILL Plateau Remediation Company (CHPRC) intended use in risk and model integration work.</w:t>
      </w:r>
    </w:p>
    <w:p w14:paraId="71C252F6" w14:textId="4CAF412F" w:rsidR="0077409E" w:rsidRDefault="0077409E" w:rsidP="0077409E">
      <w:pPr>
        <w:pStyle w:val="H1bodytext"/>
        <w:rPr>
          <w:rFonts w:cs="Arial"/>
        </w:rPr>
      </w:pPr>
      <w:r>
        <w:rPr>
          <w:rFonts w:cs="Arial"/>
        </w:rPr>
        <w:t xml:space="preserve">MODPATH and related codes are managed as acquired, commercial off-the-shelf (COTS) software applications. The CHPRC plans to use this for calculations of short- and long-term subsurface </w:t>
      </w:r>
      <w:r w:rsidR="00DD24F8">
        <w:rPr>
          <w:rFonts w:cs="Arial"/>
        </w:rPr>
        <w:t>particle tracking</w:t>
      </w:r>
      <w:r>
        <w:rPr>
          <w:rFonts w:cs="Arial"/>
        </w:rPr>
        <w:t xml:space="preserve"> in the unconfined aquifer at the Hanford Site at several scales. The software will run on desktop computers, scientific workstations, and large computer clusters.</w:t>
      </w:r>
    </w:p>
    <w:p w14:paraId="46F5AC5D" w14:textId="77777777" w:rsidR="0077409E" w:rsidRDefault="0077409E" w:rsidP="0077409E">
      <w:pPr>
        <w:pStyle w:val="H1bodytext"/>
        <w:rPr>
          <w:rFonts w:cs="Arial"/>
        </w:rPr>
      </w:pPr>
      <w:r>
        <w:rPr>
          <w:rFonts w:cs="Arial"/>
        </w:rPr>
        <w:t>The test procedures apply to all of the software being tested, although tests are limited to representative problems for the class of problems expected to be solved at the Hanford Site to demonstrate applicability for intended use by the CHPRC Integration and Assessments Group.</w:t>
      </w:r>
    </w:p>
    <w:p w14:paraId="59E25582" w14:textId="77777777" w:rsidR="0077409E" w:rsidRDefault="0077409E" w:rsidP="0077409E">
      <w:pPr>
        <w:pStyle w:val="H1bodytext"/>
        <w:rPr>
          <w:rFonts w:cs="Arial"/>
        </w:rPr>
      </w:pPr>
      <w:r>
        <w:rPr>
          <w:rFonts w:cs="Arial"/>
        </w:rPr>
        <w:t>The MODFLOW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r>
        <w:rPr>
          <w:rFonts w:cs="Arial"/>
          <w:b/>
        </w:rPr>
        <w:t>MODPATH</w:t>
      </w:r>
    </w:p>
    <w:p w14:paraId="7C1002B5" w14:textId="77777777" w:rsidR="0077409E" w:rsidRDefault="0077409E" w:rsidP="0077409E">
      <w:pPr>
        <w:pStyle w:val="H1bodytext"/>
        <w:numPr>
          <w:ilvl w:val="0"/>
          <w:numId w:val="2"/>
        </w:numPr>
        <w:ind w:hanging="360"/>
        <w:rPr>
          <w:rFonts w:cs="Arial"/>
        </w:rPr>
      </w:pPr>
      <w:r>
        <w:rPr>
          <w:rFonts w:cs="Arial"/>
          <w:b/>
        </w:rPr>
        <w:t>MODPATH3DU</w:t>
      </w:r>
      <w:r>
        <w:rPr>
          <w:rFonts w:cs="Arial"/>
        </w:rPr>
        <w:t xml:space="preserve"> (variant of MODPATH which calculates particle pathlines on unstructured flow grids)</w:t>
      </w:r>
    </w:p>
    <w:p w14:paraId="0D44E08E" w14:textId="77777777"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0"/>
      <w:r>
        <w:rPr>
          <w:rFonts w:cs="Arial"/>
        </w:rPr>
        <w:t>CHPRC-00257</w:t>
      </w:r>
      <w:commentRangeEnd w:id="0"/>
      <w:r w:rsidR="002752C1">
        <w:rPr>
          <w:rStyle w:val="CommentReference"/>
          <w:rFonts w:ascii="Times New Roman" w:hAnsi="Times New Roman"/>
        </w:rPr>
        <w:commentReference w:id="0"/>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 xml:space="preserve">Controlled use of this software is managed by CHPRC-00258,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77777777" w:rsidR="002752C1" w:rsidRDefault="002752C1" w:rsidP="002752C1">
      <w:pPr>
        <w:pStyle w:val="H2bodytext"/>
      </w:pPr>
      <w:r>
        <w:t xml:space="preserve">The general approach for this STP is to test the MODPATH and MODPATH3DU codes each against test problems specifically chosen with the following attributes: </w:t>
      </w:r>
      <w:r w:rsidR="00544AEA">
        <w:t>1) availability of an analytical solution or [</w:t>
      </w:r>
      <w:r w:rsidR="00544AEA" w:rsidRPr="00544AEA">
        <w:rPr>
          <w:color w:val="FF0000"/>
        </w:rPr>
        <w:t>comparison to someone else’s solution</w:t>
      </w:r>
      <w:r w:rsidR="00544AEA">
        <w:t xml:space="preserve">] to facilitate comparison to a known solution, 2) sufficiently difficult for numerical approximation techniques to resolve that the test will provide not only evidence of a correct solution but a measure of the degree of error in the solution, and 3) </w:t>
      </w:r>
      <w:commentRangeStart w:id="1"/>
      <w:r>
        <w:t xml:space="preserve">ability to substitute Hanford-specific parameter values where </w:t>
      </w:r>
      <w:r>
        <w:lastRenderedPageBreak/>
        <w:t>possible to facilitative demonstration of applicability for intended use</w:t>
      </w:r>
      <w:commentRangeEnd w:id="1"/>
      <w:r>
        <w:rPr>
          <w:rStyle w:val="CommentReference"/>
          <w:rFonts w:ascii="Times New Roman" w:hAnsi="Times New Roman"/>
        </w:rPr>
        <w:commentReference w:id="1"/>
      </w:r>
      <w:r>
        <w:t>.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77777777" w:rsidR="00544AEA" w:rsidRDefault="00544AEA" w:rsidP="00544AEA">
      <w:pPr>
        <w:spacing w:after="240"/>
        <w:ind w:left="1440"/>
        <w:rPr>
          <w:rFonts w:ascii="Arial" w:hAnsi="Arial" w:cs="Arial"/>
          <w:sz w:val="22"/>
          <w:szCs w:val="20"/>
        </w:rPr>
      </w:pPr>
      <w:r>
        <w:rPr>
          <w:rFonts w:ascii="Arial" w:hAnsi="Arial" w:cs="Arial"/>
          <w:sz w:val="22"/>
          <w:szCs w:val="20"/>
        </w:rPr>
        <w:t>This STP specifies test design, test cases, and test procedures for acceptance and installation testing of MODPATH and related codes.</w:t>
      </w:r>
    </w:p>
    <w:p w14:paraId="7A6FFA74" w14:textId="77777777" w:rsidR="00544AEA" w:rsidRDefault="00544AEA" w:rsidP="00544AEA">
      <w:pPr>
        <w:spacing w:after="240"/>
        <w:ind w:left="1440"/>
        <w:rPr>
          <w:rFonts w:ascii="Arial" w:hAnsi="Arial" w:cs="Arial"/>
          <w:sz w:val="22"/>
          <w:szCs w:val="20"/>
        </w:rPr>
      </w:pPr>
      <w:commentRangeStart w:id="2"/>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commentRangeEnd w:id="2"/>
      <w:r w:rsidR="004864D3">
        <w:rPr>
          <w:rStyle w:val="CommentReference"/>
        </w:rPr>
        <w:commentReference w:id="2"/>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6F436E00" w:rsidR="00544AEA" w:rsidRDefault="00544AEA" w:rsidP="00544AEA">
      <w:pPr>
        <w:pStyle w:val="H1bodytext"/>
        <w:ind w:left="1440"/>
      </w:pPr>
      <w:r>
        <w:t xml:space="preserve">Acceptance criteria will specify objective numerical tolerances </w:t>
      </w:r>
      <w:r w:rsidR="00A26128">
        <w:t xml:space="preserve"> and subjective professional judgment metrics </w:t>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3" w:name="_Toc145313043"/>
      <w:r>
        <w:t>Testing Tasks</w:t>
      </w:r>
      <w:bookmarkEnd w:id="3"/>
    </w:p>
    <w:p w14:paraId="7ADA39B0" w14:textId="77777777" w:rsidR="00544AEA" w:rsidRDefault="00D904CC" w:rsidP="00544AEA">
      <w:pPr>
        <w:pStyle w:val="H1bodytext"/>
        <w:ind w:left="1440"/>
      </w:pPr>
      <w:commentRangeStart w:id="4"/>
      <w:r>
        <w:t>[</w:t>
      </w:r>
      <w:r w:rsidR="00544AEA">
        <w:t>The tasks necessary to prepare for and perform testing include code installation (which may require compiling and linking source code using a Fortran compiler, depending on test environment), file transfers, checking input/output files using a text editor program, copying model results from text files using a text editor, and pasting results into Excel spreadsheets used to solve the analytic solutions that provide the basis for validation and compare results.</w:t>
      </w:r>
      <w:r>
        <w:t>]</w:t>
      </w:r>
      <w:commentRangeEnd w:id="4"/>
      <w:r>
        <w:rPr>
          <w:rStyle w:val="CommentReference"/>
          <w:rFonts w:ascii="Times New Roman" w:hAnsi="Times New Roman"/>
        </w:rPr>
        <w:commentReference w:id="4"/>
      </w:r>
    </w:p>
    <w:p w14:paraId="20E40050" w14:textId="77777777" w:rsidR="00D904CC" w:rsidRDefault="00D904CC" w:rsidP="00D904CC">
      <w:pPr>
        <w:pStyle w:val="Heading3"/>
      </w:pPr>
      <w:r>
        <w:t>Verification &amp; Validation tasks</w:t>
      </w:r>
    </w:p>
    <w:p w14:paraId="65ECBBC7" w14:textId="77777777" w:rsidR="00D904CC" w:rsidRDefault="00D904CC" w:rsidP="00D904CC">
      <w:pPr>
        <w:pStyle w:val="H3bodytext"/>
        <w:ind w:left="1440"/>
      </w:pPr>
      <w:r>
        <w:t xml:space="preserve">Tasks necessary to prepare for verification and validation testing are routine with respect to computer usage. </w:t>
      </w:r>
      <w:r w:rsidR="008A4A83">
        <w:t>MODPATH</w:t>
      </w:r>
      <w:r>
        <w:t xml:space="preserve"> and related codes must be installed. </w:t>
      </w:r>
      <w:r>
        <w:lastRenderedPageBreak/>
        <w:t>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5"/>
      <w:r>
        <w:t>For acceptance testing, the following tasks will occur</w:t>
      </w:r>
      <w:commentRangeEnd w:id="5"/>
      <w:r w:rsidR="008A4A83">
        <w:rPr>
          <w:rStyle w:val="CommentReference"/>
          <w:rFonts w:ascii="Times New Roman" w:hAnsi="Times New Roman"/>
        </w:rPr>
        <w:commentReference w:id="5"/>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77777777" w:rsidR="008A4A83" w:rsidRDefault="008A4A83" w:rsidP="008A4A83">
      <w:pPr>
        <w:pStyle w:val="H3bodytext"/>
        <w:numPr>
          <w:ilvl w:val="0"/>
          <w:numId w:val="4"/>
        </w:numPr>
        <w:ind w:hanging="360"/>
      </w:pPr>
      <w:r>
        <w:t xml:space="preserve">Setup – verify that the host computer uses a suitable operating system for the MODPATH and related software,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77777777" w:rsidR="008A4A83" w:rsidRDefault="008A4A83" w:rsidP="008A4A83">
      <w:pPr>
        <w:pStyle w:val="H3bodytext"/>
        <w:numPr>
          <w:ilvl w:val="0"/>
          <w:numId w:val="4"/>
        </w:numPr>
        <w:ind w:hanging="360"/>
      </w:pPr>
      <w:r>
        <w:t>Preservation – archive the MODPATH and related codes software in [</w:t>
      </w:r>
      <w:r w:rsidRPr="008A4A83">
        <w:rPr>
          <w:color w:val="FF0000"/>
        </w:rPr>
        <w:t>MKS Integrity</w:t>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77777777" w:rsidR="008A4A83" w:rsidRDefault="008A4A83" w:rsidP="008A4A83">
      <w:pPr>
        <w:pStyle w:val="H3bodytext"/>
        <w:numPr>
          <w:ilvl w:val="0"/>
          <w:numId w:val="5"/>
        </w:numPr>
        <w:ind w:hanging="360"/>
      </w:pPr>
      <w:r>
        <w:t>Setup – verify that the host computer uses a suitable operating system for the MODPATH and related codes 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lastRenderedPageBreak/>
        <w:t>Documentation – complete the required documentation of installation testing.</w:t>
      </w:r>
    </w:p>
    <w:p w14:paraId="0954365B" w14:textId="77777777" w:rsidR="008A4A83" w:rsidRDefault="008A4A83" w:rsidP="008A4A83">
      <w:pPr>
        <w:pStyle w:val="H3bodytext"/>
        <w:ind w:left="1440"/>
      </w:pPr>
      <w:r>
        <w:t xml:space="preserve">If software problem(s) (that is, problems with the software itself, not input or other use errors) are identified during testing, a </w:t>
      </w:r>
      <w:commentRangeStart w:id="6"/>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6"/>
      <w:r>
        <w:rPr>
          <w:rStyle w:val="CommentReference"/>
          <w:rFonts w:ascii="Times New Roman" w:hAnsi="Times New Roman"/>
        </w:rPr>
        <w:commentReference w:id="6"/>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5EFF43F3" w:rsidR="008A4A83" w:rsidRDefault="008A4A83" w:rsidP="008A4A83">
      <w:pPr>
        <w:pStyle w:val="H3bodytext"/>
        <w:numPr>
          <w:ilvl w:val="0"/>
          <w:numId w:val="7"/>
        </w:numPr>
        <w:ind w:hanging="360"/>
      </w:pPr>
      <w:r>
        <w:t xml:space="preserve">Conduct acceptance testing, or delegate this task to a qualified </w:t>
      </w:r>
      <w:r w:rsidR="004864D3">
        <w:t>MODPATH</w:t>
      </w:r>
      <w:r>
        <w:t xml:space="preserve">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77777777" w:rsidR="008A4A83" w:rsidRDefault="008A4A83" w:rsidP="008A4A83">
      <w:pPr>
        <w:pStyle w:val="H3bodytext"/>
        <w:numPr>
          <w:ilvl w:val="0"/>
          <w:numId w:val="7"/>
        </w:numPr>
        <w:ind w:hanging="360"/>
      </w:pPr>
      <w:r>
        <w:t xml:space="preserve">Maintain HISI entries related to software status, testing, and approval for use of MODFLOW and related codes as identified in </w:t>
      </w:r>
      <w:r w:rsidRPr="008A4A83">
        <w:rPr>
          <w:color w:val="FF0000"/>
        </w:rPr>
        <w:t>PRC-PRO-IRM-309</w:t>
      </w:r>
    </w:p>
    <w:p w14:paraId="19664501" w14:textId="77777777" w:rsidR="008A4A83" w:rsidRDefault="008A4A83" w:rsidP="008A4A83">
      <w:pPr>
        <w:pStyle w:val="H3bodytext"/>
        <w:numPr>
          <w:ilvl w:val="0"/>
          <w:numId w:val="7"/>
        </w:numPr>
        <w:ind w:hanging="360"/>
      </w:pPr>
      <w:r>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8A4A83">
      <w:pPr>
        <w:pStyle w:val="H3bodytext"/>
        <w:ind w:left="1440"/>
      </w:pPr>
      <w:r>
        <w:t>The independent technical reviewer will:</w:t>
      </w:r>
    </w:p>
    <w:p w14:paraId="48B4B8F4" w14:textId="77777777" w:rsidR="008A4A83" w:rsidRDefault="008A4A83" w:rsidP="008A4A83">
      <w:pPr>
        <w:pStyle w:val="H3bodytext"/>
        <w:numPr>
          <w:ilvl w:val="0"/>
          <w:numId w:val="8"/>
        </w:numPr>
        <w:ind w:hanging="360"/>
      </w:pPr>
      <w:r>
        <w:lastRenderedPageBreak/>
        <w:t>Review this STP and ATR or installation test results for completeness, consistency, clarity and correctness.</w:t>
      </w:r>
    </w:p>
    <w:p w14:paraId="582839B6" w14:textId="77777777" w:rsidR="008A4A83" w:rsidRDefault="008A4A83" w:rsidP="008A4A83">
      <w:pPr>
        <w:pStyle w:val="H3bodytext"/>
        <w:numPr>
          <w:ilvl w:val="0"/>
          <w:numId w:val="8"/>
        </w:numPr>
        <w:ind w:hanging="360"/>
      </w:pPr>
      <w:r>
        <w:t>Confirm acceptable test results for acceptance testing.</w:t>
      </w:r>
    </w:p>
    <w:p w14:paraId="1A3AE97D" w14:textId="77777777" w:rsidR="008A4A83" w:rsidRDefault="008A4A83" w:rsidP="008A4A83">
      <w:pPr>
        <w:pStyle w:val="H3bodytext"/>
        <w:ind w:left="1440"/>
      </w:pPr>
      <w:r>
        <w:t>The software user will do the following before using a software installation to produce results that will be reported in released documents or used for decision making purposes:</w:t>
      </w:r>
    </w:p>
    <w:p w14:paraId="611C293D" w14:textId="77777777" w:rsidR="008A4A83" w:rsidRDefault="008A4A83" w:rsidP="008A4A83">
      <w:pPr>
        <w:pStyle w:val="H3bodytext"/>
        <w:numPr>
          <w:ilvl w:val="0"/>
          <w:numId w:val="9"/>
        </w:numPr>
      </w:pPr>
      <w:r>
        <w:t>Only use versions of MODPATH and related codes that are approved for use (following completion of acceptance testing).</w:t>
      </w:r>
    </w:p>
    <w:p w14:paraId="1066F848" w14:textId="77777777" w:rsidR="008A4A83" w:rsidRDefault="008A4A83" w:rsidP="008A4A83">
      <w:pPr>
        <w:pStyle w:val="H3bodytext"/>
        <w:numPr>
          <w:ilvl w:val="0"/>
          <w:numId w:val="9"/>
        </w:numPr>
      </w:pPr>
      <w:r>
        <w:t xml:space="preserve">When installing the MODPATH and related codes,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8A4A83">
      <w:pPr>
        <w:pStyle w:val="H3bodytext"/>
        <w:numPr>
          <w:ilvl w:val="0"/>
          <w:numId w:val="9"/>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1411D665" w:rsidR="008A4A83" w:rsidRDefault="008A4A83" w:rsidP="008A4A83">
      <w:pPr>
        <w:pStyle w:val="H3bodytext"/>
        <w:ind w:left="1440"/>
      </w:pPr>
      <w:r>
        <w:t>No major risks are identified with respect to this test plan. The MODPATH and related software has a long history of successful application to similar problems as CHPRC intends to use this software to solve and is the most widely used software in the world for this purpose.</w:t>
      </w:r>
    </w:p>
    <w:p w14:paraId="57039E9A" w14:textId="77777777" w:rsidR="00B97567" w:rsidRDefault="00B97567" w:rsidP="00B97567">
      <w:pPr>
        <w:pStyle w:val="Heading1"/>
        <w:keepNext w:val="0"/>
        <w:spacing w:before="480"/>
        <w:rPr>
          <w:rFonts w:ascii="Arial" w:hAnsi="Arial"/>
        </w:rPr>
      </w:pPr>
      <w:bookmarkStart w:id="7" w:name="_Toc145313049"/>
      <w:r>
        <w:rPr>
          <w:rFonts w:ascii="Arial" w:hAnsi="Arial"/>
        </w:rPr>
        <w:t>TEST CASES</w:t>
      </w:r>
      <w:bookmarkEnd w:id="7"/>
    </w:p>
    <w:p w14:paraId="24178E7F" w14:textId="77777777" w:rsidR="008A4A83" w:rsidRDefault="008A4A83" w:rsidP="008A4A83">
      <w:pPr>
        <w:pStyle w:val="Heading2"/>
      </w:pPr>
      <w:r>
        <w:t>Identification</w:t>
      </w:r>
    </w:p>
    <w:p w14:paraId="705D1FB8" w14:textId="77777777" w:rsidR="004864D3" w:rsidRDefault="004864D3" w:rsidP="004864D3">
      <w:pPr>
        <w:pStyle w:val="H2bodytext"/>
      </w:pPr>
      <w:r>
        <w:t>Test cases are sequentially numbered as Test Case 1, Test Case 2, etc.</w:t>
      </w:r>
    </w:p>
    <w:p w14:paraId="6ECFE6D2" w14:textId="77777777" w:rsidR="009B704C" w:rsidRDefault="009B704C" w:rsidP="009B704C">
      <w:pPr>
        <w:pStyle w:val="Heading2"/>
      </w:pPr>
      <w:r>
        <w:t>Pass/Fail Criteria</w:t>
      </w:r>
    </w:p>
    <w:p w14:paraId="2971287B" w14:textId="3F96C3D7" w:rsidR="00544AEA" w:rsidRPr="004864D3" w:rsidRDefault="009B704C" w:rsidP="004864D3">
      <w:pPr>
        <w:ind w:left="1440"/>
        <w:rPr>
          <w:rFonts w:ascii="Arial" w:hAnsi="Arial"/>
          <w:sz w:val="22"/>
          <w:szCs w:val="20"/>
        </w:rPr>
      </w:pPr>
      <w:r>
        <w:rPr>
          <w:rFonts w:ascii="Arial" w:hAnsi="Arial"/>
          <w:sz w:val="22"/>
          <w:szCs w:val="20"/>
        </w:rPr>
        <w:t xml:space="preserve">Specific pass/fail criteria for acceptance test cases are identified below in Section 3.3 for each </w:t>
      </w:r>
      <w:proofErr w:type="gramStart"/>
      <w:r>
        <w:rPr>
          <w:rFonts w:ascii="Arial" w:hAnsi="Arial"/>
          <w:sz w:val="22"/>
          <w:szCs w:val="20"/>
        </w:rPr>
        <w:t>case, and</w:t>
      </w:r>
      <w:proofErr w:type="gramEnd"/>
      <w:r>
        <w:rPr>
          <w:rFonts w:ascii="Arial" w:hAnsi="Arial"/>
          <w:sz w:val="22"/>
          <w:szCs w:val="20"/>
        </w:rP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752ACD4C" w14:textId="77777777" w:rsidR="009B704C" w:rsidRDefault="009B704C" w:rsidP="009B704C">
      <w:pPr>
        <w:pStyle w:val="Heading2"/>
        <w:spacing w:before="240"/>
      </w:pPr>
      <w:bookmarkStart w:id="8" w:name="_Ref239754187"/>
      <w:r>
        <w:t>Test Cases</w:t>
      </w:r>
      <w:bookmarkEnd w:id="8"/>
    </w:p>
    <w:p w14:paraId="0612DBEB" w14:textId="5C3DD75F" w:rsidR="009B704C" w:rsidRDefault="009B704C" w:rsidP="009B704C">
      <w:pPr>
        <w:pStyle w:val="H2bodytext"/>
      </w:pPr>
      <w:r>
        <w:t xml:space="preserve">Four acceptance test cases and four installation test cases are detailed below with acceptance criteria and expected results for each. </w:t>
      </w:r>
      <w:r w:rsidR="002274D0">
        <w:t>[</w:t>
      </w:r>
      <w:r>
        <w:t>The tests are applicable to both MODPATH and MODPATH3DU</w:t>
      </w:r>
      <w:r w:rsidR="002274D0">
        <w:t>]</w:t>
      </w:r>
      <w:r>
        <w:t>; testing for each will be conducted and documented separately.</w:t>
      </w:r>
      <w:r w:rsidR="00782EFB">
        <w:t xml:space="preserve"> Each of these test cases calculated the particle tracks over a flow field calculated using [either] MODFLOW [or MODFLOW3DU]. The </w:t>
      </w:r>
      <w:r w:rsidR="00BC61D9">
        <w:t xml:space="preserve">python scripts create the </w:t>
      </w:r>
      <w:r w:rsidR="00782EFB">
        <w:t>input files for each of these tests [including for 3du?],</w:t>
      </w:r>
      <w:r w:rsidR="00BC61D9">
        <w:t xml:space="preserve"> executes the model runs, and post-processes the results utilizing</w:t>
      </w:r>
      <w:r w:rsidR="00782EFB">
        <w:t xml:space="preserve"> the [plug-ins] </w:t>
      </w:r>
      <w:proofErr w:type="spellStart"/>
      <w:r w:rsidR="00782EFB">
        <w:lastRenderedPageBreak/>
        <w:t>FloPy</w:t>
      </w:r>
      <w:proofErr w:type="spellEnd"/>
      <w:r w:rsidR="00782EFB">
        <w:t xml:space="preserve">, matplotlib, </w:t>
      </w:r>
      <w:proofErr w:type="spellStart"/>
      <w:r w:rsidR="00782EFB">
        <w:t>numpy</w:t>
      </w:r>
      <w:proofErr w:type="spellEnd"/>
      <w:r w:rsidR="00782EFB">
        <w:t>, [and anything else?].</w:t>
      </w:r>
      <w:r w:rsidR="004864D3">
        <w:t xml:space="preserve"> All [five] of these tests are executed via a batch file</w:t>
      </w:r>
      <w:r w:rsidR="00BC61D9">
        <w:t xml:space="preserve"> [name]</w:t>
      </w:r>
      <w:r w:rsidR="004864D3">
        <w:t>, which then outputs the results of the tests to “pass/fail.csv”, a document which contains the pass/fail status of each test.</w:t>
      </w:r>
    </w:p>
    <w:p w14:paraId="1C8B6ADD" w14:textId="68E60E2C" w:rsidR="00544AEA" w:rsidRPr="000F1148" w:rsidRDefault="004864D3" w:rsidP="002752C1">
      <w:pPr>
        <w:pStyle w:val="H2bodytext"/>
        <w:rPr>
          <w:b/>
          <w:i/>
        </w:rPr>
      </w:pPr>
      <w:r>
        <w:rPr>
          <w:b/>
          <w:i/>
        </w:rPr>
        <w:t>Test Case 1</w:t>
      </w:r>
      <w:r w:rsidR="000F1148" w:rsidRPr="000F1148">
        <w:rPr>
          <w:b/>
          <w:i/>
        </w:rPr>
        <w:t>: Forward Particle Tracking from an Injection Well</w:t>
      </w:r>
    </w:p>
    <w:p w14:paraId="708D4EB1" w14:textId="148FF745" w:rsidR="000F1148" w:rsidRDefault="000F1148" w:rsidP="002752C1">
      <w:pPr>
        <w:pStyle w:val="H2bodytext"/>
        <w:rPr>
          <w:rFonts w:cstheme="minorHAnsi"/>
        </w:rPr>
      </w:pPr>
      <w:r>
        <w:t>The first test concerns 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The injection well pumps at a constant rate of 160,00 ft</w:t>
      </w:r>
      <w:r>
        <w:rPr>
          <w:vertAlign w:val="superscript"/>
        </w:rPr>
        <w:t>3</w:t>
      </w:r>
      <w:r>
        <w:t>/day into a confined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4FB31FFA" w:rsidR="000F1148" w:rsidRDefault="000F1148" w:rsidP="000F1148">
      <w:pPr>
        <w:pStyle w:val="FigureNumberCaption"/>
      </w:pPr>
      <w:bookmarkStart w:id="9" w:name="_Ref520126361"/>
      <w:bookmarkStart w:id="10" w:name="_Toc520215411"/>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1</w:t>
      </w:r>
      <w:r w:rsidR="00D4032F">
        <w:rPr>
          <w:noProof/>
        </w:rPr>
        <w:fldChar w:fldCharType="end"/>
      </w:r>
      <w:bookmarkEnd w:id="9"/>
      <w:r>
        <w:t xml:space="preserve">. </w:t>
      </w:r>
      <w:r w:rsidRPr="00FE18CA">
        <w:t xml:space="preserve">Test </w:t>
      </w:r>
      <w:r>
        <w:t>C</w:t>
      </w:r>
      <w:r w:rsidRPr="00FE18CA">
        <w:t xml:space="preserve">ase 1 </w:t>
      </w:r>
      <w:r>
        <w:t>L</w:t>
      </w:r>
      <w:r w:rsidRPr="00FE18CA">
        <w:t>ayout</w:t>
      </w:r>
      <w:bookmarkEnd w:id="10"/>
    </w:p>
    <w:p w14:paraId="775F6182" w14:textId="77777777" w:rsidR="000F1148" w:rsidRDefault="000F1148" w:rsidP="000F1148">
      <w:pPr>
        <w:pStyle w:val="Figure"/>
        <w:keepNext/>
      </w:pPr>
      <w:r>
        <w:rPr>
          <w:noProof/>
        </w:rPr>
        <w:lastRenderedPageBreak/>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2411FE42" w:rsidR="000F1148" w:rsidRPr="00DF1D57" w:rsidRDefault="000F1148" w:rsidP="000F1148">
      <w:pPr>
        <w:pStyle w:val="FigureNumberCaption"/>
      </w:pPr>
      <w:bookmarkStart w:id="11" w:name="_Ref520126041"/>
      <w:bookmarkStart w:id="12" w:name="_Toc520215412"/>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2</w:t>
      </w:r>
      <w:r w:rsidR="00D4032F">
        <w:rPr>
          <w:noProof/>
        </w:rPr>
        <w:fldChar w:fldCharType="end"/>
      </w:r>
      <w:bookmarkEnd w:id="11"/>
      <w:r>
        <w:t xml:space="preserve">. </w:t>
      </w:r>
      <w:r w:rsidRPr="005B034E">
        <w:t xml:space="preserve">Test </w:t>
      </w:r>
      <w:r>
        <w:t>C</w:t>
      </w:r>
      <w:r w:rsidRPr="005B034E">
        <w:t xml:space="preserve">ase 1 </w:t>
      </w:r>
      <w:r>
        <w:t>MODFLOW</w:t>
      </w:r>
      <w:r w:rsidRPr="005B034E">
        <w:t xml:space="preserve"> </w:t>
      </w:r>
      <w:r>
        <w:t>S</w:t>
      </w:r>
      <w:r w:rsidRPr="005B034E">
        <w:t>etup</w:t>
      </w:r>
      <w:bookmarkEnd w:id="12"/>
    </w:p>
    <w:p w14:paraId="58A36CB3" w14:textId="2C7396D8" w:rsidR="000F1148" w:rsidRDefault="000F1148" w:rsidP="000F1148">
      <w:pPr>
        <w:pStyle w:val="H2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lastRenderedPageBreak/>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2D2F06A4" w:rsidR="000F1148" w:rsidRDefault="000F1148" w:rsidP="000F1148">
      <w:pPr>
        <w:pStyle w:val="FigureNumberCaption"/>
        <w:rPr>
          <w:rFonts w:cstheme="minorBidi"/>
          <w:sz w:val="20"/>
        </w:rPr>
      </w:pPr>
      <w:bookmarkStart w:id="13" w:name="_Ref520126021"/>
      <w:bookmarkStart w:id="14" w:name="_Toc520215413"/>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3</w:t>
      </w:r>
      <w:r w:rsidR="00D4032F">
        <w:rPr>
          <w:noProof/>
        </w:rPr>
        <w:fldChar w:fldCharType="end"/>
      </w:r>
      <w:bookmarkEnd w:id="13"/>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14"/>
    </w:p>
    <w:p w14:paraId="064713FC" w14:textId="49662872" w:rsidR="00782EFB" w:rsidRDefault="00782EFB" w:rsidP="00782EFB">
      <w:pPr>
        <w:pStyle w:val="H2bodytext"/>
      </w:pPr>
      <w:bookmarkStart w:id="15" w:name="_Hlk522548901"/>
      <w:r w:rsidRPr="00782EFB">
        <w:t xml:space="preserve">Model inputs are </w:t>
      </w:r>
      <w:bookmarkEnd w:id="15"/>
      <w:r w:rsidRPr="00782EFB">
        <w:t xml:space="preserve">seen in </w:t>
      </w:r>
      <w:r w:rsidRPr="00782EFB">
        <w:fldChar w:fldCharType="begin"/>
      </w:r>
      <w:r w:rsidRPr="00782EFB">
        <w:instrText xml:space="preserve"> REF _Ref520184038 \h </w:instrText>
      </w:r>
      <w:r w:rsidRPr="00782EFB">
        <w:fldChar w:fldCharType="separate"/>
      </w:r>
      <w:r w:rsidRPr="00782EFB">
        <w:t>Table 2</w:t>
      </w:r>
      <w:r w:rsidRPr="00782EFB">
        <w:noBreakHyphen/>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Pr="00782EFB">
        <w:t>Table 2</w:t>
      </w:r>
      <w:r w:rsidRPr="00782EFB">
        <w:noBreakHyphen/>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Pr="00782EFB">
        <w:t>Figure 2</w:t>
      </w:r>
      <w:r w:rsidRPr="00782EFB">
        <w:noBreakHyphen/>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58CCBAC" w14:textId="3B25D9A4" w:rsidR="00782EFB" w:rsidRDefault="00782EFB" w:rsidP="00BC61D9">
      <w:pPr>
        <w:pStyle w:val="H2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w:t>
      </w:r>
      <w:r w:rsidR="00BC61D9">
        <w:t>S01_</w:t>
      </w:r>
      <w:r>
        <w:t>build_pollock_88.py”.</w:t>
      </w:r>
      <w:r w:rsidR="00BC61D9" w:rsidRPr="00BC61D9">
        <w:t xml:space="preserve"> </w:t>
      </w:r>
      <w:r w:rsidR="00BC61D9">
        <w:t>Constant head cell locations are listed in “chb_t1.csv”.</w:t>
      </w:r>
      <w:r>
        <w:t xml:space="preserve"> Starting particle locations were calculated in “Write_starting_locations.py”. </w:t>
      </w:r>
      <w:r w:rsidR="00BC61D9">
        <w:t>The model files are stored in /workspace, and post-processed model results are stored in /output. Within /output, /figures contains outputs of figures of the model results at 2,500, 5,000, and 7,500 days. The file “tc1_results.csv” contains the information used to determine the pass or fail status of the test.</w:t>
      </w:r>
    </w:p>
    <w:p w14:paraId="71F28C9A" w14:textId="77777777" w:rsidR="000F1148" w:rsidRDefault="000F1148" w:rsidP="000F1148">
      <w:pPr>
        <w:pStyle w:val="H2bodytext"/>
      </w:pPr>
    </w:p>
    <w:tbl>
      <w:tblPr>
        <w:tblW w:w="920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gridCol w:w="3843"/>
      </w:tblGrid>
      <w:tr w:rsidR="00E94CC5" w:rsidRPr="00F278DB" w14:paraId="1F5470EE" w14:textId="77777777" w:rsidTr="00824939">
        <w:trPr>
          <w:trHeight w:val="291"/>
          <w:tblHeader/>
          <w:jc w:val="right"/>
        </w:trPr>
        <w:tc>
          <w:tcPr>
            <w:tcW w:w="9204" w:type="dxa"/>
            <w:gridSpan w:val="4"/>
            <w:tcBorders>
              <w:top w:val="nil"/>
              <w:left w:val="nil"/>
              <w:bottom w:val="single" w:sz="4" w:space="0" w:color="auto"/>
              <w:right w:val="nil"/>
            </w:tcBorders>
            <w:shd w:val="clear" w:color="auto" w:fill="auto"/>
            <w:noWrap/>
            <w:vAlign w:val="bottom"/>
          </w:tcPr>
          <w:p w14:paraId="5E63377C" w14:textId="299E90A6" w:rsidR="00E94CC5" w:rsidRPr="00F278DB" w:rsidRDefault="00E94CC5" w:rsidP="00F01FBC">
            <w:pPr>
              <w:pStyle w:val="TableNumberCaption"/>
              <w:rPr>
                <w:rFonts w:ascii="Calibri" w:hAnsi="Calibri" w:cs="Calibri"/>
                <w:color w:val="000000"/>
                <w:szCs w:val="22"/>
              </w:rPr>
            </w:pPr>
            <w:bookmarkStart w:id="16" w:name="_Ref520184038"/>
            <w:bookmarkStart w:id="17" w:name="_Toc520215893"/>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6"/>
            <w:r>
              <w:t xml:space="preserve">. Model </w:t>
            </w:r>
            <w:r w:rsidR="004B3081">
              <w:t>Parameter Values</w:t>
            </w:r>
            <w:r>
              <w:t xml:space="preserve"> for Test Case 1</w:t>
            </w:r>
            <w:bookmarkEnd w:id="17"/>
          </w:p>
        </w:tc>
      </w:tr>
      <w:tr w:rsidR="00E94CC5" w:rsidRPr="00F278DB" w14:paraId="0D1B415E" w14:textId="77777777" w:rsidTr="00824939">
        <w:trPr>
          <w:trHeight w:val="291"/>
          <w:tblHeader/>
          <w:jc w:val="right"/>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843"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824939">
        <w:trPr>
          <w:trHeight w:val="291"/>
          <w:jc w:val="right"/>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824939">
        <w:trPr>
          <w:trHeight w:val="291"/>
          <w:jc w:val="right"/>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824939">
        <w:trPr>
          <w:trHeight w:val="291"/>
          <w:jc w:val="right"/>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843"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824939">
        <w:trPr>
          <w:trHeight w:val="291"/>
          <w:jc w:val="right"/>
        </w:trPr>
        <w:tc>
          <w:tcPr>
            <w:tcW w:w="2123" w:type="dxa"/>
            <w:shd w:val="clear" w:color="auto" w:fill="auto"/>
            <w:noWrap/>
            <w:vAlign w:val="bottom"/>
            <w:hideMark/>
          </w:tcPr>
          <w:p w14:paraId="62467D6F" w14:textId="77777777" w:rsidR="00E94CC5" w:rsidRPr="00F278DB" w:rsidRDefault="00E94CC5" w:rsidP="00F01FBC">
            <w:pPr>
              <w:pStyle w:val="TableBody"/>
            </w:pPr>
            <w:r w:rsidRPr="00F278DB">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843"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824939">
        <w:trPr>
          <w:trHeight w:val="291"/>
          <w:jc w:val="right"/>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1665"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824939">
        <w:trPr>
          <w:trHeight w:val="291"/>
          <w:jc w:val="right"/>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843"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824939">
        <w:trPr>
          <w:trHeight w:val="291"/>
          <w:jc w:val="right"/>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1665"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843"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824939">
        <w:trPr>
          <w:trHeight w:val="291"/>
          <w:jc w:val="right"/>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843"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824939">
        <w:trPr>
          <w:trHeight w:val="291"/>
          <w:jc w:val="right"/>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1665"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824939">
        <w:trPr>
          <w:trHeight w:val="291"/>
          <w:jc w:val="right"/>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843"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824939">
        <w:trPr>
          <w:trHeight w:val="291"/>
          <w:jc w:val="right"/>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843"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824939">
        <w:trPr>
          <w:trHeight w:val="291"/>
          <w:jc w:val="right"/>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824939">
        <w:trPr>
          <w:trHeight w:val="291"/>
          <w:jc w:val="right"/>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1665"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843"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824939">
        <w:trPr>
          <w:trHeight w:val="291"/>
          <w:jc w:val="right"/>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1665"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824939">
        <w:trPr>
          <w:trHeight w:val="291"/>
          <w:jc w:val="right"/>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1665"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843"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824939">
        <w:trPr>
          <w:trHeight w:val="291"/>
          <w:jc w:val="right"/>
        </w:trPr>
        <w:tc>
          <w:tcPr>
            <w:tcW w:w="9204"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41507E" w:rsidR="00B009FC" w:rsidRDefault="00B009FC"/>
    <w:p w14:paraId="73B9C744" w14:textId="77777777" w:rsidR="00B009FC" w:rsidRDefault="00B009FC">
      <w:pPr>
        <w:spacing w:after="160" w:line="259" w:lineRule="auto"/>
      </w:pPr>
      <w:r>
        <w:br w:type="page"/>
      </w:r>
    </w:p>
    <w:p w14:paraId="2BC5B86F" w14:textId="77777777" w:rsidR="00C7406B" w:rsidRDefault="00C7406B"/>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1080"/>
        <w:gridCol w:w="1350"/>
      </w:tblGrid>
      <w:tr w:rsidR="004B3081" w:rsidRPr="004657EE" w14:paraId="08138578" w14:textId="56491E75" w:rsidTr="00B009FC">
        <w:trPr>
          <w:trHeight w:val="288"/>
          <w:tblHeader/>
          <w:jc w:val="center"/>
        </w:trPr>
        <w:tc>
          <w:tcPr>
            <w:tcW w:w="5040" w:type="dxa"/>
            <w:gridSpan w:val="5"/>
            <w:tcBorders>
              <w:top w:val="nil"/>
              <w:left w:val="nil"/>
              <w:bottom w:val="nil"/>
              <w:right w:val="nil"/>
            </w:tcBorders>
            <w:shd w:val="clear" w:color="auto" w:fill="auto"/>
            <w:noWrap/>
            <w:vAlign w:val="bottom"/>
            <w:hideMark/>
          </w:tcPr>
          <w:p w14:paraId="4E225947" w14:textId="32B479AB" w:rsidR="004B3081" w:rsidRPr="004657EE" w:rsidRDefault="004B3081" w:rsidP="00F01FBC">
            <w:pPr>
              <w:pStyle w:val="TableNumberCaption"/>
            </w:pPr>
            <w:r w:rsidRPr="004657EE">
              <w:t> </w:t>
            </w:r>
            <w:bookmarkStart w:id="18" w:name="_Ref520199035"/>
            <w:bookmarkStart w:id="19" w:name="_Toc520215894"/>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8"/>
            <w:r>
              <w:t>. Constant Head Boundary Cell Locations</w:t>
            </w:r>
            <w:bookmarkEnd w:id="19"/>
          </w:p>
        </w:tc>
      </w:tr>
      <w:tr w:rsidR="00B009FC" w:rsidRPr="004657EE" w14:paraId="7ECD630B" w14:textId="16C7CC6A" w:rsidTr="00B009F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B009FC" w:rsidRPr="004657EE" w:rsidRDefault="00B009FC" w:rsidP="00F01FBC">
            <w:pPr>
              <w:pStyle w:val="TableHead"/>
            </w:pPr>
            <w:r w:rsidRPr="004657EE">
              <w:t>Constant Head Boundary Cells</w:t>
            </w:r>
          </w:p>
        </w:tc>
        <w:tc>
          <w:tcPr>
            <w:tcW w:w="270" w:type="dxa"/>
            <w:tcBorders>
              <w:top w:val="nil"/>
              <w:bottom w:val="nil"/>
            </w:tcBorders>
            <w:shd w:val="clear" w:color="auto" w:fill="auto"/>
          </w:tcPr>
          <w:p w14:paraId="71126448" w14:textId="77777777" w:rsidR="00B009FC" w:rsidRPr="004657EE" w:rsidRDefault="00B009FC" w:rsidP="00F01FBC">
            <w:pPr>
              <w:pStyle w:val="TableHead"/>
            </w:pPr>
          </w:p>
        </w:tc>
        <w:tc>
          <w:tcPr>
            <w:tcW w:w="2430" w:type="dxa"/>
            <w:gridSpan w:val="2"/>
            <w:tcBorders>
              <w:top w:val="single" w:sz="4" w:space="0" w:color="auto"/>
            </w:tcBorders>
            <w:shd w:val="clear" w:color="auto" w:fill="D9D9D9" w:themeFill="background1" w:themeFillShade="D9"/>
          </w:tcPr>
          <w:p w14:paraId="09F9CD43" w14:textId="16980B59" w:rsidR="00B009FC" w:rsidRPr="004657EE" w:rsidRDefault="00B009FC" w:rsidP="00F01FBC">
            <w:pPr>
              <w:pStyle w:val="TableHead"/>
            </w:pPr>
            <w:r>
              <w:t>Constant Head Boundary Cells</w:t>
            </w:r>
          </w:p>
        </w:tc>
      </w:tr>
      <w:tr w:rsidR="004B3081" w:rsidRPr="004657EE" w14:paraId="17C0777A" w14:textId="4F443325" w:rsidTr="00B009FC">
        <w:trPr>
          <w:trHeight w:val="288"/>
          <w:tblHeader/>
          <w:jc w:val="center"/>
        </w:trPr>
        <w:tc>
          <w:tcPr>
            <w:tcW w:w="1050" w:type="dxa"/>
            <w:shd w:val="clear" w:color="auto" w:fill="D9D9D9" w:themeFill="background1" w:themeFillShade="D9"/>
            <w:noWrap/>
            <w:vAlign w:val="bottom"/>
            <w:hideMark/>
          </w:tcPr>
          <w:p w14:paraId="285D9E19" w14:textId="77777777" w:rsidR="004B3081" w:rsidRPr="004657EE" w:rsidRDefault="004B3081"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4B3081" w:rsidRPr="004657EE" w:rsidRDefault="004B3081" w:rsidP="00F01FBC">
            <w:pPr>
              <w:pStyle w:val="TableHead"/>
            </w:pPr>
            <w:r w:rsidRPr="004657EE">
              <w:t>Column</w:t>
            </w:r>
          </w:p>
        </w:tc>
        <w:tc>
          <w:tcPr>
            <w:tcW w:w="270" w:type="dxa"/>
            <w:tcBorders>
              <w:top w:val="nil"/>
              <w:bottom w:val="nil"/>
            </w:tcBorders>
            <w:shd w:val="clear" w:color="auto" w:fill="auto"/>
          </w:tcPr>
          <w:p w14:paraId="72361EC9" w14:textId="77777777" w:rsidR="004B3081" w:rsidRPr="004657EE" w:rsidRDefault="004B3081" w:rsidP="00F01FBC">
            <w:pPr>
              <w:pStyle w:val="TableHead"/>
            </w:pPr>
          </w:p>
        </w:tc>
        <w:tc>
          <w:tcPr>
            <w:tcW w:w="1080" w:type="dxa"/>
            <w:shd w:val="clear" w:color="auto" w:fill="D9D9D9" w:themeFill="background1" w:themeFillShade="D9"/>
          </w:tcPr>
          <w:p w14:paraId="16A9D7ED" w14:textId="35EE94D6" w:rsidR="004B3081" w:rsidRPr="004657EE" w:rsidRDefault="00B009FC" w:rsidP="00F01FBC">
            <w:pPr>
              <w:pStyle w:val="TableHead"/>
            </w:pPr>
            <w:r>
              <w:t>Row</w:t>
            </w:r>
          </w:p>
        </w:tc>
        <w:tc>
          <w:tcPr>
            <w:tcW w:w="1350" w:type="dxa"/>
            <w:shd w:val="clear" w:color="auto" w:fill="D9D9D9" w:themeFill="background1" w:themeFillShade="D9"/>
          </w:tcPr>
          <w:p w14:paraId="066AE7F0" w14:textId="022E4556" w:rsidR="004B3081" w:rsidRPr="004657EE" w:rsidRDefault="00B009FC" w:rsidP="00F01FBC">
            <w:pPr>
              <w:pStyle w:val="TableHead"/>
            </w:pPr>
            <w:r>
              <w:t>Column</w:t>
            </w:r>
          </w:p>
        </w:tc>
      </w:tr>
      <w:tr w:rsidR="00B009FC" w:rsidRPr="004657EE" w14:paraId="328DEB78" w14:textId="4E509F54" w:rsidTr="00B009FC">
        <w:trPr>
          <w:trHeight w:val="288"/>
          <w:jc w:val="center"/>
        </w:trPr>
        <w:tc>
          <w:tcPr>
            <w:tcW w:w="1050" w:type="dxa"/>
            <w:shd w:val="clear" w:color="auto" w:fill="auto"/>
            <w:noWrap/>
            <w:vAlign w:val="bottom"/>
            <w:hideMark/>
          </w:tcPr>
          <w:p w14:paraId="4DB451E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9B792F8" w14:textId="77777777" w:rsidR="00B009FC" w:rsidRPr="004657EE" w:rsidRDefault="00B009FC" w:rsidP="00B009FC">
            <w:pPr>
              <w:pStyle w:val="TableBody"/>
              <w:jc w:val="center"/>
            </w:pPr>
            <w:r w:rsidRPr="004657EE">
              <w:t>1</w:t>
            </w:r>
          </w:p>
        </w:tc>
        <w:tc>
          <w:tcPr>
            <w:tcW w:w="270" w:type="dxa"/>
            <w:tcBorders>
              <w:top w:val="nil"/>
              <w:bottom w:val="nil"/>
            </w:tcBorders>
          </w:tcPr>
          <w:p w14:paraId="5F067B2E" w14:textId="77777777" w:rsidR="00B009FC" w:rsidRPr="004657EE" w:rsidRDefault="00B009FC" w:rsidP="00B009FC">
            <w:pPr>
              <w:pStyle w:val="TableBody"/>
              <w:jc w:val="center"/>
            </w:pPr>
          </w:p>
        </w:tc>
        <w:tc>
          <w:tcPr>
            <w:tcW w:w="1080" w:type="dxa"/>
            <w:vAlign w:val="bottom"/>
          </w:tcPr>
          <w:p w14:paraId="3B0B2CE7" w14:textId="4179DB16" w:rsidR="00B009FC" w:rsidRPr="004657EE" w:rsidRDefault="00B009FC" w:rsidP="00B009FC">
            <w:pPr>
              <w:pStyle w:val="TableBody"/>
              <w:jc w:val="center"/>
            </w:pPr>
            <w:r w:rsidRPr="004657EE">
              <w:t>13</w:t>
            </w:r>
          </w:p>
        </w:tc>
        <w:tc>
          <w:tcPr>
            <w:tcW w:w="1350" w:type="dxa"/>
            <w:vAlign w:val="bottom"/>
          </w:tcPr>
          <w:p w14:paraId="05FD3BC0" w14:textId="7AD6BD25" w:rsidR="00B009FC" w:rsidRPr="004657EE" w:rsidRDefault="00B009FC" w:rsidP="00B009FC">
            <w:pPr>
              <w:pStyle w:val="TableBody"/>
              <w:jc w:val="center"/>
            </w:pPr>
            <w:r w:rsidRPr="004657EE">
              <w:t>29</w:t>
            </w:r>
          </w:p>
        </w:tc>
      </w:tr>
      <w:tr w:rsidR="00B009FC" w:rsidRPr="004657EE" w14:paraId="10B31C00" w14:textId="5EE9ED3F" w:rsidTr="00B009FC">
        <w:trPr>
          <w:trHeight w:val="288"/>
          <w:jc w:val="center"/>
        </w:trPr>
        <w:tc>
          <w:tcPr>
            <w:tcW w:w="1050" w:type="dxa"/>
            <w:shd w:val="clear" w:color="auto" w:fill="auto"/>
            <w:noWrap/>
            <w:vAlign w:val="bottom"/>
            <w:hideMark/>
          </w:tcPr>
          <w:p w14:paraId="098F16FD"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5171AAD2" w14:textId="77777777" w:rsidR="00B009FC" w:rsidRPr="004657EE" w:rsidRDefault="00B009FC" w:rsidP="00B009FC">
            <w:pPr>
              <w:pStyle w:val="TableBody"/>
              <w:jc w:val="center"/>
            </w:pPr>
            <w:r w:rsidRPr="004657EE">
              <w:t>2</w:t>
            </w:r>
          </w:p>
        </w:tc>
        <w:tc>
          <w:tcPr>
            <w:tcW w:w="270" w:type="dxa"/>
            <w:tcBorders>
              <w:top w:val="nil"/>
              <w:bottom w:val="nil"/>
            </w:tcBorders>
          </w:tcPr>
          <w:p w14:paraId="0AF719EC" w14:textId="77777777" w:rsidR="00B009FC" w:rsidRPr="004657EE" w:rsidRDefault="00B009FC" w:rsidP="00B009FC">
            <w:pPr>
              <w:pStyle w:val="TableBody"/>
              <w:jc w:val="center"/>
            </w:pPr>
          </w:p>
        </w:tc>
        <w:tc>
          <w:tcPr>
            <w:tcW w:w="1080" w:type="dxa"/>
            <w:vAlign w:val="bottom"/>
          </w:tcPr>
          <w:p w14:paraId="7733E10F" w14:textId="1B2332B3" w:rsidR="00B009FC" w:rsidRPr="004657EE" w:rsidRDefault="00B009FC" w:rsidP="00B009FC">
            <w:pPr>
              <w:pStyle w:val="TableBody"/>
              <w:jc w:val="center"/>
            </w:pPr>
            <w:r w:rsidRPr="004657EE">
              <w:t>14</w:t>
            </w:r>
          </w:p>
        </w:tc>
        <w:tc>
          <w:tcPr>
            <w:tcW w:w="1350" w:type="dxa"/>
            <w:vAlign w:val="bottom"/>
          </w:tcPr>
          <w:p w14:paraId="4F3F6214" w14:textId="305CB30D" w:rsidR="00B009FC" w:rsidRPr="004657EE" w:rsidRDefault="00B009FC" w:rsidP="00B009FC">
            <w:pPr>
              <w:pStyle w:val="TableBody"/>
              <w:jc w:val="center"/>
            </w:pPr>
            <w:r w:rsidRPr="004657EE">
              <w:t>30</w:t>
            </w:r>
          </w:p>
        </w:tc>
      </w:tr>
      <w:tr w:rsidR="00B009FC" w:rsidRPr="004657EE" w14:paraId="0EE64D8A" w14:textId="4DA26B16" w:rsidTr="00B009FC">
        <w:trPr>
          <w:trHeight w:val="288"/>
          <w:jc w:val="center"/>
        </w:trPr>
        <w:tc>
          <w:tcPr>
            <w:tcW w:w="1050" w:type="dxa"/>
            <w:shd w:val="clear" w:color="auto" w:fill="auto"/>
            <w:noWrap/>
            <w:vAlign w:val="bottom"/>
            <w:hideMark/>
          </w:tcPr>
          <w:p w14:paraId="4245DA15"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CCC264F" w14:textId="77777777" w:rsidR="00B009FC" w:rsidRPr="004657EE" w:rsidRDefault="00B009FC" w:rsidP="00B009FC">
            <w:pPr>
              <w:pStyle w:val="TableBody"/>
              <w:jc w:val="center"/>
            </w:pPr>
            <w:r w:rsidRPr="004657EE">
              <w:t>3</w:t>
            </w:r>
          </w:p>
        </w:tc>
        <w:tc>
          <w:tcPr>
            <w:tcW w:w="270" w:type="dxa"/>
            <w:tcBorders>
              <w:top w:val="nil"/>
              <w:bottom w:val="nil"/>
            </w:tcBorders>
          </w:tcPr>
          <w:p w14:paraId="4EDC138A" w14:textId="77777777" w:rsidR="00B009FC" w:rsidRPr="004657EE" w:rsidRDefault="00B009FC" w:rsidP="00B009FC">
            <w:pPr>
              <w:pStyle w:val="TableBody"/>
              <w:jc w:val="center"/>
            </w:pPr>
          </w:p>
        </w:tc>
        <w:tc>
          <w:tcPr>
            <w:tcW w:w="1080" w:type="dxa"/>
            <w:vAlign w:val="bottom"/>
          </w:tcPr>
          <w:p w14:paraId="74A37E47" w14:textId="6F4DD223" w:rsidR="00B009FC" w:rsidRPr="004657EE" w:rsidRDefault="00B009FC" w:rsidP="00B009FC">
            <w:pPr>
              <w:pStyle w:val="TableBody"/>
              <w:jc w:val="center"/>
            </w:pPr>
            <w:r w:rsidRPr="004657EE">
              <w:t>15</w:t>
            </w:r>
          </w:p>
        </w:tc>
        <w:tc>
          <w:tcPr>
            <w:tcW w:w="1350" w:type="dxa"/>
            <w:vAlign w:val="bottom"/>
          </w:tcPr>
          <w:p w14:paraId="6AF31251" w14:textId="17836F72" w:rsidR="00B009FC" w:rsidRPr="004657EE" w:rsidRDefault="00B009FC" w:rsidP="00B009FC">
            <w:pPr>
              <w:pStyle w:val="TableBody"/>
              <w:jc w:val="center"/>
            </w:pPr>
            <w:r w:rsidRPr="004657EE">
              <w:t>31</w:t>
            </w:r>
          </w:p>
        </w:tc>
      </w:tr>
      <w:tr w:rsidR="00B009FC" w:rsidRPr="004657EE" w14:paraId="0A529FB1" w14:textId="0A1299C7" w:rsidTr="00B009FC">
        <w:trPr>
          <w:trHeight w:val="288"/>
          <w:jc w:val="center"/>
        </w:trPr>
        <w:tc>
          <w:tcPr>
            <w:tcW w:w="1050" w:type="dxa"/>
            <w:shd w:val="clear" w:color="auto" w:fill="auto"/>
            <w:noWrap/>
            <w:vAlign w:val="bottom"/>
            <w:hideMark/>
          </w:tcPr>
          <w:p w14:paraId="34395A63"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74D44BC" w14:textId="77777777" w:rsidR="00B009FC" w:rsidRPr="004657EE" w:rsidRDefault="00B009FC" w:rsidP="00B009FC">
            <w:pPr>
              <w:pStyle w:val="TableBody"/>
              <w:jc w:val="center"/>
            </w:pPr>
            <w:r w:rsidRPr="004657EE">
              <w:t>4</w:t>
            </w:r>
          </w:p>
        </w:tc>
        <w:tc>
          <w:tcPr>
            <w:tcW w:w="270" w:type="dxa"/>
            <w:tcBorders>
              <w:top w:val="nil"/>
              <w:bottom w:val="nil"/>
            </w:tcBorders>
          </w:tcPr>
          <w:p w14:paraId="0181408A" w14:textId="77777777" w:rsidR="00B009FC" w:rsidRPr="004657EE" w:rsidRDefault="00B009FC" w:rsidP="00B009FC">
            <w:pPr>
              <w:pStyle w:val="TableBody"/>
              <w:jc w:val="center"/>
            </w:pPr>
          </w:p>
        </w:tc>
        <w:tc>
          <w:tcPr>
            <w:tcW w:w="1080" w:type="dxa"/>
            <w:vAlign w:val="bottom"/>
          </w:tcPr>
          <w:p w14:paraId="3D626459" w14:textId="28571D17" w:rsidR="00B009FC" w:rsidRPr="004657EE" w:rsidRDefault="00B009FC" w:rsidP="00B009FC">
            <w:pPr>
              <w:pStyle w:val="TableBody"/>
              <w:jc w:val="center"/>
            </w:pPr>
            <w:r w:rsidRPr="004657EE">
              <w:t>16</w:t>
            </w:r>
          </w:p>
        </w:tc>
        <w:tc>
          <w:tcPr>
            <w:tcW w:w="1350" w:type="dxa"/>
            <w:vAlign w:val="bottom"/>
          </w:tcPr>
          <w:p w14:paraId="06A20D96" w14:textId="3103C96F" w:rsidR="00B009FC" w:rsidRPr="004657EE" w:rsidRDefault="00B009FC" w:rsidP="00B009FC">
            <w:pPr>
              <w:pStyle w:val="TableBody"/>
              <w:jc w:val="center"/>
            </w:pPr>
            <w:r w:rsidRPr="004657EE">
              <w:t>32</w:t>
            </w:r>
          </w:p>
        </w:tc>
      </w:tr>
      <w:tr w:rsidR="00B009FC" w:rsidRPr="004657EE" w14:paraId="2DD49EB5" w14:textId="11EFE001" w:rsidTr="00B009FC">
        <w:trPr>
          <w:trHeight w:val="288"/>
          <w:jc w:val="center"/>
        </w:trPr>
        <w:tc>
          <w:tcPr>
            <w:tcW w:w="1050" w:type="dxa"/>
            <w:shd w:val="clear" w:color="auto" w:fill="auto"/>
            <w:noWrap/>
            <w:vAlign w:val="bottom"/>
            <w:hideMark/>
          </w:tcPr>
          <w:p w14:paraId="1EC4F00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43985F4" w14:textId="77777777" w:rsidR="00B009FC" w:rsidRPr="004657EE" w:rsidRDefault="00B009FC" w:rsidP="00B009FC">
            <w:pPr>
              <w:pStyle w:val="TableBody"/>
              <w:jc w:val="center"/>
            </w:pPr>
            <w:r w:rsidRPr="004657EE">
              <w:t>5</w:t>
            </w:r>
          </w:p>
        </w:tc>
        <w:tc>
          <w:tcPr>
            <w:tcW w:w="270" w:type="dxa"/>
            <w:tcBorders>
              <w:top w:val="nil"/>
              <w:bottom w:val="nil"/>
            </w:tcBorders>
          </w:tcPr>
          <w:p w14:paraId="453D7128" w14:textId="77777777" w:rsidR="00B009FC" w:rsidRPr="004657EE" w:rsidRDefault="00B009FC" w:rsidP="00B009FC">
            <w:pPr>
              <w:pStyle w:val="TableBody"/>
              <w:jc w:val="center"/>
            </w:pPr>
          </w:p>
        </w:tc>
        <w:tc>
          <w:tcPr>
            <w:tcW w:w="1080" w:type="dxa"/>
            <w:vAlign w:val="bottom"/>
          </w:tcPr>
          <w:p w14:paraId="4AE4E579" w14:textId="79536523" w:rsidR="00B009FC" w:rsidRPr="004657EE" w:rsidRDefault="00B009FC" w:rsidP="00B009FC">
            <w:pPr>
              <w:pStyle w:val="TableBody"/>
              <w:jc w:val="center"/>
            </w:pPr>
            <w:r w:rsidRPr="004657EE">
              <w:t>17</w:t>
            </w:r>
          </w:p>
        </w:tc>
        <w:tc>
          <w:tcPr>
            <w:tcW w:w="1350" w:type="dxa"/>
            <w:vAlign w:val="bottom"/>
          </w:tcPr>
          <w:p w14:paraId="3A7135CB" w14:textId="0F5BEA4D" w:rsidR="00B009FC" w:rsidRPr="004657EE" w:rsidRDefault="00B009FC" w:rsidP="00B009FC">
            <w:pPr>
              <w:pStyle w:val="TableBody"/>
              <w:jc w:val="center"/>
            </w:pPr>
            <w:r w:rsidRPr="004657EE">
              <w:t>33</w:t>
            </w:r>
          </w:p>
        </w:tc>
      </w:tr>
      <w:tr w:rsidR="00B009FC" w:rsidRPr="004657EE" w14:paraId="45B5AF24" w14:textId="242985C3" w:rsidTr="00B009FC">
        <w:trPr>
          <w:trHeight w:val="288"/>
          <w:jc w:val="center"/>
        </w:trPr>
        <w:tc>
          <w:tcPr>
            <w:tcW w:w="1050" w:type="dxa"/>
            <w:shd w:val="clear" w:color="auto" w:fill="auto"/>
            <w:noWrap/>
            <w:vAlign w:val="bottom"/>
            <w:hideMark/>
          </w:tcPr>
          <w:p w14:paraId="50D96104"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3E6BB96F" w14:textId="77777777" w:rsidR="00B009FC" w:rsidRPr="004657EE" w:rsidRDefault="00B009FC" w:rsidP="00B009FC">
            <w:pPr>
              <w:pStyle w:val="TableBody"/>
              <w:jc w:val="center"/>
            </w:pPr>
            <w:r w:rsidRPr="004657EE">
              <w:t>6</w:t>
            </w:r>
          </w:p>
        </w:tc>
        <w:tc>
          <w:tcPr>
            <w:tcW w:w="270" w:type="dxa"/>
            <w:tcBorders>
              <w:top w:val="nil"/>
              <w:bottom w:val="nil"/>
            </w:tcBorders>
          </w:tcPr>
          <w:p w14:paraId="447AAD05" w14:textId="77777777" w:rsidR="00B009FC" w:rsidRPr="004657EE" w:rsidRDefault="00B009FC" w:rsidP="00B009FC">
            <w:pPr>
              <w:pStyle w:val="TableBody"/>
              <w:jc w:val="center"/>
            </w:pPr>
          </w:p>
        </w:tc>
        <w:tc>
          <w:tcPr>
            <w:tcW w:w="1080" w:type="dxa"/>
            <w:vAlign w:val="bottom"/>
          </w:tcPr>
          <w:p w14:paraId="33E4DD62" w14:textId="543845BE" w:rsidR="00B009FC" w:rsidRPr="004657EE" w:rsidRDefault="00B009FC" w:rsidP="00B009FC">
            <w:pPr>
              <w:pStyle w:val="TableBody"/>
              <w:jc w:val="center"/>
            </w:pPr>
            <w:r w:rsidRPr="004657EE">
              <w:t>18</w:t>
            </w:r>
          </w:p>
        </w:tc>
        <w:tc>
          <w:tcPr>
            <w:tcW w:w="1350" w:type="dxa"/>
            <w:vAlign w:val="bottom"/>
          </w:tcPr>
          <w:p w14:paraId="67FD5B96" w14:textId="0DD86597" w:rsidR="00B009FC" w:rsidRPr="004657EE" w:rsidRDefault="00B009FC" w:rsidP="00B009FC">
            <w:pPr>
              <w:pStyle w:val="TableBody"/>
              <w:jc w:val="center"/>
            </w:pPr>
            <w:r w:rsidRPr="004657EE">
              <w:t>33</w:t>
            </w:r>
          </w:p>
        </w:tc>
      </w:tr>
      <w:tr w:rsidR="00B009FC" w:rsidRPr="004657EE" w14:paraId="49B40BF2" w14:textId="7DAF69D9" w:rsidTr="00B009FC">
        <w:trPr>
          <w:trHeight w:val="288"/>
          <w:jc w:val="center"/>
        </w:trPr>
        <w:tc>
          <w:tcPr>
            <w:tcW w:w="1050" w:type="dxa"/>
            <w:shd w:val="clear" w:color="auto" w:fill="auto"/>
            <w:noWrap/>
            <w:vAlign w:val="bottom"/>
            <w:hideMark/>
          </w:tcPr>
          <w:p w14:paraId="660CCD6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4317DCE" w14:textId="77777777" w:rsidR="00B009FC" w:rsidRPr="004657EE" w:rsidRDefault="00B009FC" w:rsidP="00B009FC">
            <w:pPr>
              <w:pStyle w:val="TableBody"/>
              <w:jc w:val="center"/>
            </w:pPr>
            <w:r w:rsidRPr="004657EE">
              <w:t>7</w:t>
            </w:r>
          </w:p>
        </w:tc>
        <w:tc>
          <w:tcPr>
            <w:tcW w:w="270" w:type="dxa"/>
            <w:tcBorders>
              <w:top w:val="nil"/>
              <w:bottom w:val="nil"/>
            </w:tcBorders>
          </w:tcPr>
          <w:p w14:paraId="5F9D68C2" w14:textId="77777777" w:rsidR="00B009FC" w:rsidRPr="004657EE" w:rsidRDefault="00B009FC" w:rsidP="00B009FC">
            <w:pPr>
              <w:pStyle w:val="TableBody"/>
              <w:jc w:val="center"/>
            </w:pPr>
          </w:p>
        </w:tc>
        <w:tc>
          <w:tcPr>
            <w:tcW w:w="1080" w:type="dxa"/>
            <w:vAlign w:val="bottom"/>
          </w:tcPr>
          <w:p w14:paraId="1EE27DAE" w14:textId="41BE03FC" w:rsidR="00B009FC" w:rsidRPr="004657EE" w:rsidRDefault="00B009FC" w:rsidP="00B009FC">
            <w:pPr>
              <w:pStyle w:val="TableBody"/>
              <w:jc w:val="center"/>
            </w:pPr>
            <w:r w:rsidRPr="004657EE">
              <w:t>19</w:t>
            </w:r>
          </w:p>
        </w:tc>
        <w:tc>
          <w:tcPr>
            <w:tcW w:w="1350" w:type="dxa"/>
            <w:vAlign w:val="bottom"/>
          </w:tcPr>
          <w:p w14:paraId="4D7C9A4D" w14:textId="31ABA1E1" w:rsidR="00B009FC" w:rsidRPr="004657EE" w:rsidRDefault="00B009FC" w:rsidP="00B009FC">
            <w:pPr>
              <w:pStyle w:val="TableBody"/>
              <w:jc w:val="center"/>
            </w:pPr>
            <w:r w:rsidRPr="004657EE">
              <w:t>34</w:t>
            </w:r>
          </w:p>
        </w:tc>
      </w:tr>
      <w:tr w:rsidR="00B009FC" w:rsidRPr="004657EE" w14:paraId="2225312E" w14:textId="4038482D" w:rsidTr="00B009FC">
        <w:trPr>
          <w:trHeight w:val="288"/>
          <w:jc w:val="center"/>
        </w:trPr>
        <w:tc>
          <w:tcPr>
            <w:tcW w:w="1050" w:type="dxa"/>
            <w:shd w:val="clear" w:color="auto" w:fill="auto"/>
            <w:noWrap/>
            <w:vAlign w:val="bottom"/>
            <w:hideMark/>
          </w:tcPr>
          <w:p w14:paraId="1B3B2107"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466EC26A" w14:textId="77777777" w:rsidR="00B009FC" w:rsidRPr="004657EE" w:rsidRDefault="00B009FC" w:rsidP="00B009FC">
            <w:pPr>
              <w:pStyle w:val="TableBody"/>
              <w:jc w:val="center"/>
            </w:pPr>
            <w:r w:rsidRPr="004657EE">
              <w:t>8</w:t>
            </w:r>
          </w:p>
        </w:tc>
        <w:tc>
          <w:tcPr>
            <w:tcW w:w="270" w:type="dxa"/>
            <w:tcBorders>
              <w:top w:val="nil"/>
              <w:bottom w:val="nil"/>
            </w:tcBorders>
          </w:tcPr>
          <w:p w14:paraId="15581AF8" w14:textId="77777777" w:rsidR="00B009FC" w:rsidRPr="004657EE" w:rsidRDefault="00B009FC" w:rsidP="00B009FC">
            <w:pPr>
              <w:pStyle w:val="TableBody"/>
              <w:jc w:val="center"/>
            </w:pPr>
          </w:p>
        </w:tc>
        <w:tc>
          <w:tcPr>
            <w:tcW w:w="1080" w:type="dxa"/>
            <w:vAlign w:val="bottom"/>
          </w:tcPr>
          <w:p w14:paraId="748A2FEA" w14:textId="206E0B95" w:rsidR="00B009FC" w:rsidRPr="004657EE" w:rsidRDefault="00B009FC" w:rsidP="00B009FC">
            <w:pPr>
              <w:pStyle w:val="TableBody"/>
              <w:jc w:val="center"/>
            </w:pPr>
            <w:r w:rsidRPr="004657EE">
              <w:t>20</w:t>
            </w:r>
          </w:p>
        </w:tc>
        <w:tc>
          <w:tcPr>
            <w:tcW w:w="1350" w:type="dxa"/>
            <w:vAlign w:val="bottom"/>
          </w:tcPr>
          <w:p w14:paraId="4A35B5C5" w14:textId="38BF1A9C" w:rsidR="00B009FC" w:rsidRPr="004657EE" w:rsidRDefault="00B009FC" w:rsidP="00B009FC">
            <w:pPr>
              <w:pStyle w:val="TableBody"/>
              <w:jc w:val="center"/>
            </w:pPr>
            <w:r w:rsidRPr="004657EE">
              <w:t>34</w:t>
            </w:r>
          </w:p>
        </w:tc>
      </w:tr>
      <w:tr w:rsidR="00B009FC" w:rsidRPr="004657EE" w14:paraId="27263559" w14:textId="098B3517" w:rsidTr="00B009FC">
        <w:trPr>
          <w:trHeight w:val="288"/>
          <w:jc w:val="center"/>
        </w:trPr>
        <w:tc>
          <w:tcPr>
            <w:tcW w:w="1050" w:type="dxa"/>
            <w:shd w:val="clear" w:color="auto" w:fill="auto"/>
            <w:noWrap/>
            <w:vAlign w:val="bottom"/>
            <w:hideMark/>
          </w:tcPr>
          <w:p w14:paraId="07DC6EEE"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2E98634C" w14:textId="77777777" w:rsidR="00B009FC" w:rsidRPr="004657EE" w:rsidRDefault="00B009FC" w:rsidP="00B009FC">
            <w:pPr>
              <w:pStyle w:val="TableBody"/>
              <w:jc w:val="center"/>
            </w:pPr>
            <w:r w:rsidRPr="004657EE">
              <w:t>9</w:t>
            </w:r>
          </w:p>
        </w:tc>
        <w:tc>
          <w:tcPr>
            <w:tcW w:w="270" w:type="dxa"/>
            <w:tcBorders>
              <w:top w:val="nil"/>
              <w:bottom w:val="nil"/>
            </w:tcBorders>
          </w:tcPr>
          <w:p w14:paraId="1630086E" w14:textId="77777777" w:rsidR="00B009FC" w:rsidRPr="004657EE" w:rsidRDefault="00B009FC" w:rsidP="00B009FC">
            <w:pPr>
              <w:pStyle w:val="TableBody"/>
              <w:jc w:val="center"/>
            </w:pPr>
          </w:p>
        </w:tc>
        <w:tc>
          <w:tcPr>
            <w:tcW w:w="1080" w:type="dxa"/>
            <w:vAlign w:val="bottom"/>
          </w:tcPr>
          <w:p w14:paraId="33238A4C" w14:textId="166CB774" w:rsidR="00B009FC" w:rsidRPr="004657EE" w:rsidRDefault="00B009FC" w:rsidP="00B009FC">
            <w:pPr>
              <w:pStyle w:val="TableBody"/>
              <w:jc w:val="center"/>
            </w:pPr>
            <w:r w:rsidRPr="004657EE">
              <w:t>21</w:t>
            </w:r>
          </w:p>
        </w:tc>
        <w:tc>
          <w:tcPr>
            <w:tcW w:w="1350" w:type="dxa"/>
            <w:vAlign w:val="bottom"/>
          </w:tcPr>
          <w:p w14:paraId="3C8063C2" w14:textId="63C69C61" w:rsidR="00B009FC" w:rsidRPr="004657EE" w:rsidRDefault="00B009FC" w:rsidP="00B009FC">
            <w:pPr>
              <w:pStyle w:val="TableBody"/>
              <w:jc w:val="center"/>
            </w:pPr>
            <w:r w:rsidRPr="004657EE">
              <w:t>35</w:t>
            </w:r>
          </w:p>
        </w:tc>
      </w:tr>
      <w:tr w:rsidR="00B009FC" w:rsidRPr="004657EE" w14:paraId="3942DC5B" w14:textId="247FF05B" w:rsidTr="00B009FC">
        <w:trPr>
          <w:trHeight w:val="288"/>
          <w:jc w:val="center"/>
        </w:trPr>
        <w:tc>
          <w:tcPr>
            <w:tcW w:w="1050" w:type="dxa"/>
            <w:shd w:val="clear" w:color="auto" w:fill="auto"/>
            <w:noWrap/>
            <w:vAlign w:val="bottom"/>
            <w:hideMark/>
          </w:tcPr>
          <w:p w14:paraId="7FD96FE5"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3A698DB" w14:textId="77777777" w:rsidR="00B009FC" w:rsidRPr="004657EE" w:rsidRDefault="00B009FC" w:rsidP="00B009FC">
            <w:pPr>
              <w:pStyle w:val="TableBody"/>
              <w:jc w:val="center"/>
            </w:pPr>
            <w:r w:rsidRPr="004657EE">
              <w:t>10</w:t>
            </w:r>
          </w:p>
        </w:tc>
        <w:tc>
          <w:tcPr>
            <w:tcW w:w="270" w:type="dxa"/>
            <w:tcBorders>
              <w:top w:val="nil"/>
              <w:bottom w:val="nil"/>
            </w:tcBorders>
          </w:tcPr>
          <w:p w14:paraId="24BA2511" w14:textId="77777777" w:rsidR="00B009FC" w:rsidRPr="004657EE" w:rsidRDefault="00B009FC" w:rsidP="00B009FC">
            <w:pPr>
              <w:pStyle w:val="TableBody"/>
              <w:jc w:val="center"/>
            </w:pPr>
          </w:p>
        </w:tc>
        <w:tc>
          <w:tcPr>
            <w:tcW w:w="1080" w:type="dxa"/>
            <w:vAlign w:val="bottom"/>
          </w:tcPr>
          <w:p w14:paraId="65451623" w14:textId="556A1AC4" w:rsidR="00B009FC" w:rsidRPr="004657EE" w:rsidRDefault="00B009FC" w:rsidP="00B009FC">
            <w:pPr>
              <w:pStyle w:val="TableBody"/>
              <w:jc w:val="center"/>
            </w:pPr>
            <w:r w:rsidRPr="004657EE">
              <w:t>22</w:t>
            </w:r>
          </w:p>
        </w:tc>
        <w:tc>
          <w:tcPr>
            <w:tcW w:w="1350" w:type="dxa"/>
            <w:vAlign w:val="bottom"/>
          </w:tcPr>
          <w:p w14:paraId="5B349598" w14:textId="6291AFC3" w:rsidR="00B009FC" w:rsidRPr="004657EE" w:rsidRDefault="00B009FC" w:rsidP="00B009FC">
            <w:pPr>
              <w:pStyle w:val="TableBody"/>
              <w:jc w:val="center"/>
            </w:pPr>
            <w:r w:rsidRPr="004657EE">
              <w:t>36</w:t>
            </w:r>
          </w:p>
        </w:tc>
      </w:tr>
      <w:tr w:rsidR="00B009FC" w:rsidRPr="004657EE" w14:paraId="352FE989" w14:textId="0B5BCD73" w:rsidTr="00B009FC">
        <w:trPr>
          <w:trHeight w:val="288"/>
          <w:jc w:val="center"/>
        </w:trPr>
        <w:tc>
          <w:tcPr>
            <w:tcW w:w="1050" w:type="dxa"/>
            <w:shd w:val="clear" w:color="auto" w:fill="auto"/>
            <w:noWrap/>
            <w:vAlign w:val="bottom"/>
            <w:hideMark/>
          </w:tcPr>
          <w:p w14:paraId="550C5DE2"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67A843D" w14:textId="77777777" w:rsidR="00B009FC" w:rsidRPr="004657EE" w:rsidRDefault="00B009FC" w:rsidP="00B009FC">
            <w:pPr>
              <w:pStyle w:val="TableBody"/>
              <w:jc w:val="center"/>
            </w:pPr>
            <w:r w:rsidRPr="004657EE">
              <w:t>11</w:t>
            </w:r>
          </w:p>
        </w:tc>
        <w:tc>
          <w:tcPr>
            <w:tcW w:w="270" w:type="dxa"/>
            <w:tcBorders>
              <w:top w:val="nil"/>
              <w:bottom w:val="nil"/>
            </w:tcBorders>
          </w:tcPr>
          <w:p w14:paraId="141CAA57" w14:textId="77777777" w:rsidR="00B009FC" w:rsidRPr="004657EE" w:rsidRDefault="00B009FC" w:rsidP="00B009FC">
            <w:pPr>
              <w:pStyle w:val="TableBody"/>
              <w:jc w:val="center"/>
            </w:pPr>
          </w:p>
        </w:tc>
        <w:tc>
          <w:tcPr>
            <w:tcW w:w="1080" w:type="dxa"/>
            <w:vAlign w:val="bottom"/>
          </w:tcPr>
          <w:p w14:paraId="12E2E7AB" w14:textId="0A10AE86" w:rsidR="00B009FC" w:rsidRPr="004657EE" w:rsidRDefault="00B009FC" w:rsidP="00B009FC">
            <w:pPr>
              <w:pStyle w:val="TableBody"/>
              <w:jc w:val="center"/>
            </w:pPr>
            <w:r w:rsidRPr="004657EE">
              <w:t>23</w:t>
            </w:r>
          </w:p>
        </w:tc>
        <w:tc>
          <w:tcPr>
            <w:tcW w:w="1350" w:type="dxa"/>
            <w:vAlign w:val="bottom"/>
          </w:tcPr>
          <w:p w14:paraId="5BE57776" w14:textId="3D04069F" w:rsidR="00B009FC" w:rsidRPr="004657EE" w:rsidRDefault="00B009FC" w:rsidP="00B009FC">
            <w:pPr>
              <w:pStyle w:val="TableBody"/>
              <w:jc w:val="center"/>
            </w:pPr>
            <w:r w:rsidRPr="004657EE">
              <w:t>36</w:t>
            </w:r>
          </w:p>
        </w:tc>
      </w:tr>
      <w:tr w:rsidR="00B009FC" w:rsidRPr="004657EE" w14:paraId="567D8EB0" w14:textId="0D24DD09" w:rsidTr="00B009FC">
        <w:trPr>
          <w:trHeight w:val="336"/>
          <w:jc w:val="center"/>
        </w:trPr>
        <w:tc>
          <w:tcPr>
            <w:tcW w:w="1050" w:type="dxa"/>
            <w:shd w:val="clear" w:color="auto" w:fill="auto"/>
            <w:noWrap/>
            <w:vAlign w:val="bottom"/>
            <w:hideMark/>
          </w:tcPr>
          <w:p w14:paraId="0A1EEA4A"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F0ED13A" w14:textId="77777777" w:rsidR="00B009FC" w:rsidRPr="004657EE" w:rsidRDefault="00B009FC" w:rsidP="00B009FC">
            <w:pPr>
              <w:pStyle w:val="TableBody"/>
              <w:jc w:val="center"/>
            </w:pPr>
            <w:r w:rsidRPr="004657EE">
              <w:t>12</w:t>
            </w:r>
          </w:p>
        </w:tc>
        <w:tc>
          <w:tcPr>
            <w:tcW w:w="270" w:type="dxa"/>
            <w:tcBorders>
              <w:top w:val="nil"/>
              <w:bottom w:val="nil"/>
            </w:tcBorders>
          </w:tcPr>
          <w:p w14:paraId="0FDCD5E8" w14:textId="77777777" w:rsidR="00B009FC" w:rsidRPr="004657EE" w:rsidRDefault="00B009FC" w:rsidP="00B009FC">
            <w:pPr>
              <w:pStyle w:val="TableBody"/>
              <w:jc w:val="center"/>
            </w:pPr>
          </w:p>
        </w:tc>
        <w:tc>
          <w:tcPr>
            <w:tcW w:w="1080" w:type="dxa"/>
            <w:vAlign w:val="bottom"/>
          </w:tcPr>
          <w:p w14:paraId="5CB4E6FD" w14:textId="5E7EE796" w:rsidR="00B009FC" w:rsidRPr="004657EE" w:rsidRDefault="00B009FC" w:rsidP="00B009FC">
            <w:pPr>
              <w:pStyle w:val="TableBody"/>
              <w:jc w:val="center"/>
            </w:pPr>
            <w:r w:rsidRPr="004657EE">
              <w:t>24</w:t>
            </w:r>
          </w:p>
        </w:tc>
        <w:tc>
          <w:tcPr>
            <w:tcW w:w="1350" w:type="dxa"/>
            <w:vAlign w:val="bottom"/>
          </w:tcPr>
          <w:p w14:paraId="5A405CB6" w14:textId="45875FED" w:rsidR="00B009FC" w:rsidRPr="004657EE" w:rsidRDefault="00B009FC" w:rsidP="00B009FC">
            <w:pPr>
              <w:pStyle w:val="TableBody"/>
              <w:jc w:val="center"/>
            </w:pPr>
            <w:r w:rsidRPr="004657EE">
              <w:t>37</w:t>
            </w:r>
          </w:p>
        </w:tc>
      </w:tr>
      <w:tr w:rsidR="00B009FC" w:rsidRPr="004657EE" w14:paraId="37F8D8CB" w14:textId="7231A607" w:rsidTr="00B009FC">
        <w:trPr>
          <w:trHeight w:val="288"/>
          <w:jc w:val="center"/>
        </w:trPr>
        <w:tc>
          <w:tcPr>
            <w:tcW w:w="1050" w:type="dxa"/>
            <w:shd w:val="clear" w:color="auto" w:fill="auto"/>
            <w:noWrap/>
            <w:vAlign w:val="bottom"/>
            <w:hideMark/>
          </w:tcPr>
          <w:p w14:paraId="29D7D001"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57537693" w14:textId="77777777" w:rsidR="00B009FC" w:rsidRPr="004657EE" w:rsidRDefault="00B009FC" w:rsidP="00B009FC">
            <w:pPr>
              <w:pStyle w:val="TableBody"/>
              <w:jc w:val="center"/>
            </w:pPr>
            <w:r w:rsidRPr="004657EE">
              <w:t>13</w:t>
            </w:r>
          </w:p>
        </w:tc>
        <w:tc>
          <w:tcPr>
            <w:tcW w:w="270" w:type="dxa"/>
            <w:tcBorders>
              <w:top w:val="nil"/>
              <w:bottom w:val="nil"/>
            </w:tcBorders>
          </w:tcPr>
          <w:p w14:paraId="71A4C5E7" w14:textId="77777777" w:rsidR="00B009FC" w:rsidRPr="004657EE" w:rsidRDefault="00B009FC" w:rsidP="00B009FC">
            <w:pPr>
              <w:pStyle w:val="TableBody"/>
              <w:jc w:val="center"/>
            </w:pPr>
          </w:p>
        </w:tc>
        <w:tc>
          <w:tcPr>
            <w:tcW w:w="1080" w:type="dxa"/>
            <w:vAlign w:val="bottom"/>
          </w:tcPr>
          <w:p w14:paraId="7C484C08" w14:textId="7577D94B" w:rsidR="00B009FC" w:rsidRPr="004657EE" w:rsidRDefault="00B009FC" w:rsidP="00B009FC">
            <w:pPr>
              <w:pStyle w:val="TableBody"/>
              <w:jc w:val="center"/>
            </w:pPr>
            <w:r w:rsidRPr="004657EE">
              <w:t>25</w:t>
            </w:r>
          </w:p>
        </w:tc>
        <w:tc>
          <w:tcPr>
            <w:tcW w:w="1350" w:type="dxa"/>
            <w:vAlign w:val="bottom"/>
          </w:tcPr>
          <w:p w14:paraId="75BB5AAB" w14:textId="11D7F60E" w:rsidR="00B009FC" w:rsidRPr="004657EE" w:rsidRDefault="00B009FC" w:rsidP="00B009FC">
            <w:pPr>
              <w:pStyle w:val="TableBody"/>
              <w:jc w:val="center"/>
            </w:pPr>
            <w:r w:rsidRPr="004657EE">
              <w:t>37</w:t>
            </w:r>
          </w:p>
        </w:tc>
      </w:tr>
      <w:tr w:rsidR="00B009FC" w:rsidRPr="004657EE" w14:paraId="30323CF5" w14:textId="2F924357" w:rsidTr="00B009FC">
        <w:trPr>
          <w:trHeight w:val="288"/>
          <w:jc w:val="center"/>
        </w:trPr>
        <w:tc>
          <w:tcPr>
            <w:tcW w:w="1050" w:type="dxa"/>
            <w:shd w:val="clear" w:color="auto" w:fill="auto"/>
            <w:noWrap/>
            <w:vAlign w:val="bottom"/>
            <w:hideMark/>
          </w:tcPr>
          <w:p w14:paraId="60A1B318"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36608745" w14:textId="77777777" w:rsidR="00B009FC" w:rsidRPr="004657EE" w:rsidRDefault="00B009FC" w:rsidP="00B009FC">
            <w:pPr>
              <w:pStyle w:val="TableBody"/>
              <w:jc w:val="center"/>
            </w:pPr>
            <w:r w:rsidRPr="004657EE">
              <w:t>14</w:t>
            </w:r>
          </w:p>
        </w:tc>
        <w:tc>
          <w:tcPr>
            <w:tcW w:w="270" w:type="dxa"/>
            <w:tcBorders>
              <w:top w:val="nil"/>
              <w:bottom w:val="nil"/>
            </w:tcBorders>
          </w:tcPr>
          <w:p w14:paraId="64D2EA57" w14:textId="77777777" w:rsidR="00B009FC" w:rsidRPr="004657EE" w:rsidRDefault="00B009FC" w:rsidP="00B009FC">
            <w:pPr>
              <w:pStyle w:val="TableBody"/>
              <w:jc w:val="center"/>
            </w:pPr>
          </w:p>
        </w:tc>
        <w:tc>
          <w:tcPr>
            <w:tcW w:w="1080" w:type="dxa"/>
            <w:vAlign w:val="bottom"/>
          </w:tcPr>
          <w:p w14:paraId="348B6CD5" w14:textId="25072877" w:rsidR="00B009FC" w:rsidRPr="004657EE" w:rsidRDefault="00B009FC" w:rsidP="00B009FC">
            <w:pPr>
              <w:pStyle w:val="TableBody"/>
              <w:jc w:val="center"/>
            </w:pPr>
            <w:r w:rsidRPr="004657EE">
              <w:t>26</w:t>
            </w:r>
          </w:p>
        </w:tc>
        <w:tc>
          <w:tcPr>
            <w:tcW w:w="1350" w:type="dxa"/>
            <w:vAlign w:val="bottom"/>
          </w:tcPr>
          <w:p w14:paraId="192E25C4" w14:textId="1EA82B9C" w:rsidR="00B009FC" w:rsidRPr="004657EE" w:rsidRDefault="00B009FC" w:rsidP="00B009FC">
            <w:pPr>
              <w:pStyle w:val="TableBody"/>
              <w:jc w:val="center"/>
            </w:pPr>
            <w:r w:rsidRPr="004657EE">
              <w:t>38</w:t>
            </w:r>
          </w:p>
        </w:tc>
      </w:tr>
      <w:tr w:rsidR="00B009FC" w:rsidRPr="004657EE" w14:paraId="745A09F8" w14:textId="1A6B9CC8" w:rsidTr="00B009FC">
        <w:trPr>
          <w:trHeight w:val="288"/>
          <w:jc w:val="center"/>
        </w:trPr>
        <w:tc>
          <w:tcPr>
            <w:tcW w:w="1050" w:type="dxa"/>
            <w:shd w:val="clear" w:color="auto" w:fill="auto"/>
            <w:noWrap/>
            <w:vAlign w:val="bottom"/>
            <w:hideMark/>
          </w:tcPr>
          <w:p w14:paraId="12594325"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0571A881" w14:textId="77777777" w:rsidR="00B009FC" w:rsidRPr="004657EE" w:rsidRDefault="00B009FC" w:rsidP="00B009FC">
            <w:pPr>
              <w:pStyle w:val="TableBody"/>
              <w:jc w:val="center"/>
            </w:pPr>
            <w:r w:rsidRPr="004657EE">
              <w:t>15</w:t>
            </w:r>
          </w:p>
        </w:tc>
        <w:tc>
          <w:tcPr>
            <w:tcW w:w="270" w:type="dxa"/>
            <w:tcBorders>
              <w:top w:val="nil"/>
              <w:bottom w:val="nil"/>
            </w:tcBorders>
          </w:tcPr>
          <w:p w14:paraId="41B87668" w14:textId="77777777" w:rsidR="00B009FC" w:rsidRPr="004657EE" w:rsidRDefault="00B009FC" w:rsidP="00B009FC">
            <w:pPr>
              <w:pStyle w:val="TableBody"/>
              <w:jc w:val="center"/>
            </w:pPr>
          </w:p>
        </w:tc>
        <w:tc>
          <w:tcPr>
            <w:tcW w:w="1080" w:type="dxa"/>
            <w:vAlign w:val="bottom"/>
          </w:tcPr>
          <w:p w14:paraId="6299E0B9" w14:textId="349DB300" w:rsidR="00B009FC" w:rsidRPr="004657EE" w:rsidRDefault="00B009FC" w:rsidP="00B009FC">
            <w:pPr>
              <w:pStyle w:val="TableBody"/>
              <w:jc w:val="center"/>
            </w:pPr>
            <w:r w:rsidRPr="004657EE">
              <w:t>27</w:t>
            </w:r>
          </w:p>
        </w:tc>
        <w:tc>
          <w:tcPr>
            <w:tcW w:w="1350" w:type="dxa"/>
            <w:vAlign w:val="bottom"/>
          </w:tcPr>
          <w:p w14:paraId="2D6A708F" w14:textId="20E8CABD" w:rsidR="00B009FC" w:rsidRPr="004657EE" w:rsidRDefault="00B009FC" w:rsidP="00B009FC">
            <w:pPr>
              <w:pStyle w:val="TableBody"/>
              <w:jc w:val="center"/>
            </w:pPr>
            <w:r w:rsidRPr="004657EE">
              <w:t>38</w:t>
            </w:r>
          </w:p>
        </w:tc>
      </w:tr>
      <w:tr w:rsidR="00B009FC" w:rsidRPr="004657EE" w14:paraId="6C14C3EF" w14:textId="676CF7DC" w:rsidTr="00B009FC">
        <w:trPr>
          <w:trHeight w:val="288"/>
          <w:jc w:val="center"/>
        </w:trPr>
        <w:tc>
          <w:tcPr>
            <w:tcW w:w="1050" w:type="dxa"/>
            <w:shd w:val="clear" w:color="auto" w:fill="auto"/>
            <w:noWrap/>
            <w:vAlign w:val="bottom"/>
            <w:hideMark/>
          </w:tcPr>
          <w:p w14:paraId="3D3D5645"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7523738C" w14:textId="77777777" w:rsidR="00B009FC" w:rsidRPr="004657EE" w:rsidRDefault="00B009FC" w:rsidP="00B009FC">
            <w:pPr>
              <w:pStyle w:val="TableBody"/>
              <w:jc w:val="center"/>
            </w:pPr>
            <w:r w:rsidRPr="004657EE">
              <w:t>16</w:t>
            </w:r>
          </w:p>
        </w:tc>
        <w:tc>
          <w:tcPr>
            <w:tcW w:w="270" w:type="dxa"/>
            <w:tcBorders>
              <w:top w:val="nil"/>
              <w:bottom w:val="nil"/>
            </w:tcBorders>
          </w:tcPr>
          <w:p w14:paraId="7D8CD976" w14:textId="77777777" w:rsidR="00B009FC" w:rsidRPr="004657EE" w:rsidRDefault="00B009FC" w:rsidP="00B009FC">
            <w:pPr>
              <w:pStyle w:val="TableBody"/>
              <w:jc w:val="center"/>
            </w:pPr>
          </w:p>
        </w:tc>
        <w:tc>
          <w:tcPr>
            <w:tcW w:w="1080" w:type="dxa"/>
            <w:vAlign w:val="bottom"/>
          </w:tcPr>
          <w:p w14:paraId="25F6CC34" w14:textId="1DB66FEE" w:rsidR="00B009FC" w:rsidRPr="004657EE" w:rsidRDefault="00B009FC" w:rsidP="00B009FC">
            <w:pPr>
              <w:pStyle w:val="TableBody"/>
              <w:jc w:val="center"/>
            </w:pPr>
            <w:r w:rsidRPr="004657EE">
              <w:t>28</w:t>
            </w:r>
          </w:p>
        </w:tc>
        <w:tc>
          <w:tcPr>
            <w:tcW w:w="1350" w:type="dxa"/>
            <w:vAlign w:val="bottom"/>
          </w:tcPr>
          <w:p w14:paraId="5A6DB1ED" w14:textId="7AF0CAEF" w:rsidR="00B009FC" w:rsidRPr="004657EE" w:rsidRDefault="00B009FC" w:rsidP="00B009FC">
            <w:pPr>
              <w:pStyle w:val="TableBody"/>
              <w:jc w:val="center"/>
            </w:pPr>
            <w:r w:rsidRPr="004657EE">
              <w:t>38</w:t>
            </w:r>
          </w:p>
        </w:tc>
      </w:tr>
      <w:tr w:rsidR="00B009FC" w:rsidRPr="004657EE" w14:paraId="2FD83AEE" w14:textId="3D4FA65E" w:rsidTr="00B009FC">
        <w:trPr>
          <w:trHeight w:val="288"/>
          <w:jc w:val="center"/>
        </w:trPr>
        <w:tc>
          <w:tcPr>
            <w:tcW w:w="1050" w:type="dxa"/>
            <w:shd w:val="clear" w:color="auto" w:fill="auto"/>
            <w:noWrap/>
            <w:vAlign w:val="bottom"/>
            <w:hideMark/>
          </w:tcPr>
          <w:p w14:paraId="73AD8E40"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643712C7" w14:textId="77777777" w:rsidR="00B009FC" w:rsidRPr="004657EE" w:rsidRDefault="00B009FC" w:rsidP="00B009FC">
            <w:pPr>
              <w:pStyle w:val="TableBody"/>
              <w:jc w:val="center"/>
            </w:pPr>
            <w:r w:rsidRPr="004657EE">
              <w:t>17</w:t>
            </w:r>
          </w:p>
        </w:tc>
        <w:tc>
          <w:tcPr>
            <w:tcW w:w="270" w:type="dxa"/>
            <w:tcBorders>
              <w:top w:val="nil"/>
              <w:bottom w:val="nil"/>
            </w:tcBorders>
          </w:tcPr>
          <w:p w14:paraId="76C17D53" w14:textId="77777777" w:rsidR="00B009FC" w:rsidRPr="004657EE" w:rsidRDefault="00B009FC" w:rsidP="00B009FC">
            <w:pPr>
              <w:pStyle w:val="TableBody"/>
              <w:jc w:val="center"/>
            </w:pPr>
          </w:p>
        </w:tc>
        <w:tc>
          <w:tcPr>
            <w:tcW w:w="1080" w:type="dxa"/>
            <w:vAlign w:val="bottom"/>
          </w:tcPr>
          <w:p w14:paraId="35B981C4" w14:textId="02A62BFD" w:rsidR="00B009FC" w:rsidRPr="004657EE" w:rsidRDefault="00B009FC" w:rsidP="00B009FC">
            <w:pPr>
              <w:pStyle w:val="TableBody"/>
              <w:jc w:val="center"/>
            </w:pPr>
            <w:r w:rsidRPr="004657EE">
              <w:t>29</w:t>
            </w:r>
          </w:p>
        </w:tc>
        <w:tc>
          <w:tcPr>
            <w:tcW w:w="1350" w:type="dxa"/>
            <w:vAlign w:val="bottom"/>
          </w:tcPr>
          <w:p w14:paraId="33AE32C0" w14:textId="3BF23172" w:rsidR="00B009FC" w:rsidRPr="004657EE" w:rsidRDefault="00B009FC" w:rsidP="00B009FC">
            <w:pPr>
              <w:pStyle w:val="TableBody"/>
              <w:jc w:val="center"/>
            </w:pPr>
            <w:r w:rsidRPr="004657EE">
              <w:t>39</w:t>
            </w:r>
          </w:p>
        </w:tc>
      </w:tr>
      <w:tr w:rsidR="00B009FC" w:rsidRPr="004657EE" w14:paraId="38CAE73E" w14:textId="3CDDB7FB" w:rsidTr="00B009FC">
        <w:trPr>
          <w:trHeight w:val="288"/>
          <w:jc w:val="center"/>
        </w:trPr>
        <w:tc>
          <w:tcPr>
            <w:tcW w:w="1050" w:type="dxa"/>
            <w:shd w:val="clear" w:color="auto" w:fill="auto"/>
            <w:noWrap/>
            <w:vAlign w:val="bottom"/>
            <w:hideMark/>
          </w:tcPr>
          <w:p w14:paraId="15597FC0"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2586A093" w14:textId="77777777" w:rsidR="00B009FC" w:rsidRPr="004657EE" w:rsidRDefault="00B009FC" w:rsidP="00B009FC">
            <w:pPr>
              <w:pStyle w:val="TableBody"/>
              <w:jc w:val="center"/>
            </w:pPr>
            <w:r w:rsidRPr="004657EE">
              <w:t>18</w:t>
            </w:r>
          </w:p>
        </w:tc>
        <w:tc>
          <w:tcPr>
            <w:tcW w:w="270" w:type="dxa"/>
            <w:tcBorders>
              <w:top w:val="nil"/>
              <w:bottom w:val="nil"/>
            </w:tcBorders>
          </w:tcPr>
          <w:p w14:paraId="1320F5E9" w14:textId="77777777" w:rsidR="00B009FC" w:rsidRPr="004657EE" w:rsidRDefault="00B009FC" w:rsidP="00B009FC">
            <w:pPr>
              <w:pStyle w:val="TableBody"/>
              <w:jc w:val="center"/>
            </w:pPr>
          </w:p>
        </w:tc>
        <w:tc>
          <w:tcPr>
            <w:tcW w:w="1080" w:type="dxa"/>
            <w:vAlign w:val="bottom"/>
          </w:tcPr>
          <w:p w14:paraId="1FC9F527" w14:textId="555FC685" w:rsidR="00B009FC" w:rsidRPr="004657EE" w:rsidRDefault="00B009FC" w:rsidP="00B009FC">
            <w:pPr>
              <w:pStyle w:val="TableBody"/>
              <w:jc w:val="center"/>
            </w:pPr>
            <w:r w:rsidRPr="004657EE">
              <w:t>30</w:t>
            </w:r>
          </w:p>
        </w:tc>
        <w:tc>
          <w:tcPr>
            <w:tcW w:w="1350" w:type="dxa"/>
            <w:vAlign w:val="bottom"/>
          </w:tcPr>
          <w:p w14:paraId="20E7F5EC" w14:textId="564FC092" w:rsidR="00B009FC" w:rsidRPr="004657EE" w:rsidRDefault="00B009FC" w:rsidP="00B009FC">
            <w:pPr>
              <w:pStyle w:val="TableBody"/>
              <w:jc w:val="center"/>
            </w:pPr>
            <w:r w:rsidRPr="004657EE">
              <w:t>39</w:t>
            </w:r>
          </w:p>
        </w:tc>
      </w:tr>
      <w:tr w:rsidR="00B009FC" w:rsidRPr="004657EE" w14:paraId="00C5FB75" w14:textId="7DD21B20" w:rsidTr="00B009FC">
        <w:trPr>
          <w:trHeight w:val="288"/>
          <w:jc w:val="center"/>
        </w:trPr>
        <w:tc>
          <w:tcPr>
            <w:tcW w:w="1050" w:type="dxa"/>
            <w:shd w:val="clear" w:color="auto" w:fill="auto"/>
            <w:noWrap/>
            <w:vAlign w:val="bottom"/>
            <w:hideMark/>
          </w:tcPr>
          <w:p w14:paraId="5B160612"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76F3C47E" w14:textId="77777777" w:rsidR="00B009FC" w:rsidRPr="004657EE" w:rsidRDefault="00B009FC" w:rsidP="00B009FC">
            <w:pPr>
              <w:pStyle w:val="TableBody"/>
              <w:jc w:val="center"/>
            </w:pPr>
            <w:r w:rsidRPr="004657EE">
              <w:t>19</w:t>
            </w:r>
          </w:p>
        </w:tc>
        <w:tc>
          <w:tcPr>
            <w:tcW w:w="270" w:type="dxa"/>
            <w:tcBorders>
              <w:top w:val="nil"/>
              <w:bottom w:val="nil"/>
            </w:tcBorders>
          </w:tcPr>
          <w:p w14:paraId="338D232C" w14:textId="77777777" w:rsidR="00B009FC" w:rsidRPr="004657EE" w:rsidRDefault="00B009FC" w:rsidP="00B009FC">
            <w:pPr>
              <w:pStyle w:val="TableBody"/>
              <w:jc w:val="center"/>
            </w:pPr>
          </w:p>
        </w:tc>
        <w:tc>
          <w:tcPr>
            <w:tcW w:w="1080" w:type="dxa"/>
            <w:vAlign w:val="bottom"/>
          </w:tcPr>
          <w:p w14:paraId="0F2C82A1" w14:textId="4C9B7C3A" w:rsidR="00B009FC" w:rsidRPr="004657EE" w:rsidRDefault="00B009FC" w:rsidP="00B009FC">
            <w:pPr>
              <w:pStyle w:val="TableBody"/>
              <w:jc w:val="center"/>
            </w:pPr>
            <w:r w:rsidRPr="004657EE">
              <w:t>31</w:t>
            </w:r>
          </w:p>
        </w:tc>
        <w:tc>
          <w:tcPr>
            <w:tcW w:w="1350" w:type="dxa"/>
            <w:vAlign w:val="bottom"/>
          </w:tcPr>
          <w:p w14:paraId="006783E7" w14:textId="03F99916" w:rsidR="00B009FC" w:rsidRPr="004657EE" w:rsidRDefault="00B009FC" w:rsidP="00B009FC">
            <w:pPr>
              <w:pStyle w:val="TableBody"/>
              <w:jc w:val="center"/>
            </w:pPr>
            <w:r w:rsidRPr="004657EE">
              <w:t>39</w:t>
            </w:r>
          </w:p>
        </w:tc>
      </w:tr>
      <w:tr w:rsidR="00B009FC" w:rsidRPr="004657EE" w14:paraId="4F04870F" w14:textId="1E3BF057" w:rsidTr="00B009FC">
        <w:trPr>
          <w:trHeight w:val="288"/>
          <w:jc w:val="center"/>
        </w:trPr>
        <w:tc>
          <w:tcPr>
            <w:tcW w:w="1050" w:type="dxa"/>
            <w:shd w:val="clear" w:color="auto" w:fill="auto"/>
            <w:noWrap/>
            <w:vAlign w:val="bottom"/>
            <w:hideMark/>
          </w:tcPr>
          <w:p w14:paraId="464C5759" w14:textId="77777777" w:rsidR="00B009FC" w:rsidRPr="004657EE" w:rsidRDefault="00B009FC" w:rsidP="00B009FC">
            <w:pPr>
              <w:pStyle w:val="TableBody"/>
              <w:jc w:val="center"/>
            </w:pPr>
            <w:r w:rsidRPr="004657EE">
              <w:t>6</w:t>
            </w:r>
          </w:p>
        </w:tc>
        <w:tc>
          <w:tcPr>
            <w:tcW w:w="1290" w:type="dxa"/>
            <w:shd w:val="clear" w:color="auto" w:fill="auto"/>
            <w:noWrap/>
            <w:vAlign w:val="bottom"/>
            <w:hideMark/>
          </w:tcPr>
          <w:p w14:paraId="79BFD2BD" w14:textId="77777777" w:rsidR="00B009FC" w:rsidRPr="004657EE" w:rsidRDefault="00B009FC" w:rsidP="00B009FC">
            <w:pPr>
              <w:pStyle w:val="TableBody"/>
              <w:jc w:val="center"/>
            </w:pPr>
            <w:r w:rsidRPr="004657EE">
              <w:t>20</w:t>
            </w:r>
          </w:p>
        </w:tc>
        <w:tc>
          <w:tcPr>
            <w:tcW w:w="270" w:type="dxa"/>
            <w:tcBorders>
              <w:top w:val="nil"/>
              <w:bottom w:val="nil"/>
            </w:tcBorders>
          </w:tcPr>
          <w:p w14:paraId="1E2872A3" w14:textId="77777777" w:rsidR="00B009FC" w:rsidRPr="004657EE" w:rsidRDefault="00B009FC" w:rsidP="00B009FC">
            <w:pPr>
              <w:pStyle w:val="TableBody"/>
              <w:jc w:val="center"/>
            </w:pPr>
          </w:p>
        </w:tc>
        <w:tc>
          <w:tcPr>
            <w:tcW w:w="1080" w:type="dxa"/>
            <w:vAlign w:val="bottom"/>
          </w:tcPr>
          <w:p w14:paraId="34577CD1" w14:textId="19729692" w:rsidR="00B009FC" w:rsidRPr="004657EE" w:rsidRDefault="00B009FC" w:rsidP="00B009FC">
            <w:pPr>
              <w:pStyle w:val="TableBody"/>
              <w:jc w:val="center"/>
            </w:pPr>
            <w:r w:rsidRPr="004657EE">
              <w:t>32</w:t>
            </w:r>
          </w:p>
        </w:tc>
        <w:tc>
          <w:tcPr>
            <w:tcW w:w="1350" w:type="dxa"/>
            <w:vAlign w:val="bottom"/>
          </w:tcPr>
          <w:p w14:paraId="7C7FEEA7" w14:textId="5C070DA5" w:rsidR="00B009FC" w:rsidRPr="004657EE" w:rsidRDefault="00B009FC" w:rsidP="00B009FC">
            <w:pPr>
              <w:pStyle w:val="TableBody"/>
              <w:jc w:val="center"/>
            </w:pPr>
            <w:r w:rsidRPr="004657EE">
              <w:t>39</w:t>
            </w:r>
          </w:p>
        </w:tc>
      </w:tr>
      <w:tr w:rsidR="00B009FC" w:rsidRPr="004657EE" w14:paraId="6238C90F" w14:textId="52F37BF8" w:rsidTr="00B009FC">
        <w:trPr>
          <w:trHeight w:val="288"/>
          <w:jc w:val="center"/>
        </w:trPr>
        <w:tc>
          <w:tcPr>
            <w:tcW w:w="1050" w:type="dxa"/>
            <w:shd w:val="clear" w:color="auto" w:fill="auto"/>
            <w:noWrap/>
            <w:vAlign w:val="bottom"/>
            <w:hideMark/>
          </w:tcPr>
          <w:p w14:paraId="7BBE2196"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481B8136" w14:textId="77777777" w:rsidR="00B009FC" w:rsidRPr="004657EE" w:rsidRDefault="00B009FC" w:rsidP="00B009FC">
            <w:pPr>
              <w:pStyle w:val="TableBody"/>
              <w:jc w:val="center"/>
            </w:pPr>
            <w:r w:rsidRPr="004657EE">
              <w:t>21</w:t>
            </w:r>
          </w:p>
        </w:tc>
        <w:tc>
          <w:tcPr>
            <w:tcW w:w="270" w:type="dxa"/>
            <w:tcBorders>
              <w:top w:val="nil"/>
              <w:bottom w:val="nil"/>
            </w:tcBorders>
          </w:tcPr>
          <w:p w14:paraId="13D0A8A5" w14:textId="77777777" w:rsidR="00B009FC" w:rsidRPr="004657EE" w:rsidRDefault="00B009FC" w:rsidP="00B009FC">
            <w:pPr>
              <w:pStyle w:val="TableBody"/>
              <w:jc w:val="center"/>
            </w:pPr>
          </w:p>
        </w:tc>
        <w:tc>
          <w:tcPr>
            <w:tcW w:w="1080" w:type="dxa"/>
            <w:vAlign w:val="bottom"/>
          </w:tcPr>
          <w:p w14:paraId="38421500" w14:textId="15A34C09" w:rsidR="00B009FC" w:rsidRPr="004657EE" w:rsidRDefault="00B009FC" w:rsidP="00B009FC">
            <w:pPr>
              <w:pStyle w:val="TableBody"/>
              <w:jc w:val="center"/>
            </w:pPr>
            <w:r w:rsidRPr="004657EE">
              <w:t>33</w:t>
            </w:r>
          </w:p>
        </w:tc>
        <w:tc>
          <w:tcPr>
            <w:tcW w:w="1350" w:type="dxa"/>
            <w:vAlign w:val="bottom"/>
          </w:tcPr>
          <w:p w14:paraId="61E7CA4F" w14:textId="34A8A79F" w:rsidR="00B009FC" w:rsidRPr="004657EE" w:rsidRDefault="00B009FC" w:rsidP="00B009FC">
            <w:pPr>
              <w:pStyle w:val="TableBody"/>
              <w:jc w:val="center"/>
            </w:pPr>
            <w:r w:rsidRPr="004657EE">
              <w:t>40</w:t>
            </w:r>
          </w:p>
        </w:tc>
      </w:tr>
      <w:tr w:rsidR="00B009FC" w:rsidRPr="004657EE" w14:paraId="5B8D1D49" w14:textId="14492426" w:rsidTr="00B009FC">
        <w:trPr>
          <w:trHeight w:val="288"/>
          <w:jc w:val="center"/>
        </w:trPr>
        <w:tc>
          <w:tcPr>
            <w:tcW w:w="1050" w:type="dxa"/>
            <w:shd w:val="clear" w:color="auto" w:fill="auto"/>
            <w:noWrap/>
            <w:vAlign w:val="bottom"/>
            <w:hideMark/>
          </w:tcPr>
          <w:p w14:paraId="3786397D"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33583F9C" w14:textId="77777777" w:rsidR="00B009FC" w:rsidRPr="004657EE" w:rsidRDefault="00B009FC" w:rsidP="00B009FC">
            <w:pPr>
              <w:pStyle w:val="TableBody"/>
              <w:jc w:val="center"/>
            </w:pPr>
            <w:r w:rsidRPr="004657EE">
              <w:t>22</w:t>
            </w:r>
          </w:p>
        </w:tc>
        <w:tc>
          <w:tcPr>
            <w:tcW w:w="270" w:type="dxa"/>
            <w:tcBorders>
              <w:top w:val="nil"/>
              <w:bottom w:val="nil"/>
            </w:tcBorders>
          </w:tcPr>
          <w:p w14:paraId="7C293439" w14:textId="77777777" w:rsidR="00B009FC" w:rsidRPr="004657EE" w:rsidRDefault="00B009FC" w:rsidP="00B009FC">
            <w:pPr>
              <w:pStyle w:val="TableBody"/>
              <w:jc w:val="center"/>
            </w:pPr>
          </w:p>
        </w:tc>
        <w:tc>
          <w:tcPr>
            <w:tcW w:w="1080" w:type="dxa"/>
            <w:vAlign w:val="bottom"/>
          </w:tcPr>
          <w:p w14:paraId="784BD1F2" w14:textId="45335B00" w:rsidR="00B009FC" w:rsidRPr="004657EE" w:rsidRDefault="00B009FC" w:rsidP="00B009FC">
            <w:pPr>
              <w:pStyle w:val="TableBody"/>
              <w:jc w:val="center"/>
            </w:pPr>
            <w:r w:rsidRPr="004657EE">
              <w:t>34</w:t>
            </w:r>
          </w:p>
        </w:tc>
        <w:tc>
          <w:tcPr>
            <w:tcW w:w="1350" w:type="dxa"/>
            <w:vAlign w:val="bottom"/>
          </w:tcPr>
          <w:p w14:paraId="54FC8B6A" w14:textId="5E36D97A" w:rsidR="00B009FC" w:rsidRPr="004657EE" w:rsidRDefault="00B009FC" w:rsidP="00B009FC">
            <w:pPr>
              <w:pStyle w:val="TableBody"/>
              <w:jc w:val="center"/>
            </w:pPr>
            <w:r w:rsidRPr="004657EE">
              <w:t>40</w:t>
            </w:r>
          </w:p>
        </w:tc>
      </w:tr>
      <w:tr w:rsidR="00B009FC" w:rsidRPr="004657EE" w14:paraId="4C11368D" w14:textId="777D3187" w:rsidTr="00B009FC">
        <w:trPr>
          <w:trHeight w:val="288"/>
          <w:jc w:val="center"/>
        </w:trPr>
        <w:tc>
          <w:tcPr>
            <w:tcW w:w="1050" w:type="dxa"/>
            <w:shd w:val="clear" w:color="auto" w:fill="auto"/>
            <w:noWrap/>
            <w:vAlign w:val="bottom"/>
            <w:hideMark/>
          </w:tcPr>
          <w:p w14:paraId="4FA95CA6" w14:textId="77777777" w:rsidR="00B009FC" w:rsidRPr="004657EE" w:rsidRDefault="00B009FC" w:rsidP="00B009FC">
            <w:pPr>
              <w:pStyle w:val="TableBody"/>
              <w:jc w:val="center"/>
            </w:pPr>
            <w:r w:rsidRPr="004657EE">
              <w:t>8</w:t>
            </w:r>
          </w:p>
        </w:tc>
        <w:tc>
          <w:tcPr>
            <w:tcW w:w="1290" w:type="dxa"/>
            <w:shd w:val="clear" w:color="auto" w:fill="auto"/>
            <w:noWrap/>
            <w:vAlign w:val="bottom"/>
            <w:hideMark/>
          </w:tcPr>
          <w:p w14:paraId="2F54320F" w14:textId="77777777" w:rsidR="00B009FC" w:rsidRPr="004657EE" w:rsidRDefault="00B009FC" w:rsidP="00B009FC">
            <w:pPr>
              <w:pStyle w:val="TableBody"/>
              <w:jc w:val="center"/>
            </w:pPr>
            <w:r w:rsidRPr="004657EE">
              <w:t>23</w:t>
            </w:r>
          </w:p>
        </w:tc>
        <w:tc>
          <w:tcPr>
            <w:tcW w:w="270" w:type="dxa"/>
            <w:tcBorders>
              <w:top w:val="nil"/>
              <w:bottom w:val="nil"/>
            </w:tcBorders>
          </w:tcPr>
          <w:p w14:paraId="5A255C68" w14:textId="77777777" w:rsidR="00B009FC" w:rsidRPr="004657EE" w:rsidRDefault="00B009FC" w:rsidP="00B009FC">
            <w:pPr>
              <w:pStyle w:val="TableBody"/>
              <w:jc w:val="center"/>
            </w:pPr>
          </w:p>
        </w:tc>
        <w:tc>
          <w:tcPr>
            <w:tcW w:w="1080" w:type="dxa"/>
            <w:vAlign w:val="bottom"/>
          </w:tcPr>
          <w:p w14:paraId="26E06949" w14:textId="79420C49" w:rsidR="00B009FC" w:rsidRPr="004657EE" w:rsidRDefault="00B009FC" w:rsidP="00B009FC">
            <w:pPr>
              <w:pStyle w:val="TableBody"/>
              <w:jc w:val="center"/>
            </w:pPr>
            <w:r w:rsidRPr="004657EE">
              <w:t>35</w:t>
            </w:r>
          </w:p>
        </w:tc>
        <w:tc>
          <w:tcPr>
            <w:tcW w:w="1350" w:type="dxa"/>
            <w:vAlign w:val="bottom"/>
          </w:tcPr>
          <w:p w14:paraId="18E207F3" w14:textId="75DE4D18" w:rsidR="00B009FC" w:rsidRPr="004657EE" w:rsidRDefault="00B009FC" w:rsidP="00B009FC">
            <w:pPr>
              <w:pStyle w:val="TableBody"/>
              <w:jc w:val="center"/>
            </w:pPr>
            <w:r w:rsidRPr="004657EE">
              <w:t>40</w:t>
            </w:r>
          </w:p>
        </w:tc>
      </w:tr>
      <w:tr w:rsidR="00B009FC" w:rsidRPr="004657EE" w14:paraId="0C661994" w14:textId="3257AB27" w:rsidTr="00B009FC">
        <w:trPr>
          <w:trHeight w:val="288"/>
          <w:jc w:val="center"/>
        </w:trPr>
        <w:tc>
          <w:tcPr>
            <w:tcW w:w="1050" w:type="dxa"/>
            <w:shd w:val="clear" w:color="auto" w:fill="auto"/>
            <w:noWrap/>
            <w:vAlign w:val="bottom"/>
            <w:hideMark/>
          </w:tcPr>
          <w:p w14:paraId="4B66958A"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3983B290" w14:textId="77777777" w:rsidR="00B009FC" w:rsidRPr="004657EE" w:rsidRDefault="00B009FC" w:rsidP="00B009FC">
            <w:pPr>
              <w:pStyle w:val="TableBody"/>
              <w:jc w:val="center"/>
            </w:pPr>
            <w:r w:rsidRPr="004657EE">
              <w:t>24</w:t>
            </w:r>
          </w:p>
        </w:tc>
        <w:tc>
          <w:tcPr>
            <w:tcW w:w="270" w:type="dxa"/>
            <w:tcBorders>
              <w:top w:val="nil"/>
              <w:bottom w:val="nil"/>
            </w:tcBorders>
          </w:tcPr>
          <w:p w14:paraId="2CAD1A83" w14:textId="77777777" w:rsidR="00B009FC" w:rsidRPr="004657EE" w:rsidRDefault="00B009FC" w:rsidP="00B009FC">
            <w:pPr>
              <w:pStyle w:val="TableBody"/>
              <w:jc w:val="center"/>
            </w:pPr>
          </w:p>
        </w:tc>
        <w:tc>
          <w:tcPr>
            <w:tcW w:w="1080" w:type="dxa"/>
            <w:vAlign w:val="bottom"/>
          </w:tcPr>
          <w:p w14:paraId="0483D8D5" w14:textId="6C40863B" w:rsidR="00B009FC" w:rsidRPr="004657EE" w:rsidRDefault="00B009FC" w:rsidP="00B009FC">
            <w:pPr>
              <w:pStyle w:val="TableBody"/>
              <w:jc w:val="center"/>
            </w:pPr>
            <w:r w:rsidRPr="004657EE">
              <w:t>36</w:t>
            </w:r>
          </w:p>
        </w:tc>
        <w:tc>
          <w:tcPr>
            <w:tcW w:w="1350" w:type="dxa"/>
            <w:vAlign w:val="bottom"/>
          </w:tcPr>
          <w:p w14:paraId="684DC1A5" w14:textId="026A70A9" w:rsidR="00B009FC" w:rsidRPr="004657EE" w:rsidRDefault="00B009FC" w:rsidP="00B009FC">
            <w:pPr>
              <w:pStyle w:val="TableBody"/>
              <w:jc w:val="center"/>
            </w:pPr>
            <w:r w:rsidRPr="004657EE">
              <w:t>40</w:t>
            </w:r>
          </w:p>
        </w:tc>
      </w:tr>
      <w:tr w:rsidR="00B009FC" w:rsidRPr="004657EE" w14:paraId="51D92037" w14:textId="0A0AC5EA" w:rsidTr="00B009FC">
        <w:trPr>
          <w:trHeight w:val="288"/>
          <w:jc w:val="center"/>
        </w:trPr>
        <w:tc>
          <w:tcPr>
            <w:tcW w:w="1050" w:type="dxa"/>
            <w:shd w:val="clear" w:color="auto" w:fill="auto"/>
            <w:noWrap/>
            <w:vAlign w:val="bottom"/>
            <w:hideMark/>
          </w:tcPr>
          <w:p w14:paraId="43EFFF62"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69252A6A" w14:textId="77777777" w:rsidR="00B009FC" w:rsidRPr="004657EE" w:rsidRDefault="00B009FC" w:rsidP="00B009FC">
            <w:pPr>
              <w:pStyle w:val="TableBody"/>
              <w:jc w:val="center"/>
            </w:pPr>
            <w:r w:rsidRPr="004657EE">
              <w:t>25</w:t>
            </w:r>
          </w:p>
        </w:tc>
        <w:tc>
          <w:tcPr>
            <w:tcW w:w="270" w:type="dxa"/>
            <w:tcBorders>
              <w:top w:val="nil"/>
              <w:bottom w:val="nil"/>
            </w:tcBorders>
          </w:tcPr>
          <w:p w14:paraId="0E7E042E" w14:textId="77777777" w:rsidR="00B009FC" w:rsidRPr="004657EE" w:rsidRDefault="00B009FC" w:rsidP="00B009FC">
            <w:pPr>
              <w:pStyle w:val="TableBody"/>
              <w:jc w:val="center"/>
            </w:pPr>
          </w:p>
        </w:tc>
        <w:tc>
          <w:tcPr>
            <w:tcW w:w="1080" w:type="dxa"/>
            <w:vAlign w:val="bottom"/>
          </w:tcPr>
          <w:p w14:paraId="2346C792" w14:textId="4870B42C" w:rsidR="00B009FC" w:rsidRPr="004657EE" w:rsidRDefault="00B009FC" w:rsidP="00B009FC">
            <w:pPr>
              <w:pStyle w:val="TableBody"/>
              <w:jc w:val="center"/>
            </w:pPr>
            <w:r w:rsidRPr="004657EE">
              <w:t>37</w:t>
            </w:r>
          </w:p>
        </w:tc>
        <w:tc>
          <w:tcPr>
            <w:tcW w:w="1350" w:type="dxa"/>
            <w:vAlign w:val="bottom"/>
          </w:tcPr>
          <w:p w14:paraId="5A5755DB" w14:textId="26BCDF58" w:rsidR="00B009FC" w:rsidRPr="004657EE" w:rsidRDefault="00B009FC" w:rsidP="00B009FC">
            <w:pPr>
              <w:pStyle w:val="TableBody"/>
              <w:jc w:val="center"/>
            </w:pPr>
            <w:r w:rsidRPr="004657EE">
              <w:t>40</w:t>
            </w:r>
          </w:p>
        </w:tc>
      </w:tr>
      <w:tr w:rsidR="00B009FC" w:rsidRPr="004657EE" w14:paraId="183856FE" w14:textId="6385A712" w:rsidTr="00B009FC">
        <w:trPr>
          <w:trHeight w:val="288"/>
          <w:jc w:val="center"/>
        </w:trPr>
        <w:tc>
          <w:tcPr>
            <w:tcW w:w="1050" w:type="dxa"/>
            <w:shd w:val="clear" w:color="auto" w:fill="auto"/>
            <w:noWrap/>
            <w:vAlign w:val="bottom"/>
            <w:hideMark/>
          </w:tcPr>
          <w:p w14:paraId="11B5B38D" w14:textId="77777777" w:rsidR="00B009FC" w:rsidRPr="004657EE" w:rsidRDefault="00B009FC" w:rsidP="00B009FC">
            <w:pPr>
              <w:pStyle w:val="TableBody"/>
              <w:jc w:val="center"/>
            </w:pPr>
            <w:r w:rsidRPr="004657EE">
              <w:t>10</w:t>
            </w:r>
          </w:p>
        </w:tc>
        <w:tc>
          <w:tcPr>
            <w:tcW w:w="1290" w:type="dxa"/>
            <w:shd w:val="clear" w:color="auto" w:fill="auto"/>
            <w:noWrap/>
            <w:vAlign w:val="bottom"/>
            <w:hideMark/>
          </w:tcPr>
          <w:p w14:paraId="02B5EC56" w14:textId="77777777" w:rsidR="00B009FC" w:rsidRPr="004657EE" w:rsidRDefault="00B009FC" w:rsidP="00B009FC">
            <w:pPr>
              <w:pStyle w:val="TableBody"/>
              <w:jc w:val="center"/>
            </w:pPr>
            <w:r w:rsidRPr="004657EE">
              <w:t>26</w:t>
            </w:r>
          </w:p>
        </w:tc>
        <w:tc>
          <w:tcPr>
            <w:tcW w:w="270" w:type="dxa"/>
            <w:tcBorders>
              <w:top w:val="nil"/>
              <w:bottom w:val="nil"/>
            </w:tcBorders>
          </w:tcPr>
          <w:p w14:paraId="3F59C29A" w14:textId="77777777" w:rsidR="00B009FC" w:rsidRPr="004657EE" w:rsidRDefault="00B009FC" w:rsidP="00B009FC">
            <w:pPr>
              <w:pStyle w:val="TableBody"/>
              <w:jc w:val="center"/>
            </w:pPr>
          </w:p>
        </w:tc>
        <w:tc>
          <w:tcPr>
            <w:tcW w:w="1080" w:type="dxa"/>
            <w:vAlign w:val="bottom"/>
          </w:tcPr>
          <w:p w14:paraId="06986BF2" w14:textId="36D0F7E7" w:rsidR="00B009FC" w:rsidRPr="004657EE" w:rsidRDefault="00B009FC" w:rsidP="00B009FC">
            <w:pPr>
              <w:pStyle w:val="TableBody"/>
              <w:jc w:val="center"/>
            </w:pPr>
            <w:r w:rsidRPr="004657EE">
              <w:t>38</w:t>
            </w:r>
          </w:p>
        </w:tc>
        <w:tc>
          <w:tcPr>
            <w:tcW w:w="1350" w:type="dxa"/>
            <w:vAlign w:val="bottom"/>
          </w:tcPr>
          <w:p w14:paraId="196748B0" w14:textId="09C336F5" w:rsidR="00B009FC" w:rsidRPr="004657EE" w:rsidRDefault="00B009FC" w:rsidP="00B009FC">
            <w:pPr>
              <w:pStyle w:val="TableBody"/>
              <w:jc w:val="center"/>
            </w:pPr>
            <w:r w:rsidRPr="004657EE">
              <w:t>40</w:t>
            </w:r>
          </w:p>
        </w:tc>
      </w:tr>
      <w:tr w:rsidR="00B009FC" w:rsidRPr="004657EE" w14:paraId="5CFEED0C" w14:textId="2A5C580A" w:rsidTr="00B009FC">
        <w:trPr>
          <w:trHeight w:val="288"/>
          <w:jc w:val="center"/>
        </w:trPr>
        <w:tc>
          <w:tcPr>
            <w:tcW w:w="1050" w:type="dxa"/>
            <w:shd w:val="clear" w:color="auto" w:fill="auto"/>
            <w:noWrap/>
            <w:vAlign w:val="bottom"/>
            <w:hideMark/>
          </w:tcPr>
          <w:p w14:paraId="446E0725" w14:textId="77777777" w:rsidR="00B009FC" w:rsidRPr="004657EE" w:rsidRDefault="00B009FC" w:rsidP="00B009FC">
            <w:pPr>
              <w:pStyle w:val="TableBody"/>
              <w:jc w:val="center"/>
            </w:pPr>
            <w:r w:rsidRPr="004657EE">
              <w:t>11</w:t>
            </w:r>
          </w:p>
        </w:tc>
        <w:tc>
          <w:tcPr>
            <w:tcW w:w="1290" w:type="dxa"/>
            <w:shd w:val="clear" w:color="auto" w:fill="auto"/>
            <w:noWrap/>
            <w:vAlign w:val="bottom"/>
            <w:hideMark/>
          </w:tcPr>
          <w:p w14:paraId="4C15021D" w14:textId="77777777" w:rsidR="00B009FC" w:rsidRPr="004657EE" w:rsidRDefault="00B009FC" w:rsidP="00B009FC">
            <w:pPr>
              <w:pStyle w:val="TableBody"/>
              <w:jc w:val="center"/>
            </w:pPr>
            <w:r w:rsidRPr="004657EE">
              <w:t>27</w:t>
            </w:r>
          </w:p>
        </w:tc>
        <w:tc>
          <w:tcPr>
            <w:tcW w:w="270" w:type="dxa"/>
            <w:tcBorders>
              <w:top w:val="nil"/>
              <w:bottom w:val="nil"/>
            </w:tcBorders>
          </w:tcPr>
          <w:p w14:paraId="0B758311" w14:textId="77777777" w:rsidR="00B009FC" w:rsidRPr="004657EE" w:rsidRDefault="00B009FC" w:rsidP="00B009FC">
            <w:pPr>
              <w:pStyle w:val="TableBody"/>
              <w:jc w:val="center"/>
            </w:pPr>
          </w:p>
        </w:tc>
        <w:tc>
          <w:tcPr>
            <w:tcW w:w="1080" w:type="dxa"/>
            <w:vAlign w:val="bottom"/>
          </w:tcPr>
          <w:p w14:paraId="4AFE0335" w14:textId="212006E9" w:rsidR="00B009FC" w:rsidRPr="004657EE" w:rsidRDefault="00B009FC" w:rsidP="00B009FC">
            <w:pPr>
              <w:pStyle w:val="TableBody"/>
              <w:jc w:val="center"/>
            </w:pPr>
            <w:r w:rsidRPr="004657EE">
              <w:t>39</w:t>
            </w:r>
          </w:p>
        </w:tc>
        <w:tc>
          <w:tcPr>
            <w:tcW w:w="1350" w:type="dxa"/>
            <w:vAlign w:val="bottom"/>
          </w:tcPr>
          <w:p w14:paraId="33AA31C7" w14:textId="64B5CB12" w:rsidR="00B009FC" w:rsidRPr="004657EE" w:rsidRDefault="00B009FC" w:rsidP="00B009FC">
            <w:pPr>
              <w:pStyle w:val="TableBody"/>
              <w:jc w:val="center"/>
            </w:pPr>
            <w:r w:rsidRPr="004657EE">
              <w:t>40</w:t>
            </w:r>
          </w:p>
        </w:tc>
      </w:tr>
      <w:tr w:rsidR="00B009FC" w:rsidRPr="004657EE" w14:paraId="40A1AB4D" w14:textId="23447756" w:rsidTr="00B009FC">
        <w:trPr>
          <w:trHeight w:val="288"/>
          <w:jc w:val="center"/>
        </w:trPr>
        <w:tc>
          <w:tcPr>
            <w:tcW w:w="1050" w:type="dxa"/>
            <w:shd w:val="clear" w:color="auto" w:fill="auto"/>
            <w:noWrap/>
            <w:vAlign w:val="bottom"/>
            <w:hideMark/>
          </w:tcPr>
          <w:p w14:paraId="3AD8CF62" w14:textId="77777777" w:rsidR="00B009FC" w:rsidRPr="004657EE" w:rsidRDefault="00B009FC" w:rsidP="00B009FC">
            <w:pPr>
              <w:pStyle w:val="TableBody"/>
              <w:jc w:val="center"/>
            </w:pPr>
            <w:r w:rsidRPr="004657EE">
              <w:t>12</w:t>
            </w:r>
          </w:p>
        </w:tc>
        <w:tc>
          <w:tcPr>
            <w:tcW w:w="1290" w:type="dxa"/>
            <w:shd w:val="clear" w:color="auto" w:fill="auto"/>
            <w:noWrap/>
            <w:vAlign w:val="bottom"/>
            <w:hideMark/>
          </w:tcPr>
          <w:p w14:paraId="2A98BD44" w14:textId="77777777" w:rsidR="00B009FC" w:rsidRPr="004657EE" w:rsidRDefault="00B009FC" w:rsidP="00B009FC">
            <w:pPr>
              <w:pStyle w:val="TableBody"/>
              <w:jc w:val="center"/>
            </w:pPr>
            <w:r w:rsidRPr="004657EE">
              <w:t>28</w:t>
            </w:r>
          </w:p>
        </w:tc>
        <w:tc>
          <w:tcPr>
            <w:tcW w:w="270" w:type="dxa"/>
            <w:tcBorders>
              <w:top w:val="nil"/>
              <w:bottom w:val="nil"/>
            </w:tcBorders>
          </w:tcPr>
          <w:p w14:paraId="31AB4ED7" w14:textId="77777777" w:rsidR="00B009FC" w:rsidRPr="004657EE" w:rsidRDefault="00B009FC" w:rsidP="00B009FC">
            <w:pPr>
              <w:pStyle w:val="TableBody"/>
              <w:jc w:val="center"/>
            </w:pPr>
          </w:p>
        </w:tc>
        <w:tc>
          <w:tcPr>
            <w:tcW w:w="1080" w:type="dxa"/>
            <w:vAlign w:val="bottom"/>
          </w:tcPr>
          <w:p w14:paraId="2C95D958" w14:textId="2D3C54BF" w:rsidR="00B009FC" w:rsidRPr="004657EE" w:rsidRDefault="00B009FC" w:rsidP="00B009FC">
            <w:pPr>
              <w:pStyle w:val="TableBody"/>
              <w:jc w:val="center"/>
            </w:pPr>
            <w:r w:rsidRPr="004657EE">
              <w:t>40</w:t>
            </w:r>
          </w:p>
        </w:tc>
        <w:tc>
          <w:tcPr>
            <w:tcW w:w="1350" w:type="dxa"/>
            <w:vAlign w:val="bottom"/>
          </w:tcPr>
          <w:p w14:paraId="14A2E221" w14:textId="7E8BE9BE" w:rsidR="00B009FC" w:rsidRPr="004657EE" w:rsidRDefault="00B009FC" w:rsidP="00B009FC">
            <w:pPr>
              <w:pStyle w:val="TableBody"/>
              <w:jc w:val="center"/>
            </w:pPr>
            <w:r w:rsidRPr="004657EE">
              <w:t>40</w:t>
            </w:r>
          </w:p>
        </w:tc>
      </w:tr>
    </w:tbl>
    <w:p w14:paraId="202596D4" w14:textId="6B543B1C" w:rsidR="00B41637" w:rsidRDefault="00B41637" w:rsidP="00C6281D">
      <w:pPr>
        <w:pStyle w:val="H2bodytext"/>
      </w:pPr>
      <w:r>
        <w:lastRenderedPageBreak/>
        <w:t>There are several sources of error in this test case. The first is that a different version of MODFLOW</w:t>
      </w:r>
      <w:r w:rsidR="009711EA">
        <w:t xml:space="preserve"> was used to calculate the underlying flow model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00976831">
        <w:t>.</w:t>
      </w:r>
    </w:p>
    <w:p w14:paraId="3A01194D" w14:textId="320DE432" w:rsidR="0072186D" w:rsidRDefault="00B41637" w:rsidP="00F01FBC">
      <w:pPr>
        <w:pStyle w:val="H2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72186D">
      <w:pPr>
        <w:pStyle w:val="H2bodytext"/>
        <w:numPr>
          <w:ilvl w:val="0"/>
          <w:numId w:val="11"/>
        </w:numPr>
      </w:pPr>
      <w:r>
        <w:t xml:space="preserve">Criterion 1 – the MODPATH simulation </w:t>
      </w:r>
      <w:r w:rsidR="00B41637">
        <w:t>produce</w:t>
      </w:r>
      <w:r>
        <w:t>s</w:t>
      </w:r>
      <w:r w:rsidR="008F4B2C">
        <w:t xml:space="preserve"> straight</w:t>
      </w:r>
      <w:r>
        <w:t xml:space="preserve"> particle tracks that radiate outward</w:t>
      </w:r>
    </w:p>
    <w:p w14:paraId="0C302FF2" w14:textId="38312B2B" w:rsidR="0072186D" w:rsidRDefault="0072186D" w:rsidP="0072186D">
      <w:pPr>
        <w:pStyle w:val="H2bodytext"/>
        <w:numPr>
          <w:ilvl w:val="0"/>
          <w:numId w:val="11"/>
        </w:numPr>
      </w:pPr>
      <w:r>
        <w:t xml:space="preserve">Criterion 2 – the percent difference between the length of the flow paths digitized from </w:t>
      </w:r>
      <w:r>
        <w:fldChar w:fldCharType="begin"/>
      </w:r>
      <w:r>
        <w:instrText xml:space="preserve"> REF _Ref520126021 \h </w:instrText>
      </w:r>
      <w:r>
        <w:fldChar w:fldCharType="separate"/>
      </w:r>
      <w:r>
        <w:t xml:space="preserve">Figure </w:t>
      </w:r>
      <w:r>
        <w:rPr>
          <w:noProof/>
        </w:rPr>
        <w:t>2</w:t>
      </w:r>
      <w:r>
        <w:noBreakHyphen/>
      </w:r>
      <w:r>
        <w:rPr>
          <w:noProof/>
        </w:rPr>
        <w:t>3</w:t>
      </w:r>
      <w:r>
        <w:fldChar w:fldCharType="end"/>
      </w:r>
      <w:r>
        <w:t xml:space="preserve"> calculated value must not be more than </w:t>
      </w:r>
      <w:r w:rsidR="008A744F">
        <w:t>[</w:t>
      </w:r>
      <w:r>
        <w:t>5%</w:t>
      </w:r>
      <w:r w:rsidR="008A744F">
        <w:t>]</w:t>
      </w:r>
      <w:r>
        <w:t>.</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04D079CF" w:rsidR="008F4B2C" w:rsidRDefault="0072186D" w:rsidP="0072186D">
      <w:pPr>
        <w:pStyle w:val="H2bodytext"/>
      </w:pPr>
      <w:r>
        <w:t>Criterion 1 gives evidence that the particle tracks are moving according to the flow direction. Criterion 2 gives evidence that the particles are moving at a speed that is within an acceptable range of similarity to the particles in Pollock, 1988</w:t>
      </w:r>
      <w:r w:rsidR="00BC61D9">
        <w:t>. Criterion 1 must be determined using professional judgment, by observing the image files in Test_Case_1/output/figures to confirm that the particle tracks radiate outward, as seen in [Figure 2-3]. The pass/fail status of criterion 2 will be printed to “pass_fail.csv” [in the root directory], and detailed results are printed in Test_Case_1/output “tc1_results.csv”.</w:t>
      </w:r>
    </w:p>
    <w:p w14:paraId="0144ADCB" w14:textId="2E336798" w:rsidR="009F7F54" w:rsidRDefault="005A0265" w:rsidP="009F7F54">
      <w:pPr>
        <w:pStyle w:val="H2bodytext"/>
        <w:rPr>
          <w:b/>
          <w:i/>
        </w:rPr>
      </w:pPr>
      <w:r>
        <w:rPr>
          <w:b/>
          <w:i/>
        </w:rPr>
        <w:t>Test Case 2</w:t>
      </w:r>
      <w:r w:rsidR="009F7F54" w:rsidRPr="000F1148">
        <w:rPr>
          <w:b/>
          <w:i/>
        </w:rPr>
        <w:t xml:space="preserve">: </w:t>
      </w:r>
      <w:r>
        <w:rPr>
          <w:b/>
          <w:i/>
        </w:rPr>
        <w:t xml:space="preserve">Particle Tracking in </w:t>
      </w:r>
      <w:r w:rsidR="009F7F54">
        <w:rPr>
          <w:b/>
          <w:i/>
        </w:rPr>
        <w:t>Non-Uniform Flow</w:t>
      </w:r>
      <w:r>
        <w:rPr>
          <w:b/>
          <w:i/>
        </w:rPr>
        <w:t xml:space="preserve"> </w:t>
      </w:r>
    </w:p>
    <w:p w14:paraId="5C7449A6" w14:textId="080756BC" w:rsidR="003F57F1" w:rsidRDefault="003F57F1" w:rsidP="002274D0">
      <w:pPr>
        <w:pStyle w:val="H2bodytext"/>
      </w:pPr>
      <w:r>
        <w:t xml:space="preserve">This test problem for MODPATH involves examining flow under an impermeable wall. This test is repeated from and compared against a test in Pollock, 1988. The second test involves flow under an impermeable </w:t>
      </w:r>
      <w:r>
        <w:rPr>
          <w:rFonts w:cstheme="minorHAnsi"/>
        </w:rPr>
        <w:t>wall (</w:t>
      </w:r>
      <w:r>
        <w:rPr>
          <w:rFonts w:cstheme="minorHAnsi"/>
        </w:rPr>
        <w:fldChar w:fldCharType="begin"/>
      </w:r>
      <w:r>
        <w:rPr>
          <w:rFonts w:cstheme="minorHAnsi"/>
        </w:rPr>
        <w:instrText xml:space="preserve"> REF _Ref520125960 \h </w:instrText>
      </w:r>
      <w:r>
        <w:rPr>
          <w:rFonts w:cstheme="minorHAnsi"/>
        </w:rPr>
      </w:r>
      <w:r>
        <w:rPr>
          <w:rFonts w:cstheme="minorHAnsi"/>
        </w:rPr>
        <w:fldChar w:fldCharType="separate"/>
      </w:r>
      <w:r>
        <w:t xml:space="preserve">Figure </w:t>
      </w:r>
      <w:r>
        <w:rPr>
          <w:noProof/>
        </w:rPr>
        <w:t>2</w:t>
      </w:r>
      <w:r>
        <w:noBreakHyphen/>
      </w:r>
      <w:r>
        <w:rPr>
          <w:noProof/>
        </w:rPr>
        <w:t>4</w:t>
      </w:r>
      <w:r>
        <w:rPr>
          <w:rFonts w:cstheme="minorHAnsi"/>
        </w:rPr>
        <w:fldChar w:fldCharType="end"/>
      </w:r>
      <w:r>
        <w:rPr>
          <w:rFonts w:cstheme="minorHAnsi"/>
        </w:rPr>
        <w:t>)</w:t>
      </w:r>
      <w:r>
        <w:t xml:space="preserve">. To the left of an impermeable retaining wall is a 50-foot thickness of fine sand overlain by 5 feet of water in a reservoir. A seepage face at an elevation of 25 feet above the base of the aquifer is present to the right of the retaining wall. </w:t>
      </w:r>
      <w:r>
        <w:rPr>
          <w:rFonts w:cstheme="minorHAnsi"/>
        </w:rPr>
        <w:fldChar w:fldCharType="begin"/>
      </w:r>
      <w: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w:t>
      </w:r>
      <w:r>
        <w:t>shows the boundary conditions in the finite-difference grid used to simulate constant heads of 55 feet to the left of the wall and 25 feet to the right, and the no-flow cells representing the wall. Particles were released at the base of the reservoir and tracked forward until they reached the see</w:t>
      </w:r>
      <w:r>
        <w:rPr>
          <w:rFonts w:cstheme="minorHAnsi"/>
        </w:rPr>
        <w:t>page face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2</w:t>
      </w:r>
      <w:r>
        <w:noBreakHyphen/>
      </w:r>
      <w:r>
        <w:rPr>
          <w:noProof/>
        </w:rPr>
        <w:t>6</w:t>
      </w:r>
      <w:r>
        <w:rPr>
          <w:rFonts w:cstheme="minorHAnsi"/>
        </w:rPr>
        <w:fldChar w:fldCharType="end"/>
      </w:r>
      <w:r>
        <w:rPr>
          <w:rFonts w:cstheme="minorHAnsi"/>
        </w:rPr>
        <w:t>).</w:t>
      </w:r>
      <w:r w:rsidR="002274D0">
        <w:rPr>
          <w:rFonts w:cstheme="minorHAnsi"/>
        </w:rPr>
        <w:t xml:space="preserve"> The particle tracks in [Figure 2-6] were digitized. This test is based on comparing the digitized particle tracks from [Figure 2-6] against the MODPATH particle tracks created by recreating the model from Pollock, 1988.</w:t>
      </w:r>
    </w:p>
    <w:p w14:paraId="52B848C9" w14:textId="77777777" w:rsidR="003F57F1" w:rsidRDefault="003F57F1" w:rsidP="003F57F1">
      <w:pPr>
        <w:pStyle w:val="Figure"/>
        <w:keepNext/>
      </w:pPr>
      <w:r>
        <w:rPr>
          <w:noProof/>
        </w:rPr>
        <w:lastRenderedPageBreak/>
        <w:drawing>
          <wp:inline distT="0" distB="0" distL="0" distR="0" wp14:anchorId="637FCEDE" wp14:editId="39300113">
            <wp:extent cx="4829175" cy="25812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829175" cy="2581275"/>
                    </a:xfrm>
                    <a:prstGeom prst="rect">
                      <a:avLst/>
                    </a:prstGeom>
                  </pic:spPr>
                </pic:pic>
              </a:graphicData>
            </a:graphic>
          </wp:inline>
        </w:drawing>
      </w:r>
    </w:p>
    <w:p w14:paraId="02CD3073" w14:textId="77777777" w:rsidR="003F57F1" w:rsidRDefault="003F57F1" w:rsidP="003F57F1">
      <w:pPr>
        <w:pStyle w:val="FigureNotes"/>
        <w:jc w:val="center"/>
      </w:pPr>
      <w:r>
        <w:t>Source: Pollock, 1988</w:t>
      </w:r>
    </w:p>
    <w:p w14:paraId="14C84EB2" w14:textId="77777777" w:rsidR="003F57F1" w:rsidRDefault="003F57F1" w:rsidP="003F57F1">
      <w:pPr>
        <w:pStyle w:val="FigureNumberCaption"/>
      </w:pPr>
      <w:bookmarkStart w:id="20" w:name="_Ref520125960"/>
      <w:bookmarkStart w:id="21" w:name="_Toc520215414"/>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20"/>
      <w:r>
        <w:t xml:space="preserve">. </w:t>
      </w:r>
      <w:r w:rsidRPr="001049D3">
        <w:t xml:space="preserve">Test </w:t>
      </w:r>
      <w:r>
        <w:t>C</w:t>
      </w:r>
      <w:r w:rsidRPr="001049D3">
        <w:t xml:space="preserve">ase 2 </w:t>
      </w:r>
      <w:r>
        <w:t>L</w:t>
      </w:r>
      <w:r w:rsidRPr="001049D3">
        <w:t>ayout</w:t>
      </w:r>
      <w:bookmarkEnd w:id="21"/>
    </w:p>
    <w:p w14:paraId="71DEB9DE" w14:textId="77777777" w:rsidR="003F57F1" w:rsidRDefault="003F57F1" w:rsidP="003F57F1">
      <w:pPr>
        <w:pStyle w:val="Figure"/>
        <w:keepNext/>
      </w:pPr>
      <w:r>
        <w:rPr>
          <w:noProof/>
        </w:rPr>
        <w:drawing>
          <wp:inline distT="0" distB="0" distL="0" distR="0" wp14:anchorId="25A14B7F" wp14:editId="37DA1583">
            <wp:extent cx="4638675" cy="25050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638675" cy="2505075"/>
                    </a:xfrm>
                    <a:prstGeom prst="rect">
                      <a:avLst/>
                    </a:prstGeom>
                  </pic:spPr>
                </pic:pic>
              </a:graphicData>
            </a:graphic>
          </wp:inline>
        </w:drawing>
      </w:r>
    </w:p>
    <w:p w14:paraId="088D5CC8" w14:textId="77777777" w:rsidR="003F57F1" w:rsidRDefault="003F57F1" w:rsidP="003F57F1">
      <w:pPr>
        <w:pStyle w:val="FigureNotes"/>
        <w:jc w:val="center"/>
      </w:pPr>
      <w:r>
        <w:t>Source: Pollock, 1988</w:t>
      </w:r>
    </w:p>
    <w:p w14:paraId="322D241F" w14:textId="77777777" w:rsidR="003F57F1" w:rsidRDefault="003F57F1" w:rsidP="003F57F1">
      <w:pPr>
        <w:pStyle w:val="FigureNumberCaption"/>
      </w:pPr>
      <w:bookmarkStart w:id="22" w:name="_Ref520125978"/>
      <w:bookmarkStart w:id="23" w:name="_Ref520206999"/>
      <w:bookmarkStart w:id="24" w:name="_Toc520215415"/>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bookmarkEnd w:id="22"/>
      <w:r>
        <w:t>. Test Case 2 MODFLOW Layout</w:t>
      </w:r>
      <w:bookmarkEnd w:id="23"/>
      <w:bookmarkEnd w:id="24"/>
    </w:p>
    <w:p w14:paraId="08CF8D56" w14:textId="77777777" w:rsidR="003F57F1" w:rsidRDefault="003F57F1" w:rsidP="003F57F1">
      <w:pPr>
        <w:pStyle w:val="Figure"/>
        <w:keepNext/>
      </w:pPr>
      <w:r>
        <w:rPr>
          <w:noProof/>
        </w:rPr>
        <w:lastRenderedPageBreak/>
        <w:drawing>
          <wp:inline distT="0" distB="0" distL="0" distR="0" wp14:anchorId="44781C47" wp14:editId="4EE1B9E4">
            <wp:extent cx="4657725" cy="22383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4657725" cy="2238375"/>
                    </a:xfrm>
                    <a:prstGeom prst="rect">
                      <a:avLst/>
                    </a:prstGeom>
                  </pic:spPr>
                </pic:pic>
              </a:graphicData>
            </a:graphic>
          </wp:inline>
        </w:drawing>
      </w:r>
    </w:p>
    <w:p w14:paraId="1D6DC814" w14:textId="77777777" w:rsidR="003F57F1" w:rsidRDefault="003F57F1" w:rsidP="003F57F1">
      <w:pPr>
        <w:pStyle w:val="FigureNotes"/>
        <w:jc w:val="center"/>
      </w:pPr>
      <w:r>
        <w:t>Source: Pollock, 1988</w:t>
      </w:r>
    </w:p>
    <w:p w14:paraId="17A164B6" w14:textId="77777777" w:rsidR="003F57F1" w:rsidRDefault="003F57F1" w:rsidP="003F57F1">
      <w:pPr>
        <w:pStyle w:val="FigureNumberCaption"/>
      </w:pPr>
      <w:bookmarkStart w:id="25" w:name="_Ref520125993"/>
      <w:bookmarkStart w:id="26" w:name="_Toc520215416"/>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bookmarkEnd w:id="25"/>
      <w:r>
        <w:t xml:space="preserve">. </w:t>
      </w:r>
      <w:r w:rsidRPr="00C505A2">
        <w:t xml:space="preserve">Particle </w:t>
      </w:r>
      <w:r>
        <w:t>L</w:t>
      </w:r>
      <w:r w:rsidRPr="00C505A2">
        <w:t xml:space="preserve">ocation </w:t>
      </w:r>
      <w:r>
        <w:t>O</w:t>
      </w:r>
      <w:r w:rsidRPr="00C505A2">
        <w:t xml:space="preserve">ver </w:t>
      </w:r>
      <w:r>
        <w:t>T</w:t>
      </w:r>
      <w:r w:rsidRPr="00C505A2">
        <w:t xml:space="preserve">ime in </w:t>
      </w:r>
      <w:r>
        <w:t>T</w:t>
      </w:r>
      <w:r w:rsidRPr="00C505A2">
        <w:t xml:space="preserve">est </w:t>
      </w:r>
      <w:r>
        <w:t>C</w:t>
      </w:r>
      <w:r w:rsidRPr="00C505A2">
        <w:t>ase 2</w:t>
      </w:r>
      <w:bookmarkEnd w:id="26"/>
    </w:p>
    <w:p w14:paraId="19C9614A" w14:textId="266EACD9" w:rsidR="00512566" w:rsidRPr="00512566" w:rsidRDefault="00512566" w:rsidP="00512566">
      <w:pPr>
        <w:pStyle w:val="H2bodytext"/>
      </w:pPr>
      <w:r>
        <w:rPr>
          <w:rFonts w:cstheme="minorHAnsi"/>
        </w:rPr>
        <w:t xml:space="preserve">This model has a single layer, with 11 rows and 21 columns, each with a length and width of 5 ft. The thickness of the model is set to a uniform 25 feet. The thickness was not defined in Pollock, 1988, so a thickness of 25 feet was assumed. No-flow cells were assigned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Constant heads of 55 and 25 feet were assigned to the cells representing the reservoir and seepage face, respectively,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Starting heads were also not listed in Pollock, 1998, so it was assumed that the area beneath the reservoir and the impermeable berm had a starting head of 55, and the area beneath the seepage face had a starting head of 25. The particle release locations seen in </w:t>
      </w:r>
      <w:r>
        <w:rPr>
          <w:rFonts w:cstheme="minorHAnsi"/>
        </w:rPr>
        <w:fldChar w:fldCharType="begin"/>
      </w:r>
      <w:r>
        <w:rPr>
          <w:rFonts w:cstheme="minorHAnsi"/>
        </w:rPr>
        <w:instrText xml:space="preserve"> REF _Ref520216059 \h </w:instrText>
      </w:r>
      <w:r>
        <w:rPr>
          <w:rFonts w:cstheme="minorHAnsi"/>
        </w:rPr>
      </w:r>
      <w:r>
        <w:rPr>
          <w:rFonts w:cstheme="minorHAnsi"/>
        </w:rPr>
        <w:fldChar w:fldCharType="separate"/>
      </w:r>
      <w:r>
        <w:t xml:space="preserve">Table </w:t>
      </w:r>
      <w:r>
        <w:rPr>
          <w:noProof/>
        </w:rPr>
        <w:t>2</w:t>
      </w:r>
      <w:r>
        <w:noBreakHyphen/>
      </w:r>
      <w:r>
        <w:rPr>
          <w:noProof/>
        </w:rPr>
        <w:t>5</w:t>
      </w:r>
      <w:r>
        <w:rPr>
          <w:rFonts w:cstheme="minorHAnsi"/>
        </w:rPr>
        <w:fldChar w:fldCharType="end"/>
      </w:r>
      <w:r>
        <w:rPr>
          <w:rFonts w:cstheme="minorHAnsi"/>
        </w:rPr>
        <w:t xml:space="preserve"> were estimated based on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2</w:t>
      </w:r>
      <w:r>
        <w:noBreakHyphen/>
      </w:r>
      <w:r>
        <w:rPr>
          <w:noProof/>
        </w:rPr>
        <w:t>6</w:t>
      </w:r>
      <w:r>
        <w:rPr>
          <w:rFonts w:cstheme="minorHAnsi"/>
        </w:rPr>
        <w:fldChar w:fldCharType="end"/>
      </w:r>
      <w:r>
        <w:rPr>
          <w:rFonts w:cstheme="minorHAnsi"/>
        </w:rPr>
        <w:t>. Particle 1</w:t>
      </w:r>
      <w:r w:rsidR="002274D0">
        <w:rPr>
          <w:rFonts w:cstheme="minorHAnsi"/>
        </w:rPr>
        <w:t xml:space="preserve"> was not modeled</w:t>
      </w:r>
      <w:r>
        <w:rPr>
          <w:rFonts w:cstheme="minorHAnsi"/>
        </w:rPr>
        <w:t xml:space="preserve">. </w:t>
      </w:r>
    </w:p>
    <w:p w14:paraId="550834E1" w14:textId="45A6ADE1" w:rsidR="00B71B75" w:rsidRDefault="00B71B75" w:rsidP="00B71B75">
      <w:pPr>
        <w:pStyle w:val="H2bodytext"/>
      </w:pPr>
      <w:r>
        <w:t xml:space="preserve">The python script which made the MODFLOW and MODPATH inputs and executed the MODFLOW and MODPATH simulations is </w:t>
      </w:r>
      <w:r>
        <w:t>[</w:t>
      </w:r>
      <w:r>
        <w:t>“S0</w:t>
      </w:r>
      <w:r>
        <w:t>1</w:t>
      </w:r>
      <w:r>
        <w:t>_build_pollock_88</w:t>
      </w:r>
      <w:r>
        <w:t>_ex2</w:t>
      </w:r>
      <w:r>
        <w:t>.py”</w:t>
      </w:r>
      <w:r>
        <w:t>]</w:t>
      </w:r>
      <w:r>
        <w:t>.</w:t>
      </w:r>
      <w:r>
        <w:t xml:space="preserve"> </w:t>
      </w:r>
      <w:r>
        <w:t>Starting particle locations were calculated in “Write_starting_locations.py”</w:t>
      </w:r>
      <w:r w:rsidR="00EB5C37">
        <w:t xml:space="preserve">. This script also executed the post-processing [get info on what the post-processed stuff is called and where it </w:t>
      </w:r>
      <w:proofErr w:type="gramStart"/>
      <w:r w:rsidR="00EB5C37">
        <w:t>is, and</w:t>
      </w:r>
      <w:proofErr w:type="gramEnd"/>
      <w:r w:rsidR="00EB5C37">
        <w:t xml:space="preserve"> put it here].</w:t>
      </w:r>
      <w:r w:rsidR="00EB5C37" w:rsidRPr="00EB5C37">
        <w:t xml:space="preserve"> </w:t>
      </w:r>
      <w:r w:rsidR="00EB5C37">
        <w:t xml:space="preserve">The model files are stored in /workspace, and post-processed model results are stored in </w:t>
      </w:r>
      <w:r w:rsidR="00EB5C37">
        <w:t>[</w:t>
      </w:r>
      <w:r w:rsidR="00EB5C37">
        <w:t>/output. Within /output, /figures contains outputs of figures of the model results at 2,500, 5,000, and 7,500 days. The file “tc1_results.csv” contains the information used to determine the pass or fail status of the test.</w:t>
      </w:r>
      <w:r w:rsidR="00EB5C37">
        <w:t>]</w:t>
      </w:r>
    </w:p>
    <w:p w14:paraId="061FF5A2" w14:textId="1E1B7530" w:rsidR="00B71B75" w:rsidRDefault="00B71B75" w:rsidP="00B71B75">
      <w:pPr>
        <w:pStyle w:val="H2bodytext"/>
      </w:pPr>
      <w:r>
        <w:t>S00_pngs_2_tiffs.py converted the image file of [Figure whatever] to a raster so the flow lines could be digitized.</w:t>
      </w:r>
      <w:r>
        <w:t xml:space="preserve"> The image file, Figure_10_flownet.png is saved in Test_Case_2/</w:t>
      </w:r>
      <w:proofErr w:type="spellStart"/>
      <w:r>
        <w:t>gwpath_images</w:t>
      </w:r>
      <w:proofErr w:type="spellEnd"/>
      <w:r>
        <w:t>, and the resulting raster, Figure_10_flownet.tif, is saved in Test_Case_2/</w:t>
      </w:r>
      <w:proofErr w:type="spellStart"/>
      <w:r>
        <w:t>gwpath_rasters</w:t>
      </w:r>
      <w:proofErr w:type="spellEnd"/>
      <w:r>
        <w:t xml:space="preserve">, along with the georeferenced version of that raster, Figure_10_referenced, and a shapefile, </w:t>
      </w:r>
      <w:proofErr w:type="spellStart"/>
      <w:r>
        <w:t>starting_location.shp</w:t>
      </w:r>
      <w:proofErr w:type="spellEnd"/>
      <w:r>
        <w:t>, used in creating the raster.</w:t>
      </w:r>
      <w:r w:rsidR="00EB5C37">
        <w:t xml:space="preserve"> The folder/digitize contains two shapefiles: figure_10_flownet.shp, the shapefile digitized from Figure_10_referenced, and </w:t>
      </w:r>
      <w:proofErr w:type="spellStart"/>
      <w:r w:rsidR="00EB5C37">
        <w:t>endpoints.shp</w:t>
      </w:r>
      <w:proofErr w:type="spellEnd"/>
      <w:r w:rsidR="00EB5C37">
        <w:t>, which contain the approximate ending locations of the particle tracks from figure_10_referenced.</w:t>
      </w:r>
    </w:p>
    <w:p w14:paraId="3DA8CF52" w14:textId="4E612A50" w:rsidR="00B71B75" w:rsidRDefault="00B71B75" w:rsidP="00B71B75">
      <w:pPr>
        <w:pStyle w:val="H2bodytext"/>
      </w:pPr>
    </w:p>
    <w:tbl>
      <w:tblPr>
        <w:tblW w:w="78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060"/>
        <w:gridCol w:w="1100"/>
        <w:gridCol w:w="2610"/>
      </w:tblGrid>
      <w:tr w:rsidR="004F605C" w:rsidRPr="0035657F" w14:paraId="78F86511" w14:textId="77777777" w:rsidTr="004F605C">
        <w:trPr>
          <w:trHeight w:val="288"/>
          <w:tblHeader/>
          <w:jc w:val="right"/>
        </w:trPr>
        <w:tc>
          <w:tcPr>
            <w:tcW w:w="7830" w:type="dxa"/>
            <w:gridSpan w:val="4"/>
            <w:tcBorders>
              <w:top w:val="nil"/>
              <w:left w:val="nil"/>
              <w:bottom w:val="single" w:sz="4" w:space="0" w:color="auto"/>
              <w:right w:val="nil"/>
            </w:tcBorders>
            <w:shd w:val="clear" w:color="auto" w:fill="auto"/>
            <w:noWrap/>
            <w:vAlign w:val="bottom"/>
          </w:tcPr>
          <w:p w14:paraId="1BD29705" w14:textId="77777777" w:rsidR="004F605C" w:rsidRPr="0035657F" w:rsidRDefault="004F605C" w:rsidP="00824939">
            <w:pPr>
              <w:pStyle w:val="TableNumberCaption"/>
            </w:pPr>
            <w:bookmarkStart w:id="27" w:name="_Ref520205430"/>
            <w:bookmarkStart w:id="28" w:name="_Toc520215896"/>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bookmarkEnd w:id="27"/>
            <w:r w:rsidRPr="00997ADF">
              <w:t xml:space="preserve">. Model Properties for Test Case </w:t>
            </w:r>
            <w:r>
              <w:t>2</w:t>
            </w:r>
            <w:bookmarkEnd w:id="28"/>
          </w:p>
        </w:tc>
      </w:tr>
      <w:tr w:rsidR="004F605C" w:rsidRPr="0035657F" w14:paraId="6506E229" w14:textId="77777777" w:rsidTr="004F605C">
        <w:trPr>
          <w:trHeight w:val="288"/>
          <w:tblHeader/>
          <w:jc w:val="right"/>
        </w:trPr>
        <w:tc>
          <w:tcPr>
            <w:tcW w:w="3060" w:type="dxa"/>
            <w:tcBorders>
              <w:top w:val="single" w:sz="4" w:space="0" w:color="auto"/>
            </w:tcBorders>
            <w:shd w:val="clear" w:color="auto" w:fill="D9D9D9" w:themeFill="background1" w:themeFillShade="D9"/>
            <w:noWrap/>
            <w:vAlign w:val="bottom"/>
          </w:tcPr>
          <w:p w14:paraId="6C4A3D9A" w14:textId="77777777" w:rsidR="004F605C" w:rsidRPr="0035657F" w:rsidRDefault="004F605C" w:rsidP="00824939">
            <w:pPr>
              <w:pStyle w:val="TableHead"/>
            </w:pPr>
            <w:r w:rsidRPr="0035657F">
              <w:t>Variable name</w:t>
            </w:r>
          </w:p>
        </w:tc>
        <w:tc>
          <w:tcPr>
            <w:tcW w:w="1060" w:type="dxa"/>
            <w:tcBorders>
              <w:top w:val="single" w:sz="4" w:space="0" w:color="auto"/>
            </w:tcBorders>
            <w:shd w:val="clear" w:color="auto" w:fill="D9D9D9" w:themeFill="background1" w:themeFillShade="D9"/>
            <w:noWrap/>
            <w:vAlign w:val="bottom"/>
          </w:tcPr>
          <w:p w14:paraId="772A23AB" w14:textId="77777777" w:rsidR="004F605C" w:rsidRPr="0035657F" w:rsidRDefault="004F605C" w:rsidP="00824939">
            <w:pPr>
              <w:pStyle w:val="TableHead"/>
            </w:pPr>
            <w:r w:rsidRPr="0035657F">
              <w:t>Variable value</w:t>
            </w:r>
          </w:p>
        </w:tc>
        <w:tc>
          <w:tcPr>
            <w:tcW w:w="1100" w:type="dxa"/>
            <w:tcBorders>
              <w:top w:val="single" w:sz="4" w:space="0" w:color="auto"/>
            </w:tcBorders>
            <w:shd w:val="clear" w:color="auto" w:fill="D9D9D9" w:themeFill="background1" w:themeFillShade="D9"/>
            <w:noWrap/>
            <w:vAlign w:val="bottom"/>
          </w:tcPr>
          <w:p w14:paraId="26A75886" w14:textId="77777777" w:rsidR="004F605C" w:rsidRPr="0035657F" w:rsidRDefault="004F605C" w:rsidP="00824939">
            <w:pPr>
              <w:pStyle w:val="TableHead"/>
            </w:pPr>
            <w:r w:rsidRPr="0035657F">
              <w:t>Units</w:t>
            </w:r>
          </w:p>
        </w:tc>
        <w:tc>
          <w:tcPr>
            <w:tcW w:w="2610" w:type="dxa"/>
            <w:tcBorders>
              <w:top w:val="single" w:sz="4" w:space="0" w:color="auto"/>
            </w:tcBorders>
            <w:shd w:val="clear" w:color="auto" w:fill="D9D9D9" w:themeFill="background1" w:themeFillShade="D9"/>
            <w:noWrap/>
            <w:vAlign w:val="bottom"/>
          </w:tcPr>
          <w:p w14:paraId="7CFBDAD4" w14:textId="77777777" w:rsidR="004F605C" w:rsidRPr="0035657F" w:rsidRDefault="004F605C" w:rsidP="00824939">
            <w:pPr>
              <w:pStyle w:val="TableHead"/>
            </w:pPr>
            <w:r w:rsidRPr="0035657F">
              <w:t>Source</w:t>
            </w:r>
          </w:p>
        </w:tc>
      </w:tr>
      <w:tr w:rsidR="004F605C" w:rsidRPr="0035657F" w14:paraId="576E31E0" w14:textId="77777777" w:rsidTr="004F605C">
        <w:trPr>
          <w:trHeight w:val="288"/>
          <w:jc w:val="right"/>
        </w:trPr>
        <w:tc>
          <w:tcPr>
            <w:tcW w:w="3060" w:type="dxa"/>
            <w:shd w:val="clear" w:color="auto" w:fill="auto"/>
            <w:noWrap/>
            <w:vAlign w:val="bottom"/>
            <w:hideMark/>
          </w:tcPr>
          <w:p w14:paraId="541F3581" w14:textId="77777777" w:rsidR="004F605C" w:rsidRPr="0035657F" w:rsidRDefault="004F605C" w:rsidP="00824939">
            <w:pPr>
              <w:pStyle w:val="TableBody"/>
            </w:pPr>
            <w:r w:rsidRPr="0035657F">
              <w:t>Number of rows</w:t>
            </w:r>
          </w:p>
        </w:tc>
        <w:tc>
          <w:tcPr>
            <w:tcW w:w="1060" w:type="dxa"/>
            <w:shd w:val="clear" w:color="auto" w:fill="auto"/>
            <w:noWrap/>
            <w:vAlign w:val="bottom"/>
            <w:hideMark/>
          </w:tcPr>
          <w:p w14:paraId="4C54844F" w14:textId="77777777" w:rsidR="004F605C" w:rsidRPr="0035657F" w:rsidRDefault="004F605C" w:rsidP="00824939">
            <w:pPr>
              <w:pStyle w:val="TableBody"/>
              <w:jc w:val="center"/>
            </w:pPr>
            <w:r w:rsidRPr="0035657F">
              <w:t>11</w:t>
            </w:r>
          </w:p>
        </w:tc>
        <w:tc>
          <w:tcPr>
            <w:tcW w:w="1100" w:type="dxa"/>
            <w:shd w:val="clear" w:color="auto" w:fill="auto"/>
            <w:noWrap/>
            <w:vAlign w:val="bottom"/>
            <w:hideMark/>
          </w:tcPr>
          <w:p w14:paraId="61649A7F"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6B87E522" w14:textId="77777777" w:rsidR="004F605C" w:rsidRPr="0035657F" w:rsidRDefault="004F605C" w:rsidP="00824939">
            <w:pPr>
              <w:pStyle w:val="TableBody"/>
            </w:pPr>
            <w:r w:rsidRPr="0035657F">
              <w:t>Pollock, 1988, Figure 9</w:t>
            </w:r>
          </w:p>
        </w:tc>
      </w:tr>
      <w:tr w:rsidR="004F605C" w:rsidRPr="0035657F" w14:paraId="01677646" w14:textId="77777777" w:rsidTr="004F605C">
        <w:trPr>
          <w:trHeight w:val="288"/>
          <w:jc w:val="right"/>
        </w:trPr>
        <w:tc>
          <w:tcPr>
            <w:tcW w:w="3060" w:type="dxa"/>
            <w:shd w:val="clear" w:color="auto" w:fill="auto"/>
            <w:noWrap/>
            <w:vAlign w:val="bottom"/>
            <w:hideMark/>
          </w:tcPr>
          <w:p w14:paraId="397C4733" w14:textId="77777777" w:rsidR="004F605C" w:rsidRPr="0035657F" w:rsidRDefault="004F605C" w:rsidP="00824939">
            <w:pPr>
              <w:pStyle w:val="TableBody"/>
            </w:pPr>
            <w:r w:rsidRPr="0035657F">
              <w:t>Number of columns</w:t>
            </w:r>
          </w:p>
        </w:tc>
        <w:tc>
          <w:tcPr>
            <w:tcW w:w="1060" w:type="dxa"/>
            <w:shd w:val="clear" w:color="auto" w:fill="auto"/>
            <w:noWrap/>
            <w:vAlign w:val="bottom"/>
            <w:hideMark/>
          </w:tcPr>
          <w:p w14:paraId="6FC44DC9" w14:textId="77777777" w:rsidR="004F605C" w:rsidRPr="0035657F" w:rsidRDefault="004F605C" w:rsidP="00824939">
            <w:pPr>
              <w:pStyle w:val="TableBody"/>
              <w:jc w:val="center"/>
            </w:pPr>
            <w:r w:rsidRPr="0035657F">
              <w:t>21</w:t>
            </w:r>
          </w:p>
        </w:tc>
        <w:tc>
          <w:tcPr>
            <w:tcW w:w="1100" w:type="dxa"/>
            <w:shd w:val="clear" w:color="auto" w:fill="auto"/>
            <w:noWrap/>
            <w:vAlign w:val="bottom"/>
            <w:hideMark/>
          </w:tcPr>
          <w:p w14:paraId="58E90530"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E78F54D" w14:textId="77777777" w:rsidR="004F605C" w:rsidRPr="0035657F" w:rsidRDefault="004F605C" w:rsidP="00824939">
            <w:pPr>
              <w:pStyle w:val="TableBody"/>
            </w:pPr>
            <w:r w:rsidRPr="0035657F">
              <w:t>Pollock, 1988, Figure 9</w:t>
            </w:r>
          </w:p>
        </w:tc>
      </w:tr>
      <w:tr w:rsidR="004F605C" w:rsidRPr="0035657F" w14:paraId="28EBA215" w14:textId="77777777" w:rsidTr="004F605C">
        <w:trPr>
          <w:trHeight w:val="288"/>
          <w:jc w:val="right"/>
        </w:trPr>
        <w:tc>
          <w:tcPr>
            <w:tcW w:w="3060" w:type="dxa"/>
            <w:shd w:val="clear" w:color="auto" w:fill="auto"/>
            <w:noWrap/>
            <w:vAlign w:val="bottom"/>
            <w:hideMark/>
          </w:tcPr>
          <w:p w14:paraId="79311319" w14:textId="77777777" w:rsidR="004F605C" w:rsidRPr="0035657F" w:rsidRDefault="004F605C" w:rsidP="00824939">
            <w:pPr>
              <w:pStyle w:val="TableBody"/>
            </w:pPr>
            <w:r w:rsidRPr="0035657F">
              <w:t>Height of rows</w:t>
            </w:r>
          </w:p>
        </w:tc>
        <w:tc>
          <w:tcPr>
            <w:tcW w:w="1060" w:type="dxa"/>
            <w:shd w:val="clear" w:color="auto" w:fill="auto"/>
            <w:noWrap/>
            <w:vAlign w:val="bottom"/>
            <w:hideMark/>
          </w:tcPr>
          <w:p w14:paraId="6AB6A4B6"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BD9BE71" w14:textId="77777777" w:rsidR="004F605C" w:rsidRPr="0035657F" w:rsidRDefault="004F605C" w:rsidP="00824939">
            <w:pPr>
              <w:pStyle w:val="TableBody"/>
              <w:jc w:val="center"/>
            </w:pPr>
            <w:r>
              <w:t>ft</w:t>
            </w:r>
          </w:p>
        </w:tc>
        <w:tc>
          <w:tcPr>
            <w:tcW w:w="2610" w:type="dxa"/>
            <w:shd w:val="clear" w:color="auto" w:fill="auto"/>
            <w:noWrap/>
            <w:vAlign w:val="bottom"/>
            <w:hideMark/>
          </w:tcPr>
          <w:p w14:paraId="6B6BFD91" w14:textId="77777777" w:rsidR="004F605C" w:rsidRPr="0035657F" w:rsidRDefault="004F605C" w:rsidP="00824939">
            <w:pPr>
              <w:pStyle w:val="TableBody"/>
            </w:pPr>
            <w:r w:rsidRPr="0035657F">
              <w:t>Pollock, 1988, Figure 9</w:t>
            </w:r>
          </w:p>
        </w:tc>
      </w:tr>
      <w:tr w:rsidR="004F605C" w:rsidRPr="0035657F" w14:paraId="69614DD9" w14:textId="77777777" w:rsidTr="004F605C">
        <w:trPr>
          <w:trHeight w:val="288"/>
          <w:jc w:val="right"/>
        </w:trPr>
        <w:tc>
          <w:tcPr>
            <w:tcW w:w="3060" w:type="dxa"/>
            <w:shd w:val="clear" w:color="auto" w:fill="auto"/>
            <w:noWrap/>
            <w:vAlign w:val="bottom"/>
            <w:hideMark/>
          </w:tcPr>
          <w:p w14:paraId="72B5C396" w14:textId="77777777" w:rsidR="004F605C" w:rsidRPr="0035657F" w:rsidRDefault="004F605C" w:rsidP="00824939">
            <w:pPr>
              <w:pStyle w:val="TableBody"/>
            </w:pPr>
            <w:r w:rsidRPr="0035657F">
              <w:t>Width of columns</w:t>
            </w:r>
          </w:p>
        </w:tc>
        <w:tc>
          <w:tcPr>
            <w:tcW w:w="1060" w:type="dxa"/>
            <w:shd w:val="clear" w:color="auto" w:fill="auto"/>
            <w:noWrap/>
            <w:vAlign w:val="bottom"/>
            <w:hideMark/>
          </w:tcPr>
          <w:p w14:paraId="421D4807"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8611C2A" w14:textId="77777777" w:rsidR="004F605C" w:rsidRPr="0035657F" w:rsidRDefault="004F605C" w:rsidP="00824939">
            <w:pPr>
              <w:pStyle w:val="TableBody"/>
              <w:jc w:val="center"/>
            </w:pPr>
            <w:r>
              <w:t>ft</w:t>
            </w:r>
          </w:p>
        </w:tc>
        <w:tc>
          <w:tcPr>
            <w:tcW w:w="2610" w:type="dxa"/>
            <w:shd w:val="clear" w:color="auto" w:fill="auto"/>
            <w:noWrap/>
            <w:vAlign w:val="bottom"/>
            <w:hideMark/>
          </w:tcPr>
          <w:p w14:paraId="40827F7A" w14:textId="77777777" w:rsidR="004F605C" w:rsidRPr="0035657F" w:rsidRDefault="004F605C" w:rsidP="00824939">
            <w:pPr>
              <w:pStyle w:val="TableBody"/>
            </w:pPr>
            <w:r w:rsidRPr="0035657F">
              <w:t>Pollock, 1988, Figure 9</w:t>
            </w:r>
          </w:p>
        </w:tc>
      </w:tr>
      <w:tr w:rsidR="004F605C" w:rsidRPr="0035657F" w14:paraId="1467691D" w14:textId="77777777" w:rsidTr="004F605C">
        <w:trPr>
          <w:trHeight w:val="288"/>
          <w:jc w:val="right"/>
        </w:trPr>
        <w:tc>
          <w:tcPr>
            <w:tcW w:w="3060" w:type="dxa"/>
            <w:shd w:val="clear" w:color="auto" w:fill="auto"/>
            <w:noWrap/>
            <w:vAlign w:val="bottom"/>
            <w:hideMark/>
          </w:tcPr>
          <w:p w14:paraId="54F47890" w14:textId="77777777" w:rsidR="004F605C" w:rsidRPr="0035657F" w:rsidRDefault="004F605C" w:rsidP="00824939">
            <w:pPr>
              <w:pStyle w:val="TableBody"/>
            </w:pPr>
            <w:r w:rsidRPr="0035657F">
              <w:t>Number of layers</w:t>
            </w:r>
          </w:p>
        </w:tc>
        <w:tc>
          <w:tcPr>
            <w:tcW w:w="1060" w:type="dxa"/>
            <w:shd w:val="clear" w:color="auto" w:fill="auto"/>
            <w:noWrap/>
            <w:vAlign w:val="bottom"/>
            <w:hideMark/>
          </w:tcPr>
          <w:p w14:paraId="41C21A62" w14:textId="77777777" w:rsidR="004F605C" w:rsidRPr="0035657F" w:rsidRDefault="004F605C" w:rsidP="00824939">
            <w:pPr>
              <w:pStyle w:val="TableBody"/>
              <w:jc w:val="center"/>
            </w:pPr>
            <w:r w:rsidRPr="0035657F">
              <w:t>1</w:t>
            </w:r>
          </w:p>
        </w:tc>
        <w:tc>
          <w:tcPr>
            <w:tcW w:w="1100" w:type="dxa"/>
            <w:shd w:val="clear" w:color="auto" w:fill="auto"/>
            <w:noWrap/>
            <w:vAlign w:val="bottom"/>
            <w:hideMark/>
          </w:tcPr>
          <w:p w14:paraId="4E7AF4EC"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5E12DAF9" w14:textId="77777777" w:rsidR="004F605C" w:rsidRPr="0035657F" w:rsidRDefault="004F605C" w:rsidP="00824939">
            <w:pPr>
              <w:pStyle w:val="TableBody"/>
            </w:pPr>
            <w:r w:rsidRPr="0035657F">
              <w:t>Assumed</w:t>
            </w:r>
          </w:p>
        </w:tc>
      </w:tr>
      <w:tr w:rsidR="004F605C" w:rsidRPr="0035657F" w14:paraId="0CCAE85E" w14:textId="77777777" w:rsidTr="004F605C">
        <w:trPr>
          <w:trHeight w:val="288"/>
          <w:jc w:val="right"/>
        </w:trPr>
        <w:tc>
          <w:tcPr>
            <w:tcW w:w="3060" w:type="dxa"/>
            <w:shd w:val="clear" w:color="auto" w:fill="auto"/>
            <w:noWrap/>
            <w:vAlign w:val="bottom"/>
            <w:hideMark/>
          </w:tcPr>
          <w:p w14:paraId="5E382B2A" w14:textId="77777777" w:rsidR="004F605C" w:rsidRPr="0035657F" w:rsidRDefault="004F605C" w:rsidP="00824939">
            <w:pPr>
              <w:pStyle w:val="TableBody"/>
            </w:pPr>
            <w:r w:rsidRPr="0035657F">
              <w:t>Thickness of layer</w:t>
            </w:r>
          </w:p>
        </w:tc>
        <w:tc>
          <w:tcPr>
            <w:tcW w:w="1060" w:type="dxa"/>
            <w:shd w:val="clear" w:color="auto" w:fill="auto"/>
            <w:noWrap/>
            <w:vAlign w:val="bottom"/>
            <w:hideMark/>
          </w:tcPr>
          <w:p w14:paraId="2BDCDBDA" w14:textId="77777777" w:rsidR="004F605C" w:rsidRPr="0035657F" w:rsidRDefault="004F605C" w:rsidP="00824939">
            <w:pPr>
              <w:pStyle w:val="TableBody"/>
              <w:jc w:val="center"/>
            </w:pPr>
            <w:r>
              <w:t>25</w:t>
            </w:r>
          </w:p>
        </w:tc>
        <w:tc>
          <w:tcPr>
            <w:tcW w:w="1100" w:type="dxa"/>
            <w:shd w:val="clear" w:color="auto" w:fill="auto"/>
            <w:noWrap/>
            <w:vAlign w:val="bottom"/>
            <w:hideMark/>
          </w:tcPr>
          <w:p w14:paraId="52EAFBC2" w14:textId="77777777" w:rsidR="004F605C" w:rsidRPr="0035657F" w:rsidRDefault="004F605C" w:rsidP="00824939">
            <w:pPr>
              <w:pStyle w:val="TableBody"/>
              <w:jc w:val="center"/>
            </w:pPr>
            <w:r>
              <w:t>ft</w:t>
            </w:r>
          </w:p>
        </w:tc>
        <w:tc>
          <w:tcPr>
            <w:tcW w:w="2610" w:type="dxa"/>
            <w:shd w:val="clear" w:color="auto" w:fill="auto"/>
            <w:noWrap/>
            <w:vAlign w:val="bottom"/>
            <w:hideMark/>
          </w:tcPr>
          <w:p w14:paraId="1BC918D8" w14:textId="77777777" w:rsidR="004F605C" w:rsidRPr="0035657F" w:rsidRDefault="004F605C" w:rsidP="00824939">
            <w:pPr>
              <w:pStyle w:val="TableBody"/>
            </w:pPr>
            <w:r w:rsidRPr="0035657F">
              <w:t>Assumed</w:t>
            </w:r>
            <w:r>
              <w:t xml:space="preserve"> </w:t>
            </w:r>
          </w:p>
        </w:tc>
      </w:tr>
      <w:tr w:rsidR="004F605C" w:rsidRPr="0035657F" w14:paraId="2810BE0F" w14:textId="77777777" w:rsidTr="004F605C">
        <w:trPr>
          <w:trHeight w:val="288"/>
          <w:jc w:val="right"/>
        </w:trPr>
        <w:tc>
          <w:tcPr>
            <w:tcW w:w="3060" w:type="dxa"/>
            <w:shd w:val="clear" w:color="auto" w:fill="auto"/>
            <w:noWrap/>
            <w:vAlign w:val="bottom"/>
            <w:hideMark/>
          </w:tcPr>
          <w:p w14:paraId="5F412614" w14:textId="77777777" w:rsidR="004F605C" w:rsidRPr="0035657F" w:rsidRDefault="004F605C" w:rsidP="00824939">
            <w:pPr>
              <w:pStyle w:val="TableBody"/>
            </w:pPr>
            <w:r w:rsidRPr="0035657F">
              <w:t>Hydraulic conductivity</w:t>
            </w:r>
            <w:r>
              <w:t xml:space="preserve"> (aquifer)</w:t>
            </w:r>
          </w:p>
        </w:tc>
        <w:tc>
          <w:tcPr>
            <w:tcW w:w="1060" w:type="dxa"/>
            <w:shd w:val="clear" w:color="auto" w:fill="auto"/>
            <w:noWrap/>
            <w:vAlign w:val="bottom"/>
            <w:hideMark/>
          </w:tcPr>
          <w:p w14:paraId="615EB57D" w14:textId="77777777" w:rsidR="004F605C" w:rsidRPr="0035657F" w:rsidRDefault="004F605C" w:rsidP="00824939">
            <w:pPr>
              <w:pStyle w:val="TableBody"/>
              <w:jc w:val="center"/>
            </w:pPr>
            <w:r w:rsidRPr="0035657F">
              <w:t>45</w:t>
            </w:r>
          </w:p>
        </w:tc>
        <w:tc>
          <w:tcPr>
            <w:tcW w:w="1100" w:type="dxa"/>
            <w:shd w:val="clear" w:color="auto" w:fill="auto"/>
            <w:noWrap/>
            <w:vAlign w:val="bottom"/>
            <w:hideMark/>
          </w:tcPr>
          <w:p w14:paraId="09656FA7" w14:textId="77777777" w:rsidR="004F605C" w:rsidRPr="0035657F" w:rsidRDefault="004F605C" w:rsidP="00824939">
            <w:pPr>
              <w:pStyle w:val="TableBody"/>
              <w:jc w:val="center"/>
            </w:pPr>
            <w:r>
              <w:t>ft</w:t>
            </w:r>
            <w:r w:rsidRPr="0035657F">
              <w:t>/day</w:t>
            </w:r>
          </w:p>
        </w:tc>
        <w:tc>
          <w:tcPr>
            <w:tcW w:w="2610" w:type="dxa"/>
            <w:shd w:val="clear" w:color="auto" w:fill="auto"/>
            <w:noWrap/>
            <w:vAlign w:val="bottom"/>
            <w:hideMark/>
          </w:tcPr>
          <w:p w14:paraId="13791B15" w14:textId="77777777" w:rsidR="004F605C" w:rsidRPr="0035657F" w:rsidRDefault="004F605C" w:rsidP="00824939">
            <w:pPr>
              <w:pStyle w:val="TableBody"/>
            </w:pPr>
            <w:r w:rsidRPr="0035657F">
              <w:t>Pollock, 1988, Figure 8</w:t>
            </w:r>
          </w:p>
        </w:tc>
      </w:tr>
      <w:tr w:rsidR="004F605C" w:rsidRPr="0035657F" w14:paraId="2A9FFD97" w14:textId="77777777" w:rsidTr="004F605C">
        <w:trPr>
          <w:trHeight w:val="288"/>
          <w:jc w:val="right"/>
        </w:trPr>
        <w:tc>
          <w:tcPr>
            <w:tcW w:w="3060" w:type="dxa"/>
            <w:shd w:val="clear" w:color="auto" w:fill="auto"/>
            <w:noWrap/>
            <w:vAlign w:val="bottom"/>
          </w:tcPr>
          <w:p w14:paraId="25581F97" w14:textId="77777777" w:rsidR="004F605C" w:rsidRPr="0035657F" w:rsidRDefault="004F605C" w:rsidP="00824939">
            <w:pPr>
              <w:pStyle w:val="TableBody"/>
            </w:pPr>
            <w:r>
              <w:t>Hydraulic conductivity (reservoir and seepage face)</w:t>
            </w:r>
          </w:p>
        </w:tc>
        <w:tc>
          <w:tcPr>
            <w:tcW w:w="1060" w:type="dxa"/>
            <w:shd w:val="clear" w:color="auto" w:fill="auto"/>
            <w:noWrap/>
            <w:vAlign w:val="bottom"/>
          </w:tcPr>
          <w:p w14:paraId="40C0AB0A" w14:textId="77777777" w:rsidR="004F605C" w:rsidRPr="0035657F" w:rsidRDefault="004F605C" w:rsidP="00824939">
            <w:pPr>
              <w:pStyle w:val="TableBody"/>
              <w:jc w:val="center"/>
            </w:pPr>
            <w:r>
              <w:t>4,500</w:t>
            </w:r>
          </w:p>
        </w:tc>
        <w:tc>
          <w:tcPr>
            <w:tcW w:w="1100" w:type="dxa"/>
            <w:shd w:val="clear" w:color="auto" w:fill="auto"/>
            <w:noWrap/>
            <w:vAlign w:val="bottom"/>
          </w:tcPr>
          <w:p w14:paraId="3A6E678A" w14:textId="77777777" w:rsidR="004F605C" w:rsidRPr="0035657F" w:rsidRDefault="004F605C" w:rsidP="00824939">
            <w:pPr>
              <w:pStyle w:val="TableBody"/>
              <w:jc w:val="center"/>
            </w:pPr>
            <w:r>
              <w:t>ft/day</w:t>
            </w:r>
          </w:p>
        </w:tc>
        <w:tc>
          <w:tcPr>
            <w:tcW w:w="2610" w:type="dxa"/>
            <w:shd w:val="clear" w:color="auto" w:fill="auto"/>
            <w:noWrap/>
            <w:vAlign w:val="bottom"/>
          </w:tcPr>
          <w:p w14:paraId="3886E8DB" w14:textId="77777777" w:rsidR="004F605C" w:rsidRPr="0035657F" w:rsidRDefault="004F605C" w:rsidP="00824939">
            <w:pPr>
              <w:pStyle w:val="TableBody"/>
            </w:pPr>
            <w:r w:rsidRPr="0035657F">
              <w:t xml:space="preserve">Pollock, 1988, Figure </w:t>
            </w:r>
            <w:r>
              <w:t>9</w:t>
            </w:r>
          </w:p>
        </w:tc>
      </w:tr>
      <w:tr w:rsidR="004F605C" w:rsidRPr="0035657F" w14:paraId="15D6BDB7" w14:textId="77777777" w:rsidTr="004F605C">
        <w:trPr>
          <w:trHeight w:val="288"/>
          <w:jc w:val="right"/>
        </w:trPr>
        <w:tc>
          <w:tcPr>
            <w:tcW w:w="3060" w:type="dxa"/>
            <w:shd w:val="clear" w:color="auto" w:fill="auto"/>
            <w:noWrap/>
            <w:vAlign w:val="bottom"/>
            <w:hideMark/>
          </w:tcPr>
          <w:p w14:paraId="56D05023" w14:textId="77777777" w:rsidR="004F605C" w:rsidRPr="0035657F" w:rsidRDefault="004F605C" w:rsidP="00824939">
            <w:pPr>
              <w:pStyle w:val="TableBody"/>
            </w:pPr>
            <w:r w:rsidRPr="0035657F">
              <w:t>Porosity</w:t>
            </w:r>
          </w:p>
        </w:tc>
        <w:tc>
          <w:tcPr>
            <w:tcW w:w="1060" w:type="dxa"/>
            <w:shd w:val="clear" w:color="auto" w:fill="auto"/>
            <w:noWrap/>
            <w:vAlign w:val="bottom"/>
            <w:hideMark/>
          </w:tcPr>
          <w:p w14:paraId="109F3718" w14:textId="77777777" w:rsidR="004F605C" w:rsidRPr="0035657F" w:rsidRDefault="004F605C" w:rsidP="00824939">
            <w:pPr>
              <w:pStyle w:val="TableBody"/>
              <w:jc w:val="center"/>
            </w:pPr>
            <w:r w:rsidRPr="0035657F">
              <w:t>0.3</w:t>
            </w:r>
          </w:p>
        </w:tc>
        <w:tc>
          <w:tcPr>
            <w:tcW w:w="1100" w:type="dxa"/>
            <w:shd w:val="clear" w:color="auto" w:fill="auto"/>
            <w:noWrap/>
            <w:vAlign w:val="bottom"/>
            <w:hideMark/>
          </w:tcPr>
          <w:p w14:paraId="4711482B"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D0A7927" w14:textId="77777777" w:rsidR="004F605C" w:rsidRPr="0035657F" w:rsidRDefault="004F605C" w:rsidP="00824939">
            <w:pPr>
              <w:pStyle w:val="TableBody"/>
            </w:pPr>
            <w:r w:rsidRPr="0035657F">
              <w:t>Pollock, 1988, Figure 8</w:t>
            </w:r>
          </w:p>
        </w:tc>
      </w:tr>
      <w:tr w:rsidR="004F605C" w:rsidRPr="0035657F" w14:paraId="7B60E93E" w14:textId="77777777" w:rsidTr="004F605C">
        <w:trPr>
          <w:trHeight w:val="288"/>
          <w:jc w:val="right"/>
        </w:trPr>
        <w:tc>
          <w:tcPr>
            <w:tcW w:w="3060" w:type="dxa"/>
            <w:shd w:val="clear" w:color="auto" w:fill="auto"/>
            <w:noWrap/>
            <w:vAlign w:val="bottom"/>
            <w:hideMark/>
          </w:tcPr>
          <w:p w14:paraId="6A38C25C" w14:textId="77777777" w:rsidR="004F605C" w:rsidRPr="0035657F" w:rsidRDefault="004F605C" w:rsidP="00824939">
            <w:pPr>
              <w:pStyle w:val="TableBody"/>
            </w:pPr>
            <w:r w:rsidRPr="0035657F">
              <w:t>Constant head (reservoir)</w:t>
            </w:r>
          </w:p>
        </w:tc>
        <w:tc>
          <w:tcPr>
            <w:tcW w:w="1060" w:type="dxa"/>
            <w:shd w:val="clear" w:color="auto" w:fill="auto"/>
            <w:noWrap/>
            <w:vAlign w:val="bottom"/>
            <w:hideMark/>
          </w:tcPr>
          <w:p w14:paraId="1E853C0F" w14:textId="77777777" w:rsidR="004F605C" w:rsidRPr="0035657F" w:rsidRDefault="004F605C" w:rsidP="00824939">
            <w:pPr>
              <w:pStyle w:val="TableBody"/>
              <w:jc w:val="center"/>
            </w:pPr>
            <w:r w:rsidRPr="0035657F">
              <w:t>55</w:t>
            </w:r>
          </w:p>
        </w:tc>
        <w:tc>
          <w:tcPr>
            <w:tcW w:w="1100" w:type="dxa"/>
            <w:shd w:val="clear" w:color="auto" w:fill="auto"/>
            <w:noWrap/>
            <w:vAlign w:val="bottom"/>
            <w:hideMark/>
          </w:tcPr>
          <w:p w14:paraId="785DCFDB" w14:textId="77777777" w:rsidR="004F605C" w:rsidRPr="0035657F" w:rsidRDefault="004F605C" w:rsidP="00824939">
            <w:pPr>
              <w:pStyle w:val="TableBody"/>
              <w:jc w:val="center"/>
            </w:pPr>
            <w:r>
              <w:t>ft</w:t>
            </w:r>
          </w:p>
        </w:tc>
        <w:tc>
          <w:tcPr>
            <w:tcW w:w="2610" w:type="dxa"/>
            <w:shd w:val="clear" w:color="auto" w:fill="auto"/>
            <w:noWrap/>
            <w:vAlign w:val="bottom"/>
            <w:hideMark/>
          </w:tcPr>
          <w:p w14:paraId="41FBFE8B" w14:textId="77777777" w:rsidR="004F605C" w:rsidRPr="0035657F" w:rsidRDefault="004F605C" w:rsidP="00824939">
            <w:pPr>
              <w:pStyle w:val="TableBody"/>
            </w:pPr>
            <w:r w:rsidRPr="0035657F">
              <w:t>Pollock, 1988, Figure 8</w:t>
            </w:r>
          </w:p>
        </w:tc>
      </w:tr>
      <w:tr w:rsidR="004F605C" w:rsidRPr="0035657F" w14:paraId="5D7B59DF" w14:textId="77777777" w:rsidTr="004F605C">
        <w:trPr>
          <w:trHeight w:val="288"/>
          <w:jc w:val="right"/>
        </w:trPr>
        <w:tc>
          <w:tcPr>
            <w:tcW w:w="3060" w:type="dxa"/>
            <w:shd w:val="clear" w:color="auto" w:fill="auto"/>
            <w:noWrap/>
            <w:vAlign w:val="bottom"/>
            <w:hideMark/>
          </w:tcPr>
          <w:p w14:paraId="4FE0EC0E" w14:textId="77777777" w:rsidR="004F605C" w:rsidRPr="0035657F" w:rsidRDefault="004F605C" w:rsidP="00824939">
            <w:pPr>
              <w:pStyle w:val="TableBody"/>
            </w:pPr>
            <w:r w:rsidRPr="0035657F">
              <w:t>Constant head (seepage face)</w:t>
            </w:r>
          </w:p>
        </w:tc>
        <w:tc>
          <w:tcPr>
            <w:tcW w:w="1060" w:type="dxa"/>
            <w:shd w:val="clear" w:color="auto" w:fill="auto"/>
            <w:noWrap/>
            <w:vAlign w:val="bottom"/>
            <w:hideMark/>
          </w:tcPr>
          <w:p w14:paraId="02CCAABC" w14:textId="77777777" w:rsidR="004F605C" w:rsidRPr="0035657F" w:rsidRDefault="004F605C" w:rsidP="00824939">
            <w:pPr>
              <w:pStyle w:val="TableBody"/>
              <w:jc w:val="center"/>
            </w:pPr>
            <w:r w:rsidRPr="0035657F">
              <w:t>25</w:t>
            </w:r>
          </w:p>
        </w:tc>
        <w:tc>
          <w:tcPr>
            <w:tcW w:w="1100" w:type="dxa"/>
            <w:shd w:val="clear" w:color="auto" w:fill="auto"/>
            <w:noWrap/>
            <w:vAlign w:val="bottom"/>
            <w:hideMark/>
          </w:tcPr>
          <w:p w14:paraId="00BE9304" w14:textId="77777777" w:rsidR="004F605C" w:rsidRPr="0035657F" w:rsidRDefault="004F605C" w:rsidP="00824939">
            <w:pPr>
              <w:pStyle w:val="TableBody"/>
              <w:jc w:val="center"/>
            </w:pPr>
            <w:r>
              <w:t>ft</w:t>
            </w:r>
          </w:p>
        </w:tc>
        <w:tc>
          <w:tcPr>
            <w:tcW w:w="2610" w:type="dxa"/>
            <w:shd w:val="clear" w:color="auto" w:fill="auto"/>
            <w:noWrap/>
            <w:vAlign w:val="bottom"/>
            <w:hideMark/>
          </w:tcPr>
          <w:p w14:paraId="2A1AB415" w14:textId="77777777" w:rsidR="004F605C" w:rsidRPr="0035657F" w:rsidRDefault="004F605C" w:rsidP="00824939">
            <w:pPr>
              <w:pStyle w:val="TableBody"/>
            </w:pPr>
            <w:r w:rsidRPr="0035657F">
              <w:t>Pollock, 1988, Figure 8</w:t>
            </w:r>
          </w:p>
        </w:tc>
      </w:tr>
      <w:tr w:rsidR="004F605C" w:rsidRPr="0035657F" w14:paraId="48822F79" w14:textId="77777777" w:rsidTr="004F605C">
        <w:trPr>
          <w:trHeight w:val="288"/>
          <w:jc w:val="right"/>
        </w:trPr>
        <w:tc>
          <w:tcPr>
            <w:tcW w:w="3060" w:type="dxa"/>
            <w:shd w:val="clear" w:color="auto" w:fill="auto"/>
            <w:noWrap/>
            <w:vAlign w:val="bottom"/>
            <w:hideMark/>
          </w:tcPr>
          <w:p w14:paraId="60339B4F" w14:textId="77777777" w:rsidR="004F605C" w:rsidRPr="0035657F" w:rsidRDefault="004F605C" w:rsidP="00824939">
            <w:pPr>
              <w:pStyle w:val="TableBody"/>
            </w:pPr>
            <w:r w:rsidRPr="0035657F">
              <w:t>Starting head</w:t>
            </w:r>
            <w:r>
              <w:t xml:space="preserve"> (columns 1 through 11)</w:t>
            </w:r>
          </w:p>
        </w:tc>
        <w:tc>
          <w:tcPr>
            <w:tcW w:w="1060" w:type="dxa"/>
            <w:shd w:val="clear" w:color="auto" w:fill="auto"/>
            <w:noWrap/>
            <w:vAlign w:val="bottom"/>
            <w:hideMark/>
          </w:tcPr>
          <w:p w14:paraId="36DA1F62" w14:textId="77777777" w:rsidR="004F605C" w:rsidRPr="0035657F" w:rsidRDefault="004F605C" w:rsidP="00824939">
            <w:pPr>
              <w:pStyle w:val="TableBody"/>
              <w:jc w:val="center"/>
            </w:pPr>
            <w:r>
              <w:t>55</w:t>
            </w:r>
          </w:p>
        </w:tc>
        <w:tc>
          <w:tcPr>
            <w:tcW w:w="1100" w:type="dxa"/>
            <w:shd w:val="clear" w:color="auto" w:fill="auto"/>
            <w:noWrap/>
            <w:vAlign w:val="bottom"/>
            <w:hideMark/>
          </w:tcPr>
          <w:p w14:paraId="68F2CBD7" w14:textId="77777777" w:rsidR="004F605C" w:rsidRPr="0035657F" w:rsidRDefault="004F605C" w:rsidP="00824939">
            <w:pPr>
              <w:pStyle w:val="TableBody"/>
              <w:jc w:val="center"/>
            </w:pPr>
            <w:r>
              <w:t>ft</w:t>
            </w:r>
          </w:p>
        </w:tc>
        <w:tc>
          <w:tcPr>
            <w:tcW w:w="2610" w:type="dxa"/>
            <w:shd w:val="clear" w:color="auto" w:fill="auto"/>
            <w:noWrap/>
            <w:vAlign w:val="bottom"/>
            <w:hideMark/>
          </w:tcPr>
          <w:p w14:paraId="4582DDC2" w14:textId="77777777" w:rsidR="004F605C" w:rsidRPr="0035657F" w:rsidRDefault="004F605C" w:rsidP="00824939">
            <w:pPr>
              <w:pStyle w:val="TableBody"/>
            </w:pPr>
            <w:r w:rsidRPr="0035657F">
              <w:t>Assumed</w:t>
            </w:r>
          </w:p>
        </w:tc>
      </w:tr>
      <w:tr w:rsidR="004F605C" w:rsidRPr="0035657F" w14:paraId="5BF46A4A" w14:textId="77777777" w:rsidTr="004F605C">
        <w:trPr>
          <w:trHeight w:val="288"/>
          <w:jc w:val="right"/>
        </w:trPr>
        <w:tc>
          <w:tcPr>
            <w:tcW w:w="3060" w:type="dxa"/>
            <w:shd w:val="clear" w:color="auto" w:fill="auto"/>
            <w:noWrap/>
            <w:vAlign w:val="bottom"/>
          </w:tcPr>
          <w:p w14:paraId="4564002F" w14:textId="77777777" w:rsidR="004F605C" w:rsidRPr="0035657F" w:rsidRDefault="004F605C" w:rsidP="00824939">
            <w:pPr>
              <w:pStyle w:val="TableBody"/>
            </w:pPr>
            <w:r w:rsidRPr="0035657F">
              <w:t>Starting head</w:t>
            </w:r>
            <w:r>
              <w:t xml:space="preserve"> (columns 12 through 21)</w:t>
            </w:r>
          </w:p>
        </w:tc>
        <w:tc>
          <w:tcPr>
            <w:tcW w:w="1060" w:type="dxa"/>
            <w:shd w:val="clear" w:color="auto" w:fill="auto"/>
            <w:noWrap/>
            <w:vAlign w:val="bottom"/>
          </w:tcPr>
          <w:p w14:paraId="2867F300" w14:textId="77777777" w:rsidR="004F605C" w:rsidRDefault="004F605C" w:rsidP="00824939">
            <w:pPr>
              <w:pStyle w:val="TableBody"/>
              <w:jc w:val="center"/>
            </w:pPr>
            <w:r>
              <w:t>25</w:t>
            </w:r>
          </w:p>
        </w:tc>
        <w:tc>
          <w:tcPr>
            <w:tcW w:w="1100" w:type="dxa"/>
            <w:shd w:val="clear" w:color="auto" w:fill="auto"/>
            <w:noWrap/>
            <w:vAlign w:val="bottom"/>
          </w:tcPr>
          <w:p w14:paraId="36E21E5E" w14:textId="77777777" w:rsidR="004F605C" w:rsidRPr="0035657F" w:rsidRDefault="004F605C" w:rsidP="00824939">
            <w:pPr>
              <w:pStyle w:val="TableBody"/>
              <w:jc w:val="center"/>
            </w:pPr>
            <w:r>
              <w:t>ft</w:t>
            </w:r>
          </w:p>
        </w:tc>
        <w:tc>
          <w:tcPr>
            <w:tcW w:w="2610" w:type="dxa"/>
            <w:shd w:val="clear" w:color="auto" w:fill="auto"/>
            <w:noWrap/>
            <w:vAlign w:val="bottom"/>
          </w:tcPr>
          <w:p w14:paraId="1BB3CE0C" w14:textId="77777777" w:rsidR="004F605C" w:rsidRPr="0035657F" w:rsidRDefault="004F605C" w:rsidP="00824939">
            <w:pPr>
              <w:pStyle w:val="TableBody"/>
            </w:pPr>
            <w:r w:rsidRPr="0035657F">
              <w:t>Assumed</w:t>
            </w:r>
          </w:p>
        </w:tc>
      </w:tr>
      <w:tr w:rsidR="004F605C" w:rsidRPr="0035657F" w14:paraId="5019ED94" w14:textId="77777777" w:rsidTr="004F605C">
        <w:trPr>
          <w:trHeight w:val="288"/>
          <w:jc w:val="right"/>
        </w:trPr>
        <w:tc>
          <w:tcPr>
            <w:tcW w:w="3060" w:type="dxa"/>
            <w:shd w:val="clear" w:color="auto" w:fill="auto"/>
            <w:noWrap/>
            <w:vAlign w:val="bottom"/>
            <w:hideMark/>
          </w:tcPr>
          <w:p w14:paraId="4A9E811C" w14:textId="77777777" w:rsidR="004F605C" w:rsidRPr="0035657F" w:rsidRDefault="004F605C" w:rsidP="00824939">
            <w:pPr>
              <w:pStyle w:val="TableBody"/>
            </w:pPr>
            <w:r w:rsidRPr="0035657F">
              <w:t>Number of particles</w:t>
            </w:r>
          </w:p>
        </w:tc>
        <w:tc>
          <w:tcPr>
            <w:tcW w:w="1060" w:type="dxa"/>
            <w:shd w:val="clear" w:color="auto" w:fill="auto"/>
            <w:noWrap/>
            <w:vAlign w:val="bottom"/>
            <w:hideMark/>
          </w:tcPr>
          <w:p w14:paraId="3DCBDC0C"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50C5A02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489D2825" w14:textId="77777777" w:rsidR="004F605C" w:rsidRPr="0035657F" w:rsidRDefault="004F605C" w:rsidP="00824939">
            <w:pPr>
              <w:pStyle w:val="TableBody"/>
            </w:pPr>
            <w:r w:rsidRPr="0035657F">
              <w:t>Pollock, 1988, Figure 10</w:t>
            </w:r>
          </w:p>
        </w:tc>
      </w:tr>
      <w:tr w:rsidR="004F605C" w:rsidRPr="0035657F" w14:paraId="40268C49" w14:textId="77777777" w:rsidTr="004F605C">
        <w:trPr>
          <w:trHeight w:val="288"/>
          <w:jc w:val="right"/>
        </w:trPr>
        <w:tc>
          <w:tcPr>
            <w:tcW w:w="3060" w:type="dxa"/>
            <w:shd w:val="clear" w:color="auto" w:fill="auto"/>
            <w:noWrap/>
            <w:vAlign w:val="bottom"/>
            <w:hideMark/>
          </w:tcPr>
          <w:p w14:paraId="0DBC3450" w14:textId="77777777" w:rsidR="004F605C" w:rsidRPr="0035657F" w:rsidRDefault="004F605C" w:rsidP="00824939">
            <w:pPr>
              <w:pStyle w:val="TableBody"/>
            </w:pPr>
            <w:r w:rsidRPr="0035657F">
              <w:t>Number of stress periods</w:t>
            </w:r>
          </w:p>
        </w:tc>
        <w:tc>
          <w:tcPr>
            <w:tcW w:w="1060" w:type="dxa"/>
            <w:shd w:val="clear" w:color="auto" w:fill="auto"/>
            <w:noWrap/>
            <w:vAlign w:val="bottom"/>
            <w:hideMark/>
          </w:tcPr>
          <w:p w14:paraId="082FA9F9" w14:textId="77777777" w:rsidR="004F605C" w:rsidRPr="0035657F" w:rsidRDefault="004F605C" w:rsidP="00824939">
            <w:pPr>
              <w:pStyle w:val="TableBody"/>
              <w:jc w:val="center"/>
            </w:pPr>
            <w:r>
              <w:t>30</w:t>
            </w:r>
          </w:p>
        </w:tc>
        <w:tc>
          <w:tcPr>
            <w:tcW w:w="1100" w:type="dxa"/>
            <w:shd w:val="clear" w:color="auto" w:fill="auto"/>
            <w:noWrap/>
            <w:vAlign w:val="bottom"/>
            <w:hideMark/>
          </w:tcPr>
          <w:p w14:paraId="27985ED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1B7A5BF5" w14:textId="77777777" w:rsidR="004F605C" w:rsidRPr="0035657F" w:rsidRDefault="004F605C" w:rsidP="00824939">
            <w:pPr>
              <w:pStyle w:val="TableBody"/>
            </w:pPr>
            <w:r w:rsidRPr="0035657F">
              <w:t>Assumed</w:t>
            </w:r>
          </w:p>
        </w:tc>
      </w:tr>
      <w:tr w:rsidR="004F605C" w:rsidRPr="0035657F" w14:paraId="4B0E5964" w14:textId="77777777" w:rsidTr="004F605C">
        <w:trPr>
          <w:trHeight w:val="288"/>
          <w:jc w:val="right"/>
        </w:trPr>
        <w:tc>
          <w:tcPr>
            <w:tcW w:w="3060" w:type="dxa"/>
            <w:shd w:val="clear" w:color="auto" w:fill="auto"/>
            <w:noWrap/>
            <w:vAlign w:val="bottom"/>
            <w:hideMark/>
          </w:tcPr>
          <w:p w14:paraId="21E0B4E6" w14:textId="77777777" w:rsidR="004F605C" w:rsidRPr="0035657F" w:rsidRDefault="004F605C" w:rsidP="00824939">
            <w:pPr>
              <w:pStyle w:val="TableBody"/>
            </w:pPr>
            <w:r w:rsidRPr="0035657F">
              <w:t>Stress period length</w:t>
            </w:r>
          </w:p>
        </w:tc>
        <w:tc>
          <w:tcPr>
            <w:tcW w:w="1060" w:type="dxa"/>
            <w:shd w:val="clear" w:color="auto" w:fill="auto"/>
            <w:noWrap/>
            <w:vAlign w:val="bottom"/>
            <w:hideMark/>
          </w:tcPr>
          <w:p w14:paraId="44889001" w14:textId="77777777" w:rsidR="004F605C" w:rsidRPr="0035657F" w:rsidRDefault="004F605C" w:rsidP="00824939">
            <w:pPr>
              <w:pStyle w:val="TableBody"/>
              <w:jc w:val="center"/>
            </w:pPr>
            <w:r>
              <w:t>1</w:t>
            </w:r>
          </w:p>
        </w:tc>
        <w:tc>
          <w:tcPr>
            <w:tcW w:w="1100" w:type="dxa"/>
            <w:shd w:val="clear" w:color="auto" w:fill="auto"/>
            <w:noWrap/>
            <w:vAlign w:val="bottom"/>
            <w:hideMark/>
          </w:tcPr>
          <w:p w14:paraId="460955E6" w14:textId="77777777" w:rsidR="004F605C" w:rsidRPr="0035657F" w:rsidRDefault="004F605C" w:rsidP="00824939">
            <w:pPr>
              <w:pStyle w:val="TableBody"/>
              <w:jc w:val="center"/>
            </w:pPr>
            <w:r w:rsidRPr="0035657F">
              <w:t>days</w:t>
            </w:r>
          </w:p>
        </w:tc>
        <w:tc>
          <w:tcPr>
            <w:tcW w:w="2610" w:type="dxa"/>
            <w:shd w:val="clear" w:color="auto" w:fill="auto"/>
            <w:noWrap/>
            <w:vAlign w:val="bottom"/>
            <w:hideMark/>
          </w:tcPr>
          <w:p w14:paraId="6F3122BB" w14:textId="77777777" w:rsidR="004F605C" w:rsidRPr="0035657F" w:rsidRDefault="004F605C" w:rsidP="00824939">
            <w:pPr>
              <w:pStyle w:val="TableBody"/>
            </w:pPr>
            <w:r w:rsidRPr="0035657F">
              <w:t>Assumed</w:t>
            </w:r>
          </w:p>
        </w:tc>
      </w:tr>
    </w:tbl>
    <w:p w14:paraId="34995896" w14:textId="77777777" w:rsidR="004F605C" w:rsidRPr="008C2B8C" w:rsidRDefault="004F605C" w:rsidP="009F7F54">
      <w:pPr>
        <w:pStyle w:val="H2bodytext"/>
        <w:rPr>
          <w:i/>
        </w:rPr>
      </w:pPr>
    </w:p>
    <w:p w14:paraId="13804D05" w14:textId="5601E504" w:rsidR="008C2B8C" w:rsidRDefault="008C2B8C" w:rsidP="008C2B8C">
      <w:pPr>
        <w:pStyle w:val="H2bodytext"/>
      </w:pPr>
      <w:r>
        <w:t xml:space="preserve">There are several sources of error in this test case. The first is that a different version of MODFLOW was used to calculate the underlying flow model. The second is that the particles were calculating using a method very similar to that used by </w:t>
      </w:r>
      <w:proofErr w:type="gramStart"/>
      <w:r>
        <w:t>MODPATH, but</w:t>
      </w:r>
      <w:proofErr w:type="gramEnd"/>
      <w:r>
        <w:t xml:space="preserve"> did not use the version of MODPATH tested in this document. The third is that </w:t>
      </w:r>
      <w:r w:rsidR="002274D0">
        <w:t xml:space="preserve">[Figure 2-6] was slightly </w:t>
      </w:r>
      <w:r w:rsidR="008A744F">
        <w:t>warped and</w:t>
      </w:r>
      <w:r w:rsidR="002274D0">
        <w:t xml:space="preserve"> required georeferencing to reduce the effect on the pathline shape. Some </w:t>
      </w:r>
      <w:r w:rsidR="008A744F">
        <w:t>effect of the warped figure may still remain on the digitized pathlines, causing a slightly different shape than the true results.</w:t>
      </w:r>
    </w:p>
    <w:p w14:paraId="3C177F66" w14:textId="77777777" w:rsidR="008C2B8C" w:rsidRDefault="008C2B8C" w:rsidP="008C2B8C">
      <w:pPr>
        <w:pStyle w:val="H2bodytext"/>
      </w:pPr>
      <w:r>
        <w:t>The acceptance criteria for this test are that the MODPATH simulation are as follows:</w:t>
      </w:r>
    </w:p>
    <w:p w14:paraId="6C7F49F0" w14:textId="33BDDF41" w:rsidR="008C2B8C" w:rsidRDefault="008C2B8C" w:rsidP="008C2B8C">
      <w:pPr>
        <w:pStyle w:val="H2bodytext"/>
        <w:numPr>
          <w:ilvl w:val="0"/>
          <w:numId w:val="11"/>
        </w:numPr>
      </w:pPr>
      <w:r>
        <w:t xml:space="preserve">Criterion 1 – the MODPATH simulation produces </w:t>
      </w:r>
      <w:r w:rsidR="008A744F">
        <w:t>particle tracks that are visually similar to those seen in [Figure 2-6], according to professional judgment.</w:t>
      </w:r>
    </w:p>
    <w:p w14:paraId="6A446CE1" w14:textId="24BCC1FF" w:rsidR="008C2B8C" w:rsidRDefault="008C2B8C" w:rsidP="008C2B8C">
      <w:pPr>
        <w:pStyle w:val="H2bodytext"/>
        <w:numPr>
          <w:ilvl w:val="0"/>
          <w:numId w:val="11"/>
        </w:numPr>
      </w:pPr>
      <w:r>
        <w:lastRenderedPageBreak/>
        <w:t xml:space="preserve">Criterion 2 – the percent difference between </w:t>
      </w:r>
      <w:r w:rsidR="008A744F">
        <w:t>the particle end points</w:t>
      </w:r>
      <w:r>
        <w:t xml:space="preserve"> digitized from </w:t>
      </w:r>
      <w:r w:rsidR="008A744F">
        <w:t>[Figure 2-6] and the MODPATH-</w:t>
      </w:r>
      <w:r>
        <w:t xml:space="preserve">calculated </w:t>
      </w:r>
      <w:r w:rsidR="008A744F">
        <w:t>particle end points</w:t>
      </w:r>
      <w:r>
        <w:t xml:space="preserve"> must not be more than </w:t>
      </w:r>
      <w:r w:rsidR="008A744F">
        <w:t>10</w:t>
      </w:r>
      <w:r>
        <w:t>%.</w:t>
      </w:r>
      <w:r w:rsidRPr="0072186D">
        <w:t xml:space="preserve"> </w:t>
      </w:r>
    </w:p>
    <w:p w14:paraId="05DF0486" w14:textId="6A4B0486" w:rsidR="003F57F1" w:rsidRPr="008C2B8C" w:rsidRDefault="008C2B8C" w:rsidP="009F7F54">
      <w:pPr>
        <w:pStyle w:val="H2bodytext"/>
        <w:rPr>
          <w:i/>
        </w:rPr>
      </w:pPr>
      <w:r>
        <w:t>Criterion 1 gives evidence that the particle tracks are moving according to the flow direction. Criterion 2 gives evidence that the particles</w:t>
      </w:r>
      <w:r w:rsidR="008A744F">
        <w:t>’ ending locations are</w:t>
      </w:r>
      <w:r>
        <w:t xml:space="preserve"> within an acceptable range of similarity to the particles in Pollock, 1988.</w:t>
      </w:r>
      <w:r w:rsidR="00465578" w:rsidRPr="00465578">
        <w:t xml:space="preserve"> </w:t>
      </w:r>
      <w:r w:rsidR="00465578">
        <w:t xml:space="preserve">Criterion 1 must be determined using professional judgment, by observing the image files in </w:t>
      </w:r>
      <w:r w:rsidR="005A0265">
        <w:t>[</w:t>
      </w:r>
      <w:r w:rsidR="00465578">
        <w:t>Test_Case_</w:t>
      </w:r>
      <w:r w:rsidR="005A0265">
        <w:t>2</w:t>
      </w:r>
      <w:r w:rsidR="00465578">
        <w:t>/output/figures</w:t>
      </w:r>
      <w:r w:rsidR="005A0265">
        <w:t>]</w:t>
      </w:r>
      <w:r w:rsidR="00465578">
        <w:t xml:space="preserve"> to confirm that the particle tracks </w:t>
      </w:r>
      <w:r w:rsidR="005A0265">
        <w:t>follow pathlines similar to those</w:t>
      </w:r>
      <w:r w:rsidR="00465578">
        <w:t xml:space="preserve"> seen in [Figure 2-3]. The pass/fail status of criterion 2 will be printed to “pass_fail.csv” [in the root directory], and detailed results are printed in </w:t>
      </w:r>
      <w:r w:rsidR="005A0265">
        <w:t>[</w:t>
      </w:r>
      <w:r w:rsidR="00465578">
        <w:t>Test_Case_</w:t>
      </w:r>
      <w:r w:rsidR="005A0265">
        <w:t>2</w:t>
      </w:r>
      <w:r w:rsidR="00465578">
        <w:t>/output “tc1_results.csv”</w:t>
      </w:r>
      <w:r w:rsidR="005A0265">
        <w:t>]</w:t>
      </w:r>
      <w:r w:rsidR="00465578">
        <w:t>.</w:t>
      </w:r>
    </w:p>
    <w:p w14:paraId="57095871" w14:textId="1E16E50A" w:rsidR="004B3081" w:rsidRDefault="005A0265" w:rsidP="004B3081">
      <w:pPr>
        <w:pStyle w:val="H2bodytext"/>
        <w:rPr>
          <w:b/>
          <w:i/>
        </w:rPr>
      </w:pPr>
      <w:r>
        <w:rPr>
          <w:b/>
          <w:i/>
        </w:rPr>
        <w:t>Test Case 3</w:t>
      </w:r>
      <w:r w:rsidR="004B3081" w:rsidRPr="000F1148">
        <w:rPr>
          <w:b/>
          <w:i/>
        </w:rPr>
        <w:t>:</w:t>
      </w:r>
      <w:r w:rsidR="004B3081">
        <w:rPr>
          <w:b/>
          <w:i/>
        </w:rPr>
        <w:t xml:space="preserve"> Capture Zone in an Isotropic Unconfined Aquifer</w:t>
      </w:r>
    </w:p>
    <w:p w14:paraId="1B397C8F" w14:textId="14596B9B" w:rsidR="00887C02" w:rsidRDefault="00B009FC" w:rsidP="00887C02">
      <w:pPr>
        <w:pStyle w:val="H2bodytext"/>
      </w:pPr>
      <w:r>
        <w:t>This test problem for M</w:t>
      </w:r>
      <w:r w:rsidR="003F57F1">
        <w:t>ODPATH</w:t>
      </w:r>
      <w:r>
        <w:t xml:space="preserve"> involves defining the shape of the capture zone of a constantly-pumping extraction well in an isotropic, unconfined aquifer with a clear hydraulic gradient. An extraction well pumping water from an aquifer will only extract water from its capture zone. MODPATH’s reverse particle tracking capabilities are commonly used to map capture zones in an unconfined aquifer</w:t>
      </w:r>
      <w:r w:rsidR="00887C02">
        <w:t xml:space="preserve"> at the Hanford Site</w:t>
      </w:r>
      <w:r>
        <w:t xml:space="preserve">. </w:t>
      </w:r>
      <w:r w:rsidR="00887C02">
        <w:t xml:space="preserve">In this test, </w:t>
      </w:r>
      <w:r>
        <w:t>results from a MODPATH</w:t>
      </w:r>
      <w:r w:rsidR="00887C02">
        <w:t xml:space="preserve"> reverse particle tracking</w:t>
      </w:r>
      <w:r>
        <w:t xml:space="preserve"> simulation mapping the shape of a capture zone are compared to an analytical solution</w:t>
      </w:r>
      <w:r w:rsidR="00887C02">
        <w:t xml:space="preserve"> describing elements of the shape of that capture zone</w:t>
      </w:r>
      <w:r>
        <w:t xml:space="preserve">. The analytical solution </w:t>
      </w:r>
      <w:r w:rsidR="00887C02">
        <w:t>calculates</w:t>
      </w:r>
      <w:r>
        <w:t xml:space="preserve"> the maximum width of a capture zone and stagnation point for an extraction well in an unconfined aquifer in steady-state conditions (</w:t>
      </w:r>
      <w:commentRangeStart w:id="29"/>
      <w:r w:rsidR="00ED4E36">
        <w:t>G</w:t>
      </w:r>
      <w:r>
        <w:t>rubb</w:t>
      </w:r>
      <w:commentRangeEnd w:id="29"/>
      <w:r w:rsidR="00ED4E36">
        <w:rPr>
          <w:rStyle w:val="CommentReference"/>
          <w:rFonts w:ascii="Times New Roman" w:hAnsi="Times New Roman"/>
        </w:rPr>
        <w:commentReference w:id="29"/>
      </w:r>
      <w:r>
        <w:t xml:space="preserve">, 1993, </w:t>
      </w:r>
      <w:r>
        <w:rPr>
          <w:i/>
        </w:rPr>
        <w:t xml:space="preserve">Analytical </w:t>
      </w:r>
      <w:r w:rsidR="00556DA7">
        <w:rPr>
          <w:i/>
        </w:rPr>
        <w:t>M</w:t>
      </w:r>
      <w:r>
        <w:rPr>
          <w:i/>
        </w:rPr>
        <w:t xml:space="preserve">odel for </w:t>
      </w:r>
      <w:r w:rsidR="00556DA7">
        <w:rPr>
          <w:i/>
        </w:rPr>
        <w:t>E</w:t>
      </w:r>
      <w:r>
        <w:rPr>
          <w:i/>
        </w:rPr>
        <w:t xml:space="preserve">stimation of </w:t>
      </w:r>
      <w:r w:rsidR="00556DA7">
        <w:rPr>
          <w:i/>
        </w:rPr>
        <w:t>S</w:t>
      </w:r>
      <w:r>
        <w:rPr>
          <w:i/>
        </w:rPr>
        <w:t>teady-</w:t>
      </w:r>
      <w:r w:rsidR="00556DA7">
        <w:rPr>
          <w:i/>
        </w:rPr>
        <w:t>S</w:t>
      </w:r>
      <w:r>
        <w:rPr>
          <w:i/>
        </w:rPr>
        <w:t xml:space="preserve">tate </w:t>
      </w:r>
      <w:r w:rsidR="00556DA7">
        <w:rPr>
          <w:i/>
        </w:rPr>
        <w:t>C</w:t>
      </w:r>
      <w:r>
        <w:rPr>
          <w:i/>
        </w:rPr>
        <w:t xml:space="preserve">apture </w:t>
      </w:r>
      <w:r w:rsidR="00556DA7">
        <w:rPr>
          <w:i/>
        </w:rPr>
        <w:t>Z</w:t>
      </w:r>
      <w:r>
        <w:rPr>
          <w:i/>
        </w:rPr>
        <w:t xml:space="preserve">ones of </w:t>
      </w:r>
      <w:r w:rsidR="00556DA7">
        <w:rPr>
          <w:i/>
        </w:rPr>
        <w:t>P</w:t>
      </w:r>
      <w:r>
        <w:rPr>
          <w:i/>
        </w:rPr>
        <w:t xml:space="preserve">umping </w:t>
      </w:r>
      <w:r w:rsidR="00556DA7">
        <w:rPr>
          <w:i/>
        </w:rPr>
        <w:t>W</w:t>
      </w:r>
      <w:r>
        <w:rPr>
          <w:i/>
        </w:rPr>
        <w:t xml:space="preserve">ells in </w:t>
      </w:r>
      <w:r w:rsidR="00556DA7">
        <w:rPr>
          <w:i/>
        </w:rPr>
        <w:t>C</w:t>
      </w:r>
      <w:r>
        <w:rPr>
          <w:i/>
        </w:rPr>
        <w:t xml:space="preserve">onfined and </w:t>
      </w:r>
      <w:r w:rsidR="00556DA7">
        <w:rPr>
          <w:i/>
        </w:rPr>
        <w:t>U</w:t>
      </w:r>
      <w:r>
        <w:rPr>
          <w:i/>
        </w:rPr>
        <w:t xml:space="preserve">nconfined </w:t>
      </w:r>
      <w:r w:rsidR="00556DA7">
        <w:rPr>
          <w:i/>
        </w:rPr>
        <w:t>A</w:t>
      </w:r>
      <w:r>
        <w:rPr>
          <w:i/>
        </w:rPr>
        <w:t>quifers</w:t>
      </w:r>
      <w:r>
        <w:t>). MODPATH particle tracks were compared to the analytical maximum width of the aquifer and location of the stagnation point.</w:t>
      </w:r>
    </w:p>
    <w:p w14:paraId="30E2A702" w14:textId="5ADF6A05" w:rsidR="00D52088" w:rsidRDefault="00D52088" w:rsidP="00887C02">
      <w:pPr>
        <w:pStyle w:val="H2bodytext"/>
      </w:pPr>
      <w:r>
        <w:t>Grubb’s (1993) analytical model for defining the shape of an unconfined capture zone assumes the following:</w:t>
      </w:r>
    </w:p>
    <w:p w14:paraId="7912601F" w14:textId="62B7FAD4" w:rsidR="00D52088" w:rsidRDefault="00D52088" w:rsidP="00D52088">
      <w:pPr>
        <w:pStyle w:val="H2bodytext"/>
        <w:numPr>
          <w:ilvl w:val="0"/>
          <w:numId w:val="13"/>
        </w:numPr>
      </w:pPr>
      <w:r>
        <w:t>The aquifer is homogeneous, isotropic, and infinite in horizontal extent.</w:t>
      </w:r>
    </w:p>
    <w:p w14:paraId="471E762D" w14:textId="2FDDC759" w:rsidR="00D52088" w:rsidRDefault="00D52088" w:rsidP="00D52088">
      <w:pPr>
        <w:pStyle w:val="H2bodytext"/>
        <w:numPr>
          <w:ilvl w:val="0"/>
          <w:numId w:val="13"/>
        </w:numPr>
      </w:pPr>
      <w:r>
        <w:t>The flow conditions are uniform and steady-state.</w:t>
      </w:r>
    </w:p>
    <w:p w14:paraId="6A356B0F" w14:textId="45B337E0" w:rsidR="00D52088" w:rsidRDefault="00D52088" w:rsidP="00D52088">
      <w:pPr>
        <w:pStyle w:val="H2bodytext"/>
        <w:numPr>
          <w:ilvl w:val="0"/>
          <w:numId w:val="13"/>
        </w:numPr>
      </w:pPr>
      <w:r>
        <w:t>The unconfined aquifer has a horizontal lower confining layer with no leakage, rainfall infiltration, or other vertical recharge.</w:t>
      </w:r>
    </w:p>
    <w:p w14:paraId="07736099" w14:textId="1C823971" w:rsidR="00D52088" w:rsidRDefault="00D52088" w:rsidP="00D52088">
      <w:pPr>
        <w:pStyle w:val="H2bodytext"/>
        <w:numPr>
          <w:ilvl w:val="0"/>
          <w:numId w:val="13"/>
        </w:numPr>
      </w:pPr>
      <w:r>
        <w:t>The specific yield of the aquifer is neglected.</w:t>
      </w:r>
    </w:p>
    <w:p w14:paraId="4AE26D08" w14:textId="26FB497F" w:rsidR="00D52088" w:rsidRDefault="00D52088" w:rsidP="00D52088">
      <w:pPr>
        <w:pStyle w:val="H2bodytext"/>
        <w:numPr>
          <w:ilvl w:val="0"/>
          <w:numId w:val="13"/>
        </w:numPr>
      </w:pPr>
      <w:r>
        <w:t>Vertical gradients are negligible.</w:t>
      </w:r>
    </w:p>
    <w:p w14:paraId="113F5A17" w14:textId="7CD4C3C2" w:rsidR="00D52088" w:rsidRDefault="00D52088" w:rsidP="00D52088">
      <w:pPr>
        <w:pStyle w:val="H2bodytext"/>
        <w:numPr>
          <w:ilvl w:val="0"/>
          <w:numId w:val="13"/>
        </w:numPr>
      </w:pPr>
      <w:r>
        <w:t>The pumping well is fully penetrating, open over the thickness of the aquifer, and pumps at a constant rate.</w:t>
      </w:r>
    </w:p>
    <w:p w14:paraId="7533DCF1" w14:textId="0C1996EB" w:rsidR="00887C02" w:rsidRDefault="00D52088" w:rsidP="009D029D">
      <w:pPr>
        <w:pStyle w:val="H2bodytext"/>
      </w:pPr>
      <w:r>
        <w:t xml:space="preserve">Taking all these assumptions into account, a </w:t>
      </w:r>
      <w:r w:rsidR="00887C02">
        <w:t xml:space="preserve">well pumping continuously at a constant rate will produce a capture zone extend infinitely in the upgradient direction and end in the downgradient direction, as shown in </w:t>
      </w:r>
      <w:r w:rsidR="00887C02">
        <w:fldChar w:fldCharType="begin"/>
      </w:r>
      <w:r w:rsidR="00887C02">
        <w:instrText xml:space="preserve"> REF _Ref520126361 \h </w:instrText>
      </w:r>
      <w:r w:rsidR="00887C02">
        <w:fldChar w:fldCharType="separate"/>
      </w:r>
      <w:r w:rsidR="00887C02">
        <w:t xml:space="preserve">Figure </w:t>
      </w:r>
      <w:r w:rsidR="00887C02">
        <w:rPr>
          <w:noProof/>
        </w:rPr>
        <w:t>2</w:t>
      </w:r>
      <w:r w:rsidR="00887C02">
        <w:noBreakHyphen/>
      </w:r>
      <w:r w:rsidR="00887C02">
        <w:rPr>
          <w:noProof/>
        </w:rPr>
        <w:t>1</w:t>
      </w:r>
      <w:r w:rsidR="00887C02">
        <w:fldChar w:fldCharType="end"/>
      </w:r>
      <w:r w:rsidR="00887C02">
        <w:t xml:space="preserve">. </w:t>
      </w:r>
      <w:r w:rsidR="009D029D">
        <w:t xml:space="preserve">The maximum width of the upgradient capture zone as measured from the center of </w:t>
      </w:r>
      <w:r w:rsidR="009D029D">
        <w:lastRenderedPageBreak/>
        <w:t>the well (</w:t>
      </w:r>
      <w:proofErr w:type="spellStart"/>
      <w:r w:rsidR="009D029D">
        <w:t>y</w:t>
      </w:r>
      <w:r w:rsidR="009D029D">
        <w:rPr>
          <w:vertAlign w:val="subscript"/>
        </w:rPr>
        <w:t>max</w:t>
      </w:r>
      <w:proofErr w:type="spellEnd"/>
      <w:r w:rsidR="009D029D">
        <w:rPr>
          <w:vertAlign w:val="subscript"/>
        </w:rPr>
        <w:softHyphen/>
      </w:r>
      <w:r w:rsidR="009D029D">
        <w:t xml:space="preserve">) and the stagnation point, </w:t>
      </w:r>
      <w:r w:rsidR="009D029D">
        <w:rPr>
          <w:rFonts w:cstheme="minorHAnsi"/>
        </w:rPr>
        <w:t>the distance from the pumping well to the down-gradient edge of the capture zone</w:t>
      </w:r>
      <w:r w:rsidR="00556DA7">
        <w:rPr>
          <w:rFonts w:cstheme="minorHAnsi"/>
        </w:rPr>
        <w:t xml:space="preserve"> (the stagnation point, or</w:t>
      </w:r>
      <w:r w:rsidR="00556DA7" w:rsidRPr="00556DA7">
        <w:rPr>
          <w:rFonts w:ascii="Cambria Math" w:hAnsi="Cambria Math"/>
          <w:i/>
        </w:rPr>
        <w:t xml:space="preserve"> </w:t>
      </w:r>
      <w:r w:rsidR="00556DA7">
        <w:rPr>
          <w:rFonts w:ascii="Cambria Math" w:hAnsi="Cambria Math"/>
          <w:i/>
        </w:rPr>
        <w:t>x</w:t>
      </w:r>
      <w:r w:rsidR="00556DA7">
        <w:rPr>
          <w:rFonts w:ascii="Cambria Math" w:hAnsi="Cambria Math"/>
          <w:i/>
          <w:vertAlign w:val="subscript"/>
        </w:rPr>
        <w:t>0</w:t>
      </w:r>
      <w:r w:rsidR="00556DA7">
        <w:rPr>
          <w:rFonts w:cstheme="minorHAnsi"/>
        </w:rPr>
        <w:t>)</w:t>
      </w:r>
      <w:r w:rsidR="009D029D">
        <w:rPr>
          <w:rFonts w:cstheme="minorHAnsi"/>
        </w:rPr>
        <w:t xml:space="preserve">, </w:t>
      </w:r>
      <w:r w:rsidR="009D029D">
        <w:t>can be calculated analytically.</w:t>
      </w:r>
    </w:p>
    <w:p w14:paraId="61AFF632" w14:textId="77777777" w:rsidR="00887C02" w:rsidRDefault="00887C02" w:rsidP="00887C02">
      <w:pPr>
        <w:pStyle w:val="Figure"/>
      </w:pPr>
      <w:r>
        <w:rPr>
          <w:noProof/>
        </w:rPr>
        <w:drawing>
          <wp:inline distT="0" distB="0" distL="0" distR="0" wp14:anchorId="5C0E433A" wp14:editId="2A35F95D">
            <wp:extent cx="3560244"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574" cy="2533080"/>
                    </a:xfrm>
                    <a:prstGeom prst="rect">
                      <a:avLst/>
                    </a:prstGeom>
                  </pic:spPr>
                </pic:pic>
              </a:graphicData>
            </a:graphic>
          </wp:inline>
        </w:drawing>
      </w:r>
    </w:p>
    <w:p w14:paraId="3684C4B1" w14:textId="77777777" w:rsidR="00887C02" w:rsidRDefault="00887C02" w:rsidP="00887C02">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1E7A7CB1" w14:textId="1FA7F8C1" w:rsidR="00887C02" w:rsidRDefault="00887C02" w:rsidP="00887C02">
      <w:pPr>
        <w:pStyle w:val="FigureNumberCaption"/>
      </w:pPr>
      <w:bookmarkStart w:id="30" w:name="_Ref522637989"/>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Capture zone in an unconfined aquifer</w:t>
      </w:r>
      <w:bookmarkEnd w:id="30"/>
    </w:p>
    <w:p w14:paraId="19EABFC1" w14:textId="5F112D27" w:rsidR="004E6E26" w:rsidRDefault="004E6E26" w:rsidP="004E6E26">
      <w:pPr>
        <w:pStyle w:val="H2bodytext"/>
      </w:pPr>
      <w:r>
        <w:t xml:space="preserve">The maximum width of a capture zone an unconfined aquifer is defined by the following equation from Grubb </w:t>
      </w:r>
      <w:r w:rsidR="00D52088">
        <w:t>(</w:t>
      </w:r>
      <w:r>
        <w:t>1993</w:t>
      </w:r>
      <w:r w:rsidR="00D52088">
        <w:t>)</w:t>
      </w:r>
      <w:r>
        <w:t>:</w:t>
      </w:r>
    </w:p>
    <w:p w14:paraId="5DCAFBC5" w14:textId="77777777" w:rsidR="004E6E26" w:rsidRPr="00D753D7" w:rsidRDefault="00B97567" w:rsidP="004E6E26">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F29984C" w14:textId="77777777" w:rsidR="004E6E26" w:rsidRPr="00D52088" w:rsidRDefault="004E6E26" w:rsidP="004E6E26">
      <w:pPr>
        <w:rPr>
          <w:rFonts w:ascii="Arial" w:hAnsi="Arial" w:cs="Arial"/>
          <w:sz w:val="22"/>
        </w:rPr>
      </w:pPr>
      <w:r w:rsidRPr="00D52088">
        <w:rPr>
          <w:rFonts w:ascii="Arial" w:hAnsi="Arial" w:cs="Arial"/>
          <w:sz w:val="22"/>
        </w:rPr>
        <w:t>where:</w:t>
      </w:r>
    </w:p>
    <w:p w14:paraId="09C46C63" w14:textId="77777777" w:rsidR="004E6E26" w:rsidRPr="00D52088" w:rsidRDefault="004E6E26" w:rsidP="004E6E26">
      <w:pPr>
        <w:rPr>
          <w:rFonts w:ascii="Arial" w:hAnsi="Arial" w:cs="Arial"/>
          <w:sz w:val="22"/>
          <w:szCs w:val="22"/>
        </w:rPr>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sidRPr="00D753D7">
        <w:rPr>
          <w:rFonts w:cstheme="minorHAnsi"/>
        </w:rPr>
        <w:t xml:space="preserve">= </w:t>
      </w:r>
      <w:r w:rsidRPr="00D52088">
        <w:rPr>
          <w:rFonts w:ascii="Arial" w:hAnsi="Arial" w:cs="Arial"/>
          <w:sz w:val="22"/>
          <w:szCs w:val="22"/>
        </w:rPr>
        <w:t>the maximum width of the capture zone, where y</w:t>
      </w:r>
      <w:r w:rsidRPr="00D52088">
        <w:rPr>
          <w:rFonts w:ascii="Arial" w:hAnsi="Arial" w:cs="Arial"/>
          <w:sz w:val="22"/>
          <w:szCs w:val="22"/>
          <w:vertAlign w:val="subscript"/>
        </w:rPr>
        <w:t>0</w:t>
      </w:r>
      <w:r w:rsidRPr="00D52088">
        <w:rPr>
          <w:rFonts w:ascii="Arial" w:hAnsi="Arial" w:cs="Arial"/>
          <w:sz w:val="22"/>
          <w:szCs w:val="22"/>
        </w:rPr>
        <w:t xml:space="preserve"> intersects the center of the well</w:t>
      </w:r>
    </w:p>
    <w:p w14:paraId="4F7EBE19"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C4F9E65"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257C7650" w14:textId="77777777" w:rsidR="004E6E26" w:rsidRDefault="004E6E26" w:rsidP="004E6E26">
      <w:pPr>
        <w:rPr>
          <w:rFonts w:cstheme="minorHAnsi"/>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32D3AAF0"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7D5184C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rFonts w:ascii="Arial" w:hAnsi="Arial" w:cs="Arial"/>
          <w:sz w:val="22"/>
        </w:rPr>
        <w:t>the downgradient head</w:t>
      </w:r>
    </w:p>
    <w:p w14:paraId="3B601DCA" w14:textId="77777777" w:rsidR="004E6E26" w:rsidRDefault="004E6E26" w:rsidP="004E6E26">
      <w:pPr>
        <w:rPr>
          <w:rFonts w:cstheme="minorHAnsi"/>
        </w:rPr>
      </w:pPr>
    </w:p>
    <w:p w14:paraId="71639124" w14:textId="77777777" w:rsidR="004E6E26" w:rsidRPr="00D52088" w:rsidRDefault="004E6E26" w:rsidP="004E6E26">
      <w:pPr>
        <w:rPr>
          <w:rFonts w:ascii="Arial" w:hAnsi="Arial" w:cs="Arial"/>
        </w:rPr>
      </w:pPr>
      <w:r w:rsidRPr="00D52088">
        <w:rPr>
          <w:rFonts w:ascii="Arial" w:hAnsi="Arial" w:cs="Arial"/>
          <w:sz w:val="22"/>
        </w:rPr>
        <w:t>The position of the stagnation point is calculated using the following equation:</w:t>
      </w:r>
    </w:p>
    <w:p w14:paraId="13C40C37" w14:textId="77777777" w:rsidR="004E6E26" w:rsidRPr="00D753D7" w:rsidRDefault="00B97567" w:rsidP="004E6E2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63155074" w14:textId="77777777" w:rsidR="004E6E26" w:rsidRPr="00D52088" w:rsidRDefault="004E6E26" w:rsidP="004E6E26">
      <w:pPr>
        <w:rPr>
          <w:rFonts w:ascii="Arial" w:hAnsi="Arial" w:cs="Arial"/>
          <w:sz w:val="22"/>
        </w:rPr>
      </w:pPr>
      <w:r w:rsidRPr="00D52088">
        <w:rPr>
          <w:rFonts w:ascii="Arial" w:hAnsi="Arial" w:cs="Arial"/>
          <w:sz w:val="22"/>
        </w:rPr>
        <w:t>where:</w:t>
      </w:r>
    </w:p>
    <w:p w14:paraId="43BC4E01" w14:textId="77777777" w:rsidR="004E6E26" w:rsidRDefault="004E6E26" w:rsidP="004E6E26">
      <w:pPr>
        <w:rPr>
          <w:rFonts w:asciiTheme="majorHAnsi" w:hAnsiTheme="majorHAnsi" w:cstheme="majorHAnsi"/>
        </w:rPr>
      </w:pPr>
      <w:r>
        <w:rPr>
          <w:rFonts w:ascii="Cambria Math" w:hAnsi="Cambria Math"/>
          <w:i/>
        </w:rPr>
        <w:t>x</w:t>
      </w:r>
      <w:r>
        <w:rPr>
          <w:rFonts w:ascii="Cambria Math" w:hAnsi="Cambria Math"/>
          <w:i/>
          <w:vertAlign w:val="subscript"/>
        </w:rPr>
        <w:t>0</w:t>
      </w:r>
      <w:r>
        <w:rPr>
          <w:rFonts w:ascii="Cambria Math" w:hAnsi="Cambria Math"/>
          <w:i/>
        </w:rPr>
        <w:t xml:space="preserve"> </w:t>
      </w:r>
      <w:r w:rsidRPr="00D753D7">
        <w:rPr>
          <w:rFonts w:cstheme="minorHAnsi"/>
        </w:rPr>
        <w:t xml:space="preserve">= </w:t>
      </w:r>
      <w:r w:rsidRPr="00D52088">
        <w:rPr>
          <w:rFonts w:ascii="Arial" w:hAnsi="Arial" w:cs="Arial"/>
          <w:sz w:val="22"/>
        </w:rPr>
        <w:t>the stagnation point</w:t>
      </w:r>
    </w:p>
    <w:p w14:paraId="2A094A5E"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176AEFF"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012444FB" w14:textId="77777777" w:rsidR="004E6E26" w:rsidRPr="00D52088" w:rsidRDefault="004E6E26" w:rsidP="004E6E26">
      <w:pPr>
        <w:rPr>
          <w:rFonts w:ascii="Arial" w:hAnsi="Arial" w:cs="Arial"/>
          <w:sz w:val="22"/>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67770A94"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5CDDAED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rFonts w:ascii="Arial" w:hAnsi="Arial" w:cs="Arial"/>
          <w:sz w:val="22"/>
          <w:szCs w:val="22"/>
        </w:rPr>
        <w:t>the downgradient head</w:t>
      </w:r>
    </w:p>
    <w:p w14:paraId="026CCDF7" w14:textId="77777777" w:rsidR="004E6E26" w:rsidRDefault="004E6E26" w:rsidP="00F01FBC">
      <w:pPr>
        <w:pStyle w:val="H2bodytext"/>
      </w:pPr>
    </w:p>
    <w:p w14:paraId="1D926BD7" w14:textId="57B1D580" w:rsidR="00556DA7" w:rsidRDefault="004E6E26" w:rsidP="004E6E26">
      <w:pPr>
        <w:pStyle w:val="H2bodytext"/>
        <w:rPr>
          <w:rFonts w:cstheme="minorHAnsi"/>
        </w:rPr>
      </w:pPr>
      <w:r>
        <w:rPr>
          <w:rFonts w:cstheme="minorHAnsi"/>
        </w:rPr>
        <w:lastRenderedPageBreak/>
        <w:t>The values used to calculate the analytical solution are shown in Table 1.</w:t>
      </w:r>
      <w:r w:rsidR="00556DA7">
        <w:rPr>
          <w:rFonts w:cstheme="minorHAnsi"/>
        </w:rPr>
        <w:t xml:space="preserve"> The extraction rate (Q) used is a value similar to those use in remediation at the Hanford site, the hydraulic conductivity (K) falls within the range of the K seen in the Ringold Wooded Island Formation Member unit E </w:t>
      </w:r>
      <w:r w:rsidR="006F1B60">
        <w:rPr>
          <w:rFonts w:cstheme="minorHAnsi"/>
        </w:rPr>
        <w:t xml:space="preserve">(CP-47631, </w:t>
      </w:r>
      <w:r w:rsidR="006F1B60" w:rsidRPr="006F1B60">
        <w:rPr>
          <w:rFonts w:cstheme="minorHAnsi"/>
          <w:i/>
        </w:rPr>
        <w:t>Model Package Report: Central Plateau Groundwater Model</w:t>
      </w:r>
      <w:r w:rsidR="006F1B60">
        <w:rPr>
          <w:rFonts w:cstheme="minorHAnsi"/>
        </w:rPr>
        <w:t>)</w:t>
      </w:r>
      <w:r w:rsidR="00556DA7">
        <w:rPr>
          <w:rFonts w:cstheme="minorHAnsi"/>
        </w:rPr>
        <w:t xml:space="preserve">, and the gradient also falls within the range of gradients seen at the Hanford site </w:t>
      </w:r>
      <w:r w:rsidR="006F1B60">
        <w:rPr>
          <w:rFonts w:cstheme="minorHAnsi"/>
        </w:rPr>
        <w:t xml:space="preserve">(ECF-Hanford-17-0241, </w:t>
      </w:r>
      <w:r w:rsidR="006F1B60">
        <w:rPr>
          <w:rFonts w:cstheme="minorHAnsi"/>
          <w:i/>
        </w:rPr>
        <w:t>Hydraulic Gradient and Velocity Calculations for RCRA Sites in 2017</w:t>
      </w:r>
      <w:r w:rsidR="006F1B60">
        <w:rPr>
          <w:rFonts w:cstheme="minorHAnsi"/>
        </w:rPr>
        <w:t>)</w:t>
      </w:r>
      <w:r w:rsidR="00556DA7">
        <w:rPr>
          <w:rFonts w:cstheme="minorHAnsi"/>
        </w:rPr>
        <w:t>.</w:t>
      </w:r>
      <w:r>
        <w:rPr>
          <w:rFonts w:cstheme="minorHAnsi"/>
        </w:rPr>
        <w:t xml:space="preserve"> The MODFLOW model used the Q and K shown in Table 1.</w:t>
      </w:r>
      <w:r w:rsidR="00556DA7">
        <w:rPr>
          <w:rFonts w:cstheme="minorHAnsi"/>
        </w:rPr>
        <w:t xml:space="preserve"> </w:t>
      </w:r>
      <w:r>
        <w:rPr>
          <w:rFonts w:cstheme="minorHAnsi"/>
        </w:rPr>
        <w:t>The left and right constant head cell values were set to h</w:t>
      </w:r>
      <w:r>
        <w:rPr>
          <w:rFonts w:cstheme="minorHAnsi"/>
          <w:vertAlign w:val="subscript"/>
        </w:rPr>
        <w:t>1</w:t>
      </w:r>
      <w:r>
        <w:rPr>
          <w:rFonts w:cstheme="minorHAnsi"/>
        </w:rPr>
        <w:t xml:space="preserve"> and h</w:t>
      </w:r>
      <w:r>
        <w:rPr>
          <w:rFonts w:cstheme="minorHAnsi"/>
          <w:vertAlign w:val="subscript"/>
        </w:rPr>
        <w:t>2</w:t>
      </w:r>
      <w:r>
        <w:rPr>
          <w:rFonts w:cstheme="minorHAnsi"/>
        </w:rPr>
        <w:t xml:space="preserve">, respectively. The width of the model was set to </w:t>
      </w:r>
      <w:r w:rsidR="00556DA7">
        <w:rPr>
          <w:rFonts w:cstheme="minorHAnsi"/>
        </w:rPr>
        <w:t>8</w:t>
      </w:r>
      <w:r>
        <w:rPr>
          <w:rFonts w:cstheme="minorHAnsi"/>
        </w:rPr>
        <w:t>0,000 meters,</w:t>
      </w:r>
      <w:r w:rsidR="00556DA7">
        <w:rPr>
          <w:rFonts w:cstheme="minorHAnsi"/>
        </w:rPr>
        <w:t xml:space="preserve"> to get as close to an infinite aquifer as possible while avoiding overly long computational time</w:t>
      </w:r>
      <w:r>
        <w:rPr>
          <w:rFonts w:cstheme="minorHAnsi"/>
        </w:rPr>
        <w:t xml:space="preserve">. </w:t>
      </w:r>
    </w:p>
    <w:p w14:paraId="493244BB" w14:textId="6FE9BCF1" w:rsidR="006F1B60" w:rsidRDefault="006F1B60" w:rsidP="006F1B60">
      <w:pPr>
        <w:pStyle w:val="H2bodytext"/>
      </w:pPr>
      <w:r>
        <w:t>The python script which made the MODFLOW inputs and executed the MODFLOW simulations is [“S01_</w:t>
      </w:r>
      <w:r>
        <w:t>50_ft</w:t>
      </w:r>
      <w:r>
        <w:t xml:space="preserve">.py”]. </w:t>
      </w:r>
      <w:r w:rsidR="00DB4A36">
        <w:t xml:space="preserve">The python script which made the </w:t>
      </w:r>
      <w:r w:rsidR="00DB4A36">
        <w:t>MODPATH</w:t>
      </w:r>
      <w:r w:rsidR="00DB4A36">
        <w:t xml:space="preserve"> inputs and executed the </w:t>
      </w:r>
      <w:r w:rsidR="00DB4A36">
        <w:t>MODPATH</w:t>
      </w:r>
      <w:r w:rsidR="00DB4A36">
        <w:t xml:space="preserve"> simulations is [“S0</w:t>
      </w:r>
      <w:r w:rsidR="00DB4A36">
        <w:t>2</w:t>
      </w:r>
      <w:r w:rsidR="00DB4A36">
        <w:t>_50_ft</w:t>
      </w:r>
      <w:r w:rsidR="00DB4A36">
        <w:t>_mp</w:t>
      </w:r>
      <w:r w:rsidR="00DB4A36">
        <w:t xml:space="preserve">.py”]. </w:t>
      </w:r>
      <w:r w:rsidR="00DB4A36">
        <w:t>The script which executed the post-processing is [S03_pp_tc3.py</w:t>
      </w:r>
      <w:r>
        <w:t>].</w:t>
      </w:r>
      <w:r w:rsidRPr="00EB5C37">
        <w:t xml:space="preserve"> </w:t>
      </w:r>
      <w:r w:rsidR="00DB4A36">
        <w:t xml:space="preserve">The script fetter.py contains the functions which calculate the </w:t>
      </w:r>
      <w:proofErr w:type="spellStart"/>
      <w:r w:rsidR="00DB4A36" w:rsidRPr="00DB4A36">
        <w:t>y</w:t>
      </w:r>
      <w:r w:rsidR="00DB4A36" w:rsidRPr="00DB4A36">
        <w:rPr>
          <w:vertAlign w:val="subscript"/>
        </w:rPr>
        <w:t>max</w:t>
      </w:r>
      <w:proofErr w:type="spellEnd"/>
      <w:r w:rsidR="00DB4A36">
        <w:t xml:space="preserve"> and the </w:t>
      </w:r>
      <w:r w:rsidR="00DB4A36" w:rsidRPr="00DB4A36">
        <w:t>x</w:t>
      </w:r>
      <w:r w:rsidR="00DB4A36" w:rsidRPr="00DB4A36">
        <w:rPr>
          <w:vertAlign w:val="subscript"/>
        </w:rPr>
        <w:t>0</w:t>
      </w:r>
      <w:r w:rsidR="00DB4A36">
        <w:t xml:space="preserve">; this script is called during post-processing. </w:t>
      </w:r>
      <w:r w:rsidRPr="00DB4A36">
        <w:t>The</w:t>
      </w:r>
      <w:r>
        <w:t xml:space="preserve"> model files are stored in /workspace, and post-processed model results are stored in /output. Within /output, </w:t>
      </w:r>
      <w:r w:rsidR="00DB4A36">
        <w:t>there are two files: backwards.png and “percent_diff_ymax_xstag.csv”.</w:t>
      </w:r>
      <w:r>
        <w:t xml:space="preserve"> The file “</w:t>
      </w:r>
      <w:r w:rsidR="00DB4A36">
        <w:t>percent_diff_ymax_xstag.csv</w:t>
      </w:r>
      <w:r>
        <w:t>” contains the information used to determine the pass or fail status of the test.</w:t>
      </w:r>
      <w:bookmarkStart w:id="31" w:name="_GoBack"/>
      <w:bookmarkEnd w:id="31"/>
    </w:p>
    <w:p w14:paraId="5C58794C" w14:textId="77777777" w:rsidR="006F1B60" w:rsidRDefault="006F1B60" w:rsidP="004E6E26">
      <w:pPr>
        <w:pStyle w:val="H2bodytext"/>
        <w:rPr>
          <w:rFonts w:cstheme="minorHAnsi"/>
        </w:rPr>
      </w:pPr>
    </w:p>
    <w:p w14:paraId="18FBE383" w14:textId="77777777" w:rsidR="00427E19" w:rsidRPr="00E574A6" w:rsidRDefault="00427E19" w:rsidP="00427E19">
      <w:pPr>
        <w:rPr>
          <w:rFonts w:cstheme="minorHAnsi"/>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37DECAC6"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1253E758" w14:textId="77777777" w:rsidR="00427E19" w:rsidRPr="00F278DB" w:rsidRDefault="00427E19" w:rsidP="003F57F1">
            <w:pPr>
              <w:pStyle w:val="TableHead"/>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Model Properties Used in Analytical Solution</w:t>
            </w:r>
          </w:p>
        </w:tc>
      </w:tr>
      <w:tr w:rsidR="00427E19" w:rsidRPr="00F278DB" w14:paraId="54C17EB0"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7915E36B" w14:textId="77777777" w:rsidR="00427E19" w:rsidRPr="00F278DB" w:rsidRDefault="00427E19" w:rsidP="003F57F1">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57C289BD" w14:textId="77777777" w:rsidR="00427E19" w:rsidRPr="00F278DB" w:rsidRDefault="00427E19" w:rsidP="003F57F1">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5D2AF9E4" w14:textId="77777777" w:rsidR="00427E19" w:rsidRPr="00F278DB" w:rsidRDefault="00427E19" w:rsidP="003F57F1">
            <w:pPr>
              <w:pStyle w:val="TableHead"/>
            </w:pPr>
            <w:r w:rsidRPr="00F278DB">
              <w:t>Units</w:t>
            </w:r>
          </w:p>
        </w:tc>
      </w:tr>
      <w:tr w:rsidR="00427E19" w:rsidRPr="00F278DB" w14:paraId="7934CE06" w14:textId="77777777" w:rsidTr="003F57F1">
        <w:trPr>
          <w:trHeight w:val="291"/>
          <w:jc w:val="center"/>
        </w:trPr>
        <w:tc>
          <w:tcPr>
            <w:tcW w:w="2123" w:type="dxa"/>
            <w:shd w:val="clear" w:color="auto" w:fill="auto"/>
            <w:noWrap/>
            <w:vAlign w:val="bottom"/>
          </w:tcPr>
          <w:p w14:paraId="1E25FE21" w14:textId="77777777" w:rsidR="00427E19" w:rsidRPr="00F278DB" w:rsidRDefault="00427E19" w:rsidP="003F57F1">
            <w:pPr>
              <w:pStyle w:val="TableBody"/>
            </w:pPr>
            <w:r>
              <w:t>Extraction rate (Q)</w:t>
            </w:r>
          </w:p>
        </w:tc>
        <w:tc>
          <w:tcPr>
            <w:tcW w:w="1573" w:type="dxa"/>
            <w:shd w:val="clear" w:color="auto" w:fill="auto"/>
            <w:noWrap/>
            <w:vAlign w:val="bottom"/>
          </w:tcPr>
          <w:p w14:paraId="329309D0" w14:textId="0D02C4CC" w:rsidR="00427E19" w:rsidRPr="00F278DB" w:rsidRDefault="00682494" w:rsidP="003F57F1">
            <w:pPr>
              <w:pStyle w:val="TableBody"/>
              <w:jc w:val="center"/>
            </w:pPr>
            <w:r>
              <w:t>100 (19,455)</w:t>
            </w:r>
          </w:p>
        </w:tc>
        <w:tc>
          <w:tcPr>
            <w:tcW w:w="1665" w:type="dxa"/>
            <w:shd w:val="clear" w:color="auto" w:fill="auto"/>
            <w:noWrap/>
            <w:vAlign w:val="bottom"/>
          </w:tcPr>
          <w:p w14:paraId="4DEC3186" w14:textId="1D19C4F5" w:rsidR="00427E19" w:rsidRPr="00F278DB" w:rsidRDefault="00427E19" w:rsidP="003F57F1">
            <w:pPr>
              <w:pStyle w:val="TableBody"/>
              <w:jc w:val="center"/>
            </w:pPr>
            <w:r>
              <w:t>gal/min</w:t>
            </w:r>
            <w:r w:rsidR="00682494">
              <w:t xml:space="preserve"> (cubic feet/day)</w:t>
            </w:r>
          </w:p>
        </w:tc>
      </w:tr>
      <w:tr w:rsidR="00427E19" w:rsidRPr="00F278DB" w14:paraId="4A6CFF2F" w14:textId="77777777" w:rsidTr="003F57F1">
        <w:trPr>
          <w:trHeight w:val="291"/>
          <w:jc w:val="center"/>
        </w:trPr>
        <w:tc>
          <w:tcPr>
            <w:tcW w:w="2123" w:type="dxa"/>
            <w:shd w:val="clear" w:color="auto" w:fill="auto"/>
            <w:noWrap/>
            <w:vAlign w:val="bottom"/>
          </w:tcPr>
          <w:p w14:paraId="79D0AF0B" w14:textId="77777777" w:rsidR="00427E19" w:rsidRPr="00F278DB" w:rsidRDefault="00427E19" w:rsidP="003F57F1">
            <w:pPr>
              <w:pStyle w:val="TableBody"/>
            </w:pPr>
            <w:r w:rsidRPr="00F278DB">
              <w:t>Hydraulic conductivity</w:t>
            </w:r>
            <w:r>
              <w:t xml:space="preserve"> (K)</w:t>
            </w:r>
          </w:p>
        </w:tc>
        <w:tc>
          <w:tcPr>
            <w:tcW w:w="1573" w:type="dxa"/>
            <w:shd w:val="clear" w:color="auto" w:fill="auto"/>
            <w:noWrap/>
            <w:vAlign w:val="bottom"/>
          </w:tcPr>
          <w:p w14:paraId="55D8245E" w14:textId="00A59CD6" w:rsidR="00427E19" w:rsidRPr="00F278DB" w:rsidRDefault="00427E19" w:rsidP="003F57F1">
            <w:pPr>
              <w:pStyle w:val="TableBody"/>
              <w:jc w:val="center"/>
            </w:pPr>
            <w:r>
              <w:t>10</w:t>
            </w:r>
            <w:r w:rsidR="00682494">
              <w:t>00</w:t>
            </w:r>
          </w:p>
        </w:tc>
        <w:tc>
          <w:tcPr>
            <w:tcW w:w="1665" w:type="dxa"/>
            <w:shd w:val="clear" w:color="auto" w:fill="auto"/>
            <w:noWrap/>
            <w:vAlign w:val="bottom"/>
          </w:tcPr>
          <w:p w14:paraId="5FF80F3A" w14:textId="3300BF8A" w:rsidR="00427E19" w:rsidRPr="00F278DB" w:rsidRDefault="00682494" w:rsidP="003F57F1">
            <w:pPr>
              <w:pStyle w:val="TableBody"/>
              <w:jc w:val="center"/>
            </w:pPr>
            <w:r>
              <w:t>ft</w:t>
            </w:r>
            <w:r w:rsidR="00427E19">
              <w:t>/day</w:t>
            </w:r>
          </w:p>
        </w:tc>
      </w:tr>
      <w:tr w:rsidR="00427E19" w:rsidRPr="00F278DB" w14:paraId="37C6A632" w14:textId="77777777" w:rsidTr="003F57F1">
        <w:trPr>
          <w:trHeight w:val="291"/>
          <w:jc w:val="center"/>
        </w:trPr>
        <w:tc>
          <w:tcPr>
            <w:tcW w:w="2123" w:type="dxa"/>
            <w:shd w:val="clear" w:color="auto" w:fill="auto"/>
            <w:noWrap/>
            <w:vAlign w:val="bottom"/>
          </w:tcPr>
          <w:p w14:paraId="5286831E" w14:textId="77777777" w:rsidR="00427E19" w:rsidRDefault="00427E19" w:rsidP="003F57F1">
            <w:pPr>
              <w:pStyle w:val="TableBody"/>
            </w:pPr>
            <w:r>
              <w:t>h</w:t>
            </w:r>
            <w:r>
              <w:rPr>
                <w:vertAlign w:val="subscript"/>
              </w:rPr>
              <w:t>1</w:t>
            </w:r>
            <w:r>
              <w:t xml:space="preserve"> head</w:t>
            </w:r>
          </w:p>
        </w:tc>
        <w:tc>
          <w:tcPr>
            <w:tcW w:w="1573" w:type="dxa"/>
            <w:shd w:val="clear" w:color="auto" w:fill="auto"/>
            <w:noWrap/>
            <w:vAlign w:val="bottom"/>
          </w:tcPr>
          <w:p w14:paraId="0D60F5F6" w14:textId="77777777" w:rsidR="00427E19" w:rsidRDefault="00427E19" w:rsidP="003F57F1">
            <w:pPr>
              <w:pStyle w:val="TableBody"/>
              <w:jc w:val="center"/>
            </w:pPr>
            <w:r>
              <w:t>200</w:t>
            </w:r>
          </w:p>
        </w:tc>
        <w:tc>
          <w:tcPr>
            <w:tcW w:w="1665" w:type="dxa"/>
            <w:shd w:val="clear" w:color="auto" w:fill="auto"/>
            <w:noWrap/>
            <w:vAlign w:val="bottom"/>
          </w:tcPr>
          <w:p w14:paraId="5BC88C99" w14:textId="77777777" w:rsidR="00427E19" w:rsidRDefault="00427E19" w:rsidP="003F57F1">
            <w:pPr>
              <w:pStyle w:val="TableBody"/>
              <w:jc w:val="center"/>
            </w:pPr>
            <w:r>
              <w:t>ft</w:t>
            </w:r>
          </w:p>
        </w:tc>
      </w:tr>
      <w:tr w:rsidR="00427E19" w:rsidRPr="00F278DB" w14:paraId="4DFF4E86" w14:textId="77777777" w:rsidTr="003F57F1">
        <w:trPr>
          <w:trHeight w:val="291"/>
          <w:jc w:val="center"/>
        </w:trPr>
        <w:tc>
          <w:tcPr>
            <w:tcW w:w="2123" w:type="dxa"/>
            <w:shd w:val="clear" w:color="auto" w:fill="auto"/>
            <w:noWrap/>
            <w:vAlign w:val="bottom"/>
          </w:tcPr>
          <w:p w14:paraId="5AE2931F" w14:textId="77777777" w:rsidR="00427E19" w:rsidRDefault="00427E19" w:rsidP="003F57F1">
            <w:pPr>
              <w:pStyle w:val="TableBody"/>
            </w:pPr>
            <w:r>
              <w:t>h</w:t>
            </w:r>
            <w:r>
              <w:rPr>
                <w:vertAlign w:val="subscript"/>
              </w:rPr>
              <w:t>2</w:t>
            </w:r>
            <w:r>
              <w:t xml:space="preserve"> head</w:t>
            </w:r>
          </w:p>
        </w:tc>
        <w:tc>
          <w:tcPr>
            <w:tcW w:w="1573" w:type="dxa"/>
            <w:shd w:val="clear" w:color="auto" w:fill="auto"/>
            <w:noWrap/>
            <w:vAlign w:val="bottom"/>
          </w:tcPr>
          <w:p w14:paraId="4132E6A0" w14:textId="4F9CFABA" w:rsidR="00427E19" w:rsidRDefault="00682494" w:rsidP="003F57F1">
            <w:pPr>
              <w:pStyle w:val="TableBody"/>
              <w:jc w:val="center"/>
            </w:pPr>
            <w:r>
              <w:t>199.048</w:t>
            </w:r>
          </w:p>
        </w:tc>
        <w:tc>
          <w:tcPr>
            <w:tcW w:w="1665" w:type="dxa"/>
            <w:shd w:val="clear" w:color="auto" w:fill="auto"/>
            <w:noWrap/>
            <w:vAlign w:val="bottom"/>
          </w:tcPr>
          <w:p w14:paraId="58C66436" w14:textId="77777777" w:rsidR="00427E19" w:rsidRDefault="00427E19" w:rsidP="003F57F1">
            <w:pPr>
              <w:pStyle w:val="TableBody"/>
              <w:jc w:val="center"/>
            </w:pPr>
            <w:r>
              <w:t>ft</w:t>
            </w:r>
          </w:p>
        </w:tc>
      </w:tr>
      <w:tr w:rsidR="00427E19" w:rsidRPr="00F278DB" w14:paraId="05D3E1DF" w14:textId="77777777" w:rsidTr="003F57F1">
        <w:trPr>
          <w:trHeight w:val="291"/>
          <w:jc w:val="center"/>
        </w:trPr>
        <w:tc>
          <w:tcPr>
            <w:tcW w:w="2123" w:type="dxa"/>
            <w:shd w:val="clear" w:color="auto" w:fill="auto"/>
            <w:noWrap/>
            <w:vAlign w:val="bottom"/>
          </w:tcPr>
          <w:p w14:paraId="56743B87" w14:textId="77777777" w:rsidR="00427E19" w:rsidRDefault="00427E19" w:rsidP="003F57F1">
            <w:pPr>
              <w:pStyle w:val="TableBody"/>
            </w:pPr>
            <w:r>
              <w:t>Distance between h</w:t>
            </w:r>
            <w:r w:rsidRPr="00BE6ADC">
              <w:rPr>
                <w:vertAlign w:val="subscript"/>
              </w:rPr>
              <w:t>1</w:t>
            </w:r>
            <w:r>
              <w:t xml:space="preserve"> and h</w:t>
            </w:r>
            <w:r w:rsidRPr="00BE6ADC">
              <w:rPr>
                <w:vertAlign w:val="subscript"/>
              </w:rPr>
              <w:t>2</w:t>
            </w:r>
            <w:r>
              <w:t xml:space="preserve"> (L)</w:t>
            </w:r>
          </w:p>
        </w:tc>
        <w:tc>
          <w:tcPr>
            <w:tcW w:w="1573" w:type="dxa"/>
            <w:shd w:val="clear" w:color="auto" w:fill="auto"/>
            <w:noWrap/>
            <w:vAlign w:val="bottom"/>
          </w:tcPr>
          <w:p w14:paraId="441C8382" w14:textId="0889FD81" w:rsidR="00427E19" w:rsidRDefault="00556DA7" w:rsidP="003F57F1">
            <w:pPr>
              <w:pStyle w:val="TableBody"/>
              <w:jc w:val="center"/>
            </w:pPr>
            <w:r>
              <w:t>8</w:t>
            </w:r>
            <w:r w:rsidR="00427E19">
              <w:t>0,000</w:t>
            </w:r>
          </w:p>
        </w:tc>
        <w:tc>
          <w:tcPr>
            <w:tcW w:w="1665" w:type="dxa"/>
            <w:shd w:val="clear" w:color="auto" w:fill="auto"/>
            <w:noWrap/>
            <w:vAlign w:val="bottom"/>
          </w:tcPr>
          <w:p w14:paraId="14EDE76C" w14:textId="77777777" w:rsidR="00427E19" w:rsidRDefault="00427E19" w:rsidP="003F57F1">
            <w:pPr>
              <w:pStyle w:val="TableBody"/>
              <w:jc w:val="center"/>
            </w:pPr>
            <w:r>
              <w:t>ft</w:t>
            </w:r>
          </w:p>
        </w:tc>
      </w:tr>
    </w:tbl>
    <w:p w14:paraId="2C8CCE00" w14:textId="77777777" w:rsidR="00427E19" w:rsidRDefault="00427E19" w:rsidP="00427E19">
      <w:pPr>
        <w:pStyle w:val="Caption"/>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7838B6B2"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30C7B35D" w14:textId="77777777" w:rsidR="00427E19" w:rsidRPr="00905E0C" w:rsidRDefault="00427E19" w:rsidP="003F57F1">
            <w:pPr>
              <w:pStyle w:val="TableBody"/>
              <w:jc w:val="center"/>
              <w:rPr>
                <w:b/>
              </w:rPr>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Model Properties</w:t>
            </w:r>
          </w:p>
        </w:tc>
      </w:tr>
      <w:tr w:rsidR="00427E19" w:rsidRPr="00F278DB" w14:paraId="1143EBA7"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32C5C88B" w14:textId="77777777" w:rsidR="00427E19" w:rsidRPr="00905E0C" w:rsidRDefault="00427E19" w:rsidP="003F57F1">
            <w:pPr>
              <w:pStyle w:val="TableBody"/>
              <w:rPr>
                <w:b/>
              </w:rPr>
            </w:pPr>
            <w:r w:rsidRPr="00905E0C">
              <w:rPr>
                <w:b/>
              </w:rPr>
              <w:t>Variable name</w:t>
            </w:r>
          </w:p>
        </w:tc>
        <w:tc>
          <w:tcPr>
            <w:tcW w:w="1573" w:type="dxa"/>
            <w:tcBorders>
              <w:top w:val="single" w:sz="4" w:space="0" w:color="auto"/>
            </w:tcBorders>
            <w:shd w:val="clear" w:color="auto" w:fill="D9D9D9" w:themeFill="background1" w:themeFillShade="D9"/>
            <w:noWrap/>
            <w:vAlign w:val="bottom"/>
          </w:tcPr>
          <w:p w14:paraId="68AB5C54" w14:textId="77777777" w:rsidR="00427E19" w:rsidRPr="00905E0C" w:rsidRDefault="00427E19" w:rsidP="003F57F1">
            <w:pPr>
              <w:pStyle w:val="TableBody"/>
              <w:jc w:val="center"/>
              <w:rPr>
                <w:b/>
              </w:rPr>
            </w:pPr>
            <w:r w:rsidRPr="00905E0C">
              <w:rPr>
                <w:b/>
              </w:rPr>
              <w:t>Variable Value</w:t>
            </w:r>
          </w:p>
        </w:tc>
        <w:tc>
          <w:tcPr>
            <w:tcW w:w="1665" w:type="dxa"/>
            <w:tcBorders>
              <w:top w:val="single" w:sz="4" w:space="0" w:color="auto"/>
            </w:tcBorders>
            <w:shd w:val="clear" w:color="auto" w:fill="D9D9D9" w:themeFill="background1" w:themeFillShade="D9"/>
            <w:noWrap/>
            <w:vAlign w:val="bottom"/>
          </w:tcPr>
          <w:p w14:paraId="1101E892" w14:textId="77777777" w:rsidR="00427E19" w:rsidRPr="00905E0C" w:rsidRDefault="00427E19" w:rsidP="003F57F1">
            <w:pPr>
              <w:pStyle w:val="TableBody"/>
              <w:jc w:val="center"/>
              <w:rPr>
                <w:b/>
              </w:rPr>
            </w:pPr>
            <w:r w:rsidRPr="00905E0C">
              <w:rPr>
                <w:b/>
              </w:rPr>
              <w:t>Units</w:t>
            </w:r>
          </w:p>
        </w:tc>
      </w:tr>
      <w:tr w:rsidR="00427E19" w:rsidRPr="00F278DB" w14:paraId="73E142DE" w14:textId="77777777" w:rsidTr="003F57F1">
        <w:trPr>
          <w:trHeight w:val="291"/>
          <w:jc w:val="center"/>
        </w:trPr>
        <w:tc>
          <w:tcPr>
            <w:tcW w:w="2123" w:type="dxa"/>
            <w:shd w:val="clear" w:color="auto" w:fill="auto"/>
            <w:noWrap/>
            <w:vAlign w:val="bottom"/>
          </w:tcPr>
          <w:p w14:paraId="75B42B80" w14:textId="77777777" w:rsidR="00427E19" w:rsidRDefault="00427E19" w:rsidP="003F57F1">
            <w:pPr>
              <w:pStyle w:val="TableBody"/>
            </w:pPr>
            <w:r>
              <w:t>Pumping well location</w:t>
            </w:r>
          </w:p>
        </w:tc>
        <w:tc>
          <w:tcPr>
            <w:tcW w:w="1573" w:type="dxa"/>
            <w:shd w:val="clear" w:color="auto" w:fill="auto"/>
            <w:noWrap/>
            <w:vAlign w:val="bottom"/>
          </w:tcPr>
          <w:p w14:paraId="1BF5B26E" w14:textId="0125DC40" w:rsidR="00427E19" w:rsidRDefault="00427E19" w:rsidP="003F57F1">
            <w:pPr>
              <w:pStyle w:val="TableBody"/>
              <w:jc w:val="center"/>
            </w:pPr>
            <w:r>
              <w:t xml:space="preserve">Row </w:t>
            </w:r>
            <w:r w:rsidR="00682494">
              <w:t>4</w:t>
            </w:r>
            <w:r>
              <w:t xml:space="preserve">01, column </w:t>
            </w:r>
            <w:r w:rsidR="00682494">
              <w:t>1067</w:t>
            </w:r>
          </w:p>
        </w:tc>
        <w:tc>
          <w:tcPr>
            <w:tcW w:w="1665" w:type="dxa"/>
            <w:shd w:val="clear" w:color="auto" w:fill="auto"/>
            <w:noWrap/>
            <w:vAlign w:val="bottom"/>
          </w:tcPr>
          <w:p w14:paraId="3BCAF336" w14:textId="77777777" w:rsidR="00427E19" w:rsidRDefault="00427E19" w:rsidP="003F57F1">
            <w:pPr>
              <w:pStyle w:val="TableBody"/>
              <w:jc w:val="center"/>
            </w:pPr>
            <w:r>
              <w:t>N/A</w:t>
            </w:r>
          </w:p>
        </w:tc>
      </w:tr>
      <w:tr w:rsidR="00427E19" w:rsidRPr="00F278DB" w14:paraId="21A5D367" w14:textId="77777777" w:rsidTr="003F57F1">
        <w:trPr>
          <w:trHeight w:val="291"/>
          <w:jc w:val="center"/>
        </w:trPr>
        <w:tc>
          <w:tcPr>
            <w:tcW w:w="2123" w:type="dxa"/>
            <w:shd w:val="clear" w:color="auto" w:fill="auto"/>
            <w:noWrap/>
            <w:vAlign w:val="bottom"/>
          </w:tcPr>
          <w:p w14:paraId="23CF4034" w14:textId="77777777" w:rsidR="00427E19" w:rsidRPr="00F278DB" w:rsidRDefault="00427E19" w:rsidP="003F57F1">
            <w:pPr>
              <w:pStyle w:val="TableBody"/>
            </w:pPr>
            <w:r w:rsidRPr="00F278DB">
              <w:lastRenderedPageBreak/>
              <w:t>Porosity</w:t>
            </w:r>
          </w:p>
        </w:tc>
        <w:tc>
          <w:tcPr>
            <w:tcW w:w="1573" w:type="dxa"/>
            <w:shd w:val="clear" w:color="auto" w:fill="auto"/>
            <w:noWrap/>
            <w:vAlign w:val="bottom"/>
          </w:tcPr>
          <w:p w14:paraId="60DEC09D" w14:textId="77777777" w:rsidR="00427E19" w:rsidRPr="00F278DB" w:rsidRDefault="00427E19" w:rsidP="003F57F1">
            <w:pPr>
              <w:pStyle w:val="TableBody"/>
              <w:jc w:val="center"/>
            </w:pPr>
            <w:r>
              <w:t>0.3</w:t>
            </w:r>
          </w:p>
        </w:tc>
        <w:tc>
          <w:tcPr>
            <w:tcW w:w="1665" w:type="dxa"/>
            <w:shd w:val="clear" w:color="auto" w:fill="auto"/>
            <w:noWrap/>
            <w:vAlign w:val="bottom"/>
          </w:tcPr>
          <w:p w14:paraId="5C9029F0" w14:textId="77777777" w:rsidR="00427E19" w:rsidRPr="00F278DB" w:rsidRDefault="00427E19" w:rsidP="003F57F1">
            <w:pPr>
              <w:pStyle w:val="TableBody"/>
              <w:jc w:val="center"/>
            </w:pPr>
            <w:r w:rsidRPr="00F278DB">
              <w:t>N/A</w:t>
            </w:r>
          </w:p>
        </w:tc>
      </w:tr>
      <w:tr w:rsidR="00427E19" w:rsidRPr="00F278DB" w14:paraId="578763EE" w14:textId="77777777" w:rsidTr="003F57F1">
        <w:trPr>
          <w:trHeight w:val="291"/>
          <w:jc w:val="center"/>
        </w:trPr>
        <w:tc>
          <w:tcPr>
            <w:tcW w:w="2123" w:type="dxa"/>
            <w:shd w:val="clear" w:color="auto" w:fill="auto"/>
            <w:noWrap/>
            <w:vAlign w:val="bottom"/>
          </w:tcPr>
          <w:p w14:paraId="71ABC984" w14:textId="77777777" w:rsidR="00427E19" w:rsidRPr="00F278DB" w:rsidRDefault="00427E19" w:rsidP="003F57F1">
            <w:pPr>
              <w:pStyle w:val="TableBody"/>
            </w:pPr>
            <w:r w:rsidRPr="00F278DB">
              <w:t>Constant head</w:t>
            </w:r>
            <w:r>
              <w:t xml:space="preserve"> (left)</w:t>
            </w:r>
          </w:p>
        </w:tc>
        <w:tc>
          <w:tcPr>
            <w:tcW w:w="1573" w:type="dxa"/>
            <w:shd w:val="clear" w:color="auto" w:fill="auto"/>
            <w:noWrap/>
            <w:vAlign w:val="bottom"/>
          </w:tcPr>
          <w:p w14:paraId="665EC882" w14:textId="77777777" w:rsidR="00427E19" w:rsidRPr="00F278DB" w:rsidRDefault="00427E19" w:rsidP="003F57F1">
            <w:pPr>
              <w:pStyle w:val="TableBody"/>
              <w:jc w:val="center"/>
            </w:pPr>
            <w:r>
              <w:t>200</w:t>
            </w:r>
          </w:p>
        </w:tc>
        <w:tc>
          <w:tcPr>
            <w:tcW w:w="1665" w:type="dxa"/>
            <w:shd w:val="clear" w:color="auto" w:fill="auto"/>
            <w:noWrap/>
            <w:vAlign w:val="bottom"/>
          </w:tcPr>
          <w:p w14:paraId="5D3F114B" w14:textId="77777777" w:rsidR="00427E19" w:rsidRPr="00F278DB" w:rsidRDefault="00427E19" w:rsidP="003F57F1">
            <w:pPr>
              <w:pStyle w:val="TableBody"/>
              <w:jc w:val="center"/>
            </w:pPr>
            <w:r>
              <w:t>ft</w:t>
            </w:r>
          </w:p>
        </w:tc>
      </w:tr>
      <w:tr w:rsidR="00427E19" w:rsidRPr="00F278DB" w14:paraId="20ED581F" w14:textId="77777777" w:rsidTr="003F57F1">
        <w:trPr>
          <w:trHeight w:val="291"/>
          <w:jc w:val="center"/>
        </w:trPr>
        <w:tc>
          <w:tcPr>
            <w:tcW w:w="2123" w:type="dxa"/>
            <w:shd w:val="clear" w:color="auto" w:fill="auto"/>
            <w:noWrap/>
            <w:vAlign w:val="bottom"/>
          </w:tcPr>
          <w:p w14:paraId="00117AB4" w14:textId="77777777" w:rsidR="00427E19" w:rsidRPr="00F278DB" w:rsidRDefault="00427E19" w:rsidP="003F57F1">
            <w:pPr>
              <w:pStyle w:val="TableBody"/>
            </w:pPr>
            <w:r>
              <w:t>Constant head (right)</w:t>
            </w:r>
          </w:p>
        </w:tc>
        <w:tc>
          <w:tcPr>
            <w:tcW w:w="1573" w:type="dxa"/>
            <w:shd w:val="clear" w:color="auto" w:fill="auto"/>
            <w:noWrap/>
            <w:vAlign w:val="bottom"/>
          </w:tcPr>
          <w:p w14:paraId="399D0BAE" w14:textId="77777777" w:rsidR="00427E19" w:rsidRDefault="00427E19" w:rsidP="003F57F1">
            <w:pPr>
              <w:pStyle w:val="TableBody"/>
              <w:jc w:val="center"/>
            </w:pPr>
            <w:r>
              <w:t>167.35</w:t>
            </w:r>
          </w:p>
        </w:tc>
        <w:tc>
          <w:tcPr>
            <w:tcW w:w="1665" w:type="dxa"/>
            <w:shd w:val="clear" w:color="auto" w:fill="auto"/>
            <w:noWrap/>
            <w:vAlign w:val="bottom"/>
          </w:tcPr>
          <w:p w14:paraId="58D5E635" w14:textId="77777777" w:rsidR="00427E19" w:rsidRDefault="00427E19" w:rsidP="003F57F1">
            <w:pPr>
              <w:pStyle w:val="TableBody"/>
              <w:jc w:val="center"/>
            </w:pPr>
            <w:r>
              <w:t>ft</w:t>
            </w:r>
          </w:p>
        </w:tc>
      </w:tr>
      <w:tr w:rsidR="00427E19" w14:paraId="19C7C37F" w14:textId="77777777" w:rsidTr="003F57F1">
        <w:trPr>
          <w:trHeight w:val="291"/>
          <w:jc w:val="center"/>
        </w:trPr>
        <w:tc>
          <w:tcPr>
            <w:tcW w:w="2123" w:type="dxa"/>
            <w:shd w:val="clear" w:color="auto" w:fill="auto"/>
            <w:noWrap/>
            <w:vAlign w:val="bottom"/>
          </w:tcPr>
          <w:p w14:paraId="4C5A6112" w14:textId="77777777" w:rsidR="00427E19" w:rsidRPr="00F278DB" w:rsidRDefault="00427E19" w:rsidP="003F57F1">
            <w:pPr>
              <w:pStyle w:val="TableBody"/>
            </w:pPr>
            <w:r w:rsidRPr="00F278DB">
              <w:t>Number of layers</w:t>
            </w:r>
          </w:p>
        </w:tc>
        <w:tc>
          <w:tcPr>
            <w:tcW w:w="1573" w:type="dxa"/>
            <w:shd w:val="clear" w:color="auto" w:fill="auto"/>
            <w:noWrap/>
            <w:vAlign w:val="bottom"/>
          </w:tcPr>
          <w:p w14:paraId="424AD824" w14:textId="77777777" w:rsidR="00427E19" w:rsidRPr="00F278DB" w:rsidRDefault="00427E19" w:rsidP="003F57F1">
            <w:pPr>
              <w:pStyle w:val="TableBody"/>
              <w:jc w:val="center"/>
            </w:pPr>
            <w:r w:rsidRPr="00F278DB">
              <w:t>1</w:t>
            </w:r>
          </w:p>
        </w:tc>
        <w:tc>
          <w:tcPr>
            <w:tcW w:w="1665" w:type="dxa"/>
            <w:shd w:val="clear" w:color="auto" w:fill="auto"/>
            <w:noWrap/>
            <w:vAlign w:val="bottom"/>
          </w:tcPr>
          <w:p w14:paraId="4C52A66F" w14:textId="77777777" w:rsidR="00427E19" w:rsidRPr="00F278DB" w:rsidRDefault="00427E19" w:rsidP="003F57F1">
            <w:pPr>
              <w:pStyle w:val="TableBody"/>
              <w:jc w:val="center"/>
            </w:pPr>
            <w:r w:rsidRPr="00F278DB">
              <w:t>N/A</w:t>
            </w:r>
          </w:p>
        </w:tc>
      </w:tr>
      <w:tr w:rsidR="00427E19" w:rsidRPr="00F278DB" w14:paraId="0B1C6126" w14:textId="77777777" w:rsidTr="003F57F1">
        <w:trPr>
          <w:trHeight w:val="291"/>
          <w:jc w:val="center"/>
        </w:trPr>
        <w:tc>
          <w:tcPr>
            <w:tcW w:w="2123" w:type="dxa"/>
            <w:shd w:val="clear" w:color="auto" w:fill="auto"/>
            <w:noWrap/>
            <w:vAlign w:val="bottom"/>
          </w:tcPr>
          <w:p w14:paraId="1FA3AA71" w14:textId="77777777" w:rsidR="00427E19" w:rsidRPr="00F278DB" w:rsidRDefault="00427E19" w:rsidP="003F57F1">
            <w:pPr>
              <w:pStyle w:val="TableBody"/>
            </w:pPr>
            <w:r w:rsidRPr="00F278DB">
              <w:t>Starting head</w:t>
            </w:r>
          </w:p>
        </w:tc>
        <w:tc>
          <w:tcPr>
            <w:tcW w:w="1573" w:type="dxa"/>
            <w:shd w:val="clear" w:color="auto" w:fill="auto"/>
            <w:noWrap/>
            <w:vAlign w:val="bottom"/>
          </w:tcPr>
          <w:p w14:paraId="64CE7994" w14:textId="77777777" w:rsidR="00427E19" w:rsidRPr="00F278DB" w:rsidRDefault="00427E19" w:rsidP="003F57F1">
            <w:pPr>
              <w:pStyle w:val="TableBody"/>
              <w:jc w:val="center"/>
            </w:pPr>
            <w:r>
              <w:t>200</w:t>
            </w:r>
          </w:p>
        </w:tc>
        <w:tc>
          <w:tcPr>
            <w:tcW w:w="1665" w:type="dxa"/>
            <w:shd w:val="clear" w:color="auto" w:fill="auto"/>
            <w:noWrap/>
            <w:vAlign w:val="bottom"/>
          </w:tcPr>
          <w:p w14:paraId="601B1C5F" w14:textId="77777777" w:rsidR="00427E19" w:rsidRPr="00F278DB" w:rsidRDefault="00427E19" w:rsidP="003F57F1">
            <w:pPr>
              <w:pStyle w:val="TableBody"/>
              <w:jc w:val="center"/>
            </w:pPr>
            <w:r>
              <w:t>ft</w:t>
            </w:r>
          </w:p>
        </w:tc>
      </w:tr>
    </w:tbl>
    <w:p w14:paraId="61E22A83" w14:textId="1D9274D6" w:rsidR="004E6E26" w:rsidRDefault="004E6E26" w:rsidP="00427E19">
      <w:pPr>
        <w:pStyle w:val="H2bodytext"/>
        <w:ind w:left="0"/>
      </w:pPr>
    </w:p>
    <w:p w14:paraId="6C2F60C8" w14:textId="0625DF02" w:rsidR="00682494" w:rsidRDefault="00682494" w:rsidP="00F35CF7">
      <w:pPr>
        <w:pStyle w:val="H2bodytext"/>
      </w:pPr>
      <w:r>
        <w:rPr>
          <w:rFonts w:cstheme="minorHAnsi"/>
        </w:rPr>
        <w:t>Reverse particle tracking was chosen to evaluate the capture zone shape. Two particles were seeded at the right boundary of the well cell, one at 49.9% and one at 50.1% of the cell length in the y direction. This was done to get the particle tracks of the maximum outer boundary of the capture zone as mappable using reverse particle tracking. In the z direction, the particles were both seeded at 50% of the cell height.</w:t>
      </w:r>
    </w:p>
    <w:p w14:paraId="504C1989" w14:textId="73CD32A5" w:rsidR="00427E19" w:rsidRDefault="00427E19" w:rsidP="00F35CF7">
      <w:pPr>
        <w:pStyle w:val="H2bodytext"/>
      </w:pPr>
      <w:r>
        <w:t xml:space="preserve">The </w:t>
      </w:r>
      <w:proofErr w:type="spellStart"/>
      <w:r>
        <w:t>y</w:t>
      </w:r>
      <w:r>
        <w:rPr>
          <w:vertAlign w:val="subscript"/>
        </w:rPr>
        <w:t>max</w:t>
      </w:r>
      <w:proofErr w:type="spellEnd"/>
      <w:r>
        <w:t xml:space="preserve"> and x</w:t>
      </w:r>
      <w:r>
        <w:rPr>
          <w:vertAlign w:val="subscript"/>
        </w:rPr>
        <w:t>0</w:t>
      </w:r>
      <w:r>
        <w:t xml:space="preserve"> values</w:t>
      </w:r>
      <w:r w:rsidR="00F35CF7">
        <w:t xml:space="preserve"> of the capture zone created by the MODPATH particle tracks</w:t>
      </w:r>
      <w:r>
        <w:t xml:space="preserve"> were checked using a python script, </w:t>
      </w:r>
      <w:r w:rsidR="00F35CF7">
        <w:t>S03_</w:t>
      </w:r>
      <w:r>
        <w:t xml:space="preserve">ymax_and_stagnation_point.py. To evaluate </w:t>
      </w:r>
      <w:proofErr w:type="spellStart"/>
      <w:r>
        <w:t>y</w:t>
      </w:r>
      <w:r w:rsidRPr="00381347">
        <w:rPr>
          <w:vertAlign w:val="subscript"/>
        </w:rPr>
        <w:t>max</w:t>
      </w:r>
      <w:proofErr w:type="spellEnd"/>
      <w:r>
        <w:t xml:space="preserve">, this script retrieved the </w:t>
      </w:r>
      <w:r w:rsidR="00F35CF7">
        <w:t>f</w:t>
      </w:r>
      <w:commentRangeStart w:id="32"/>
      <w:r w:rsidR="00F35CF7">
        <w:t xml:space="preserve">inal </w:t>
      </w:r>
      <w:r>
        <w:t>global Y value from the endpoint file</w:t>
      </w:r>
      <w:commentRangeEnd w:id="32"/>
      <w:r w:rsidR="00B97567">
        <w:rPr>
          <w:rStyle w:val="CommentReference"/>
          <w:rFonts w:ascii="Times New Roman" w:hAnsi="Times New Roman"/>
        </w:rPr>
        <w:commentReference w:id="32"/>
      </w:r>
      <w:r>
        <w:t xml:space="preserve">. After subtracting the y value for the midpoint of the well cell, the percent difference from the analytical </w:t>
      </w:r>
      <w:proofErr w:type="spellStart"/>
      <w:r>
        <w:t>y</w:t>
      </w:r>
      <w:r w:rsidRPr="00381347">
        <w:rPr>
          <w:vertAlign w:val="subscript"/>
        </w:rPr>
        <w:t>max</w:t>
      </w:r>
      <w:proofErr w:type="spellEnd"/>
      <w:r>
        <w:t xml:space="preserve"> was calculated. The x</w:t>
      </w:r>
      <w:r>
        <w:rPr>
          <w:vertAlign w:val="subscript"/>
        </w:rPr>
        <w:t>0</w:t>
      </w:r>
      <w:r>
        <w:t xml:space="preserve"> was calculated in a similar manner: the script retrieved the maximum global X from the pathline file and calculated the percent difference from the analytical x</w:t>
      </w:r>
      <w:r>
        <w:rPr>
          <w:vertAlign w:val="subscript"/>
        </w:rPr>
        <w:t>0</w:t>
      </w:r>
      <w:r>
        <w:t>.</w:t>
      </w:r>
    </w:p>
    <w:p w14:paraId="1D2C6D74" w14:textId="2EB80584" w:rsidR="00F35CF7" w:rsidRDefault="00F35CF7" w:rsidP="00F35CF7">
      <w:pPr>
        <w:pStyle w:val="H2bodytext"/>
      </w:pPr>
      <w:r>
        <w:t xml:space="preserve">One source of error in this test case is that the maximum y extent on the southern particle track is slightly less than the maximum y extent on the northern particle track. </w:t>
      </w:r>
    </w:p>
    <w:p w14:paraId="7C7B4554" w14:textId="599068D0" w:rsidR="00F01FBC" w:rsidRDefault="00F35CF7" w:rsidP="00B97567">
      <w:pPr>
        <w:pStyle w:val="H2bodytext"/>
      </w:pPr>
      <w:r>
        <w:rPr>
          <w:rFonts w:cstheme="minorHAnsi"/>
        </w:rPr>
        <w:t xml:space="preserve">The analytical </w:t>
      </w:r>
      <w:proofErr w:type="spellStart"/>
      <w:r w:rsidRPr="00E574A6">
        <w:rPr>
          <w:rFonts w:cstheme="minorHAnsi"/>
        </w:rPr>
        <w:t>y</w:t>
      </w:r>
      <w:r w:rsidRPr="00E574A6">
        <w:rPr>
          <w:rFonts w:cstheme="minorHAnsi"/>
          <w:vertAlign w:val="subscript"/>
        </w:rPr>
        <w:t>max</w:t>
      </w:r>
      <w:proofErr w:type="spellEnd"/>
      <w:r w:rsidRPr="00E574A6">
        <w:rPr>
          <w:rFonts w:cstheme="minorHAnsi"/>
        </w:rPr>
        <w:t xml:space="preserve"> </w:t>
      </w:r>
      <w:r>
        <w:rPr>
          <w:rFonts w:cstheme="minorHAnsi"/>
        </w:rPr>
        <w:t>is calculated to be 4,054 feet, and x</w:t>
      </w:r>
      <w:r>
        <w:rPr>
          <w:rFonts w:cstheme="minorHAnsi"/>
          <w:vertAlign w:val="subscript"/>
        </w:rPr>
        <w:t>0</w:t>
      </w:r>
      <w:r>
        <w:rPr>
          <w:rFonts w:cstheme="minorHAnsi"/>
        </w:rPr>
        <w:t xml:space="preserve"> is calculated to be 1,290 feet. </w:t>
      </w:r>
      <w:r>
        <w:t>The acceptance criteria for this test are that the MODPATH pathlines be within [10?] % of the analytical results.</w:t>
      </w:r>
      <w:r w:rsidRPr="0072186D">
        <w:t xml:space="preserve"> </w:t>
      </w:r>
      <w:r w:rsidR="00B97567">
        <w:t>[The results are stored [here]].</w:t>
      </w:r>
    </w:p>
    <w:p w14:paraId="6BD01A4C" w14:textId="77777777" w:rsidR="00B97567" w:rsidRDefault="00B97567" w:rsidP="00B97567">
      <w:pPr>
        <w:pStyle w:val="Heading1"/>
        <w:spacing w:before="480"/>
        <w:rPr>
          <w:rFonts w:ascii="Arial" w:hAnsi="Arial"/>
        </w:rPr>
      </w:pPr>
      <w:r>
        <w:rPr>
          <w:rFonts w:ascii="Arial" w:hAnsi="Arial"/>
        </w:rPr>
        <w:t>OPERATIONAL TESTING</w:t>
      </w:r>
    </w:p>
    <w:p w14:paraId="298DD643" w14:textId="77777777" w:rsidR="00B97567" w:rsidRDefault="00B97567" w:rsidP="00B97567">
      <w:pPr>
        <w:pStyle w:val="H1bodytext"/>
      </w:pPr>
      <w:r>
        <w:t>The MODFLOW and MT3DMS software will be subjected to operational periodic testing under a graded approach. It is recognized that computational software of this type will only change in performance under three possible conditions:</w:t>
      </w:r>
    </w:p>
    <w:p w14:paraId="41619D89" w14:textId="77777777" w:rsidR="00B97567" w:rsidRDefault="00B97567" w:rsidP="00B97567">
      <w:pPr>
        <w:pStyle w:val="H1bodytext"/>
        <w:numPr>
          <w:ilvl w:val="0"/>
          <w:numId w:val="14"/>
        </w:numPr>
      </w:pPr>
      <w:r>
        <w:t>hardware change</w:t>
      </w:r>
    </w:p>
    <w:p w14:paraId="58E55866" w14:textId="77777777" w:rsidR="00B97567" w:rsidRDefault="00B97567" w:rsidP="00B97567">
      <w:pPr>
        <w:pStyle w:val="H1bodytext"/>
        <w:numPr>
          <w:ilvl w:val="0"/>
          <w:numId w:val="14"/>
        </w:numPr>
      </w:pPr>
      <w:r>
        <w:t>computational software change</w:t>
      </w:r>
    </w:p>
    <w:p w14:paraId="717D33C4" w14:textId="77777777" w:rsidR="00B97567" w:rsidRDefault="00B97567" w:rsidP="00B97567">
      <w:pPr>
        <w:pStyle w:val="H1bodytext"/>
        <w:numPr>
          <w:ilvl w:val="0"/>
          <w:numId w:val="14"/>
        </w:numPr>
      </w:pPr>
      <w:r>
        <w:t>operating system (environment) change</w:t>
      </w:r>
    </w:p>
    <w:p w14:paraId="6B37E9ED" w14:textId="12D12B6D" w:rsidR="00B97567" w:rsidRDefault="00B97567" w:rsidP="00B97567">
      <w:pPr>
        <w:pStyle w:val="H1bodytext"/>
      </w:pPr>
      <w:r>
        <w:lastRenderedPageBreak/>
        <w:t xml:space="preserve">The first type of change (in hosting hardware) is already addressed through the requirement for software installation and checkout (Section </w:t>
      </w:r>
      <w:r>
        <w:fldChar w:fldCharType="begin"/>
      </w:r>
      <w:r>
        <w:instrText xml:space="preserve"> REF _Ref239754187 \r \h </w:instrText>
      </w:r>
      <w:r>
        <w:fldChar w:fldCharType="separate"/>
      </w:r>
      <w:r>
        <w:t>3.3</w:t>
      </w:r>
      <w:r>
        <w:fldChar w:fldCharType="end"/>
      </w:r>
      <w:r>
        <w:t xml:space="preserve">, </w:t>
      </w:r>
      <w:r>
        <w:fldChar w:fldCharType="begin"/>
      </w:r>
      <w:r>
        <w:instrText xml:space="preserve"> REF _Ref239754187 \h </w:instrText>
      </w:r>
      <w:r>
        <w:fldChar w:fldCharType="separate"/>
      </w:r>
      <w:r>
        <w:t>Test Cases</w:t>
      </w:r>
      <w:r>
        <w:fldChar w:fldCharType="end"/>
      </w:r>
      <w:r>
        <w:t>) which must be repeated to qualify any new installation of the software on new hardware.</w:t>
      </w:r>
    </w:p>
    <w:p w14:paraId="5B160F86" w14:textId="77777777" w:rsidR="00B97567" w:rsidRDefault="00B97567" w:rsidP="00B97567">
      <w:pPr>
        <w:pStyle w:val="H1bodytext"/>
      </w:pPr>
      <w:r>
        <w:t>The second type of change (in the computational software itself) is already addressed by the requirement to perform all of the acceptance tests provided in this test plan, issue a revision to the software acceptance test report to document the results of this testing, and promote the new version to production use.</w:t>
      </w:r>
    </w:p>
    <w:p w14:paraId="785E6D34" w14:textId="77777777" w:rsidR="00B97567" w:rsidRDefault="00B97567" w:rsidP="00B97567">
      <w:pPr>
        <w:pStyle w:val="H1bodytext"/>
      </w:pPr>
      <w:r>
        <w:t>The third type of change represents the one condition that must be monitored by users. Here, even patches to the operating system constitute a change to the configuration of the operating system. Accordingly, users are required to re-test their installation using Test Cases MF-ITC-1 and MT-ITC-1 before use for decision-informing calculations if their operating system configuration has changed since the last installation test was checked. Performance of this operational testing is assigned to software users for single-user systems (e.g., Windows™ workstations that are subject to frequently, even weekly, operating system patches), but will be performed by the software owner or designee for multi-user operating systems (e.g., Linux™ cluster systems that require only infrequent patches with advance notice by system administrators).</w:t>
      </w:r>
    </w:p>
    <w:p w14:paraId="2B5C6666" w14:textId="77777777" w:rsidR="00B97567" w:rsidRDefault="00B97567" w:rsidP="00B97567">
      <w:pPr>
        <w:pStyle w:val="Heading1"/>
        <w:spacing w:before="480"/>
        <w:rPr>
          <w:rFonts w:ascii="Arial" w:hAnsi="Arial"/>
        </w:rPr>
      </w:pPr>
      <w:r>
        <w:rPr>
          <w:rFonts w:ascii="Arial" w:hAnsi="Arial"/>
        </w:rPr>
        <w:t xml:space="preserve">REFERENCES </w:t>
      </w:r>
    </w:p>
    <w:p w14:paraId="415F5E0D" w14:textId="323D10F0" w:rsidR="004E6E26" w:rsidRDefault="006F1B60" w:rsidP="00F01FBC">
      <w:pPr>
        <w:pStyle w:val="H2bodytext"/>
        <w:rPr>
          <w:rFonts w:cstheme="minorHAnsi"/>
          <w:i/>
        </w:rPr>
      </w:pPr>
      <w:r>
        <w:rPr>
          <w:rFonts w:cstheme="minorHAnsi"/>
        </w:rPr>
        <w:t xml:space="preserve">CP-47631, </w:t>
      </w:r>
      <w:r w:rsidRPr="006F1B60">
        <w:rPr>
          <w:rFonts w:cstheme="minorHAnsi"/>
          <w:i/>
        </w:rPr>
        <w:t>Model Package Report: Central Plateau Groundwater Model</w:t>
      </w:r>
    </w:p>
    <w:p w14:paraId="6BBF8A3F" w14:textId="40DCB4D6" w:rsidR="006F1B60" w:rsidRDefault="006F1B60" w:rsidP="00F01FBC">
      <w:pPr>
        <w:pStyle w:val="H2bodytext"/>
      </w:pPr>
      <w:r>
        <w:rPr>
          <w:rFonts w:cstheme="minorHAnsi"/>
        </w:rPr>
        <w:t xml:space="preserve">ECF-Hanford-17-0241, </w:t>
      </w:r>
      <w:r>
        <w:rPr>
          <w:rFonts w:cstheme="minorHAnsi"/>
          <w:i/>
        </w:rPr>
        <w:t>Hydraulic Gradient and Velocity Calculations for RCRA Sites in 2017</w:t>
      </w:r>
      <w:r>
        <w:rPr>
          <w:rFonts w:cstheme="minorHAnsi"/>
          <w:i/>
        </w:rPr>
        <w:t xml:space="preserve"> </w:t>
      </w:r>
      <w:hyperlink r:id="rId18" w:history="1">
        <w:r w:rsidRPr="000A72B1">
          <w:rPr>
            <w:rStyle w:val="Hyperlink"/>
            <w:rFonts w:cstheme="minorHAnsi"/>
            <w:i/>
          </w:rPr>
          <w:t>https://pdw.hanford.gov/arpir/pdf.cfm/viewDoc?accession=0066390H</w:t>
        </w:r>
      </w:hyperlink>
      <w:r>
        <w:rPr>
          <w:rFonts w:cstheme="minorHAnsi"/>
          <w:i/>
        </w:rPr>
        <w:t xml:space="preserve">. </w:t>
      </w:r>
    </w:p>
    <w:p w14:paraId="00D1E753" w14:textId="0BC777D7" w:rsidR="004E6E26" w:rsidRDefault="006F1B60" w:rsidP="00F01FBC">
      <w:pPr>
        <w:pStyle w:val="H2bodytext"/>
      </w:pPr>
      <w:r>
        <w:t xml:space="preserve">Grubb, 1993, </w:t>
      </w:r>
      <w:r>
        <w:rPr>
          <w:i/>
        </w:rPr>
        <w:t>Analytical Model for Estimation of Steady-State Capture Zones of Pumping Wells in Confined and Unconfined Aquifers</w:t>
      </w:r>
    </w:p>
    <w:p w14:paraId="3803FB2B" w14:textId="77777777" w:rsidR="006F1B60" w:rsidRDefault="006F1B60" w:rsidP="00F01FBC">
      <w:pPr>
        <w:pStyle w:val="H2bodytext"/>
      </w:pPr>
    </w:p>
    <w:p w14:paraId="62592D26" w14:textId="77777777" w:rsidR="00B97567" w:rsidRDefault="00B97567" w:rsidP="00B97567">
      <w:pPr>
        <w:pStyle w:val="H1bodytext"/>
        <w:rPr>
          <w:rFonts w:cs="Arial"/>
          <w:b/>
          <w:sz w:val="24"/>
          <w:szCs w:val="24"/>
        </w:rPr>
      </w:pPr>
      <w:r>
        <w:rPr>
          <w:rFonts w:cs="Arial"/>
          <w:b/>
          <w:sz w:val="24"/>
          <w:szCs w:val="24"/>
        </w:rPr>
        <w:t>Acronyms, Abbreviations, and Definitions</w:t>
      </w:r>
    </w:p>
    <w:tbl>
      <w:tblPr>
        <w:tblW w:w="0" w:type="auto"/>
        <w:tblInd w:w="1638" w:type="dxa"/>
        <w:tblLook w:val="01E0" w:firstRow="1" w:lastRow="1" w:firstColumn="1" w:lastColumn="1" w:noHBand="0" w:noVBand="0"/>
      </w:tblPr>
      <w:tblGrid>
        <w:gridCol w:w="1860"/>
        <w:gridCol w:w="5852"/>
      </w:tblGrid>
      <w:tr w:rsidR="00B97567" w14:paraId="2F8958DD" w14:textId="77777777" w:rsidTr="00B97567">
        <w:trPr>
          <w:cantSplit/>
          <w:tblHeader/>
        </w:trPr>
        <w:tc>
          <w:tcPr>
            <w:tcW w:w="1890" w:type="dxa"/>
            <w:tcBorders>
              <w:top w:val="single" w:sz="4" w:space="0" w:color="auto"/>
              <w:left w:val="single" w:sz="4" w:space="0" w:color="auto"/>
              <w:bottom w:val="single" w:sz="4" w:space="0" w:color="auto"/>
              <w:right w:val="single" w:sz="4" w:space="0" w:color="auto"/>
            </w:tcBorders>
            <w:shd w:val="clear" w:color="auto" w:fill="FFFFC9"/>
            <w:hideMark/>
          </w:tcPr>
          <w:p w14:paraId="12260072" w14:textId="77777777" w:rsidR="00B97567" w:rsidRDefault="00B97567">
            <w:pPr>
              <w:pStyle w:val="Table-Level2"/>
              <w:spacing w:before="60" w:after="60"/>
              <w:rPr>
                <w:sz w:val="18"/>
                <w:szCs w:val="18"/>
              </w:rPr>
            </w:pPr>
            <w:r>
              <w:rPr>
                <w:sz w:val="18"/>
                <w:szCs w:val="18"/>
              </w:rPr>
              <w:t>Acronym</w:t>
            </w:r>
          </w:p>
        </w:tc>
        <w:tc>
          <w:tcPr>
            <w:tcW w:w="6048" w:type="dxa"/>
            <w:tcBorders>
              <w:top w:val="single" w:sz="4" w:space="0" w:color="auto"/>
              <w:left w:val="single" w:sz="4" w:space="0" w:color="auto"/>
              <w:bottom w:val="single" w:sz="4" w:space="0" w:color="auto"/>
              <w:right w:val="single" w:sz="4" w:space="0" w:color="auto"/>
            </w:tcBorders>
            <w:shd w:val="clear" w:color="auto" w:fill="FFFFC9"/>
            <w:hideMark/>
          </w:tcPr>
          <w:p w14:paraId="56EBCFA2" w14:textId="77777777" w:rsidR="00B97567" w:rsidRDefault="00B97567">
            <w:pPr>
              <w:pStyle w:val="Table-Level2"/>
              <w:spacing w:before="60" w:after="60"/>
              <w:rPr>
                <w:sz w:val="18"/>
                <w:szCs w:val="18"/>
              </w:rPr>
            </w:pPr>
            <w:r>
              <w:rPr>
                <w:sz w:val="18"/>
                <w:szCs w:val="18"/>
              </w:rPr>
              <w:t>Description</w:t>
            </w:r>
          </w:p>
        </w:tc>
      </w:tr>
      <w:tr w:rsidR="00B97567" w14:paraId="37B2C40D"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322D60D" w14:textId="77777777" w:rsidR="00B97567" w:rsidRDefault="00B97567">
            <w:pPr>
              <w:pStyle w:val="Table-Level2"/>
              <w:rPr>
                <w:b w:val="0"/>
                <w:sz w:val="18"/>
                <w:szCs w:val="18"/>
              </w:rPr>
            </w:pPr>
            <w:r>
              <w:rPr>
                <w:b w:val="0"/>
                <w:sz w:val="18"/>
                <w:szCs w:val="18"/>
              </w:rPr>
              <w:t>ATR</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2A7A7A4E" w14:textId="77777777" w:rsidR="00B97567" w:rsidRDefault="00B97567">
            <w:pPr>
              <w:pStyle w:val="Table-Level2"/>
              <w:rPr>
                <w:b w:val="0"/>
                <w:sz w:val="18"/>
                <w:szCs w:val="18"/>
              </w:rPr>
            </w:pPr>
            <w:r>
              <w:rPr>
                <w:b w:val="0"/>
                <w:sz w:val="18"/>
                <w:szCs w:val="18"/>
              </w:rPr>
              <w:t>Acceptance Test Report</w:t>
            </w:r>
          </w:p>
        </w:tc>
      </w:tr>
      <w:tr w:rsidR="00B97567" w14:paraId="17C8CF31"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017E5A9" w14:textId="77777777" w:rsidR="00B97567" w:rsidRDefault="00B97567">
            <w:pPr>
              <w:pStyle w:val="Table-Level2"/>
              <w:rPr>
                <w:b w:val="0"/>
                <w:sz w:val="18"/>
                <w:szCs w:val="18"/>
              </w:rPr>
            </w:pPr>
            <w:r>
              <w:rPr>
                <w:b w:val="0"/>
                <w:sz w:val="18"/>
                <w:szCs w:val="18"/>
              </w:rPr>
              <w:t>CHPRC</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FD2746A" w14:textId="77777777" w:rsidR="00B97567" w:rsidRDefault="00B97567">
            <w:pPr>
              <w:pStyle w:val="Table-Level2"/>
              <w:rPr>
                <w:b w:val="0"/>
                <w:sz w:val="18"/>
                <w:szCs w:val="18"/>
              </w:rPr>
            </w:pPr>
            <w:r>
              <w:rPr>
                <w:b w:val="0"/>
                <w:sz w:val="18"/>
                <w:szCs w:val="18"/>
              </w:rPr>
              <w:t>CH2M HILL Plateau Remediation Company</w:t>
            </w:r>
          </w:p>
        </w:tc>
      </w:tr>
      <w:tr w:rsidR="00B97567" w14:paraId="5E7666E7"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DC1459F" w14:textId="77777777" w:rsidR="00B97567" w:rsidRDefault="00B97567">
            <w:pPr>
              <w:pStyle w:val="Table-Level2"/>
              <w:rPr>
                <w:b w:val="0"/>
                <w:sz w:val="18"/>
                <w:szCs w:val="18"/>
              </w:rPr>
            </w:pPr>
            <w:r>
              <w:rPr>
                <w:b w:val="0"/>
                <w:sz w:val="18"/>
                <w:szCs w:val="18"/>
              </w:rPr>
              <w:t>FRD</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A98AECA" w14:textId="77777777" w:rsidR="00B97567" w:rsidRDefault="00B97567">
            <w:pPr>
              <w:pStyle w:val="Table-Level2"/>
              <w:rPr>
                <w:b w:val="0"/>
                <w:sz w:val="18"/>
                <w:szCs w:val="18"/>
              </w:rPr>
            </w:pPr>
            <w:r>
              <w:rPr>
                <w:b w:val="0"/>
                <w:sz w:val="18"/>
                <w:szCs w:val="18"/>
              </w:rPr>
              <w:t>Functional Requirements Document</w:t>
            </w:r>
          </w:p>
        </w:tc>
      </w:tr>
      <w:tr w:rsidR="00B97567" w14:paraId="15665DA5"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F569EDB" w14:textId="77777777" w:rsidR="00B97567" w:rsidRDefault="00B97567">
            <w:pPr>
              <w:pStyle w:val="Table-Level2"/>
              <w:keepNext/>
              <w:keepLines/>
              <w:rPr>
                <w:b w:val="0"/>
                <w:sz w:val="18"/>
                <w:szCs w:val="18"/>
              </w:rPr>
            </w:pPr>
            <w:r>
              <w:rPr>
                <w:b w:val="0"/>
                <w:sz w:val="18"/>
                <w:szCs w:val="18"/>
              </w:rPr>
              <w:t>MKS Integrity™</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91929D3" w14:textId="77777777" w:rsidR="00B97567" w:rsidRDefault="00B97567">
            <w:pPr>
              <w:pStyle w:val="Table-Level2"/>
              <w:keepNext/>
              <w:keepLines/>
              <w:rPr>
                <w:b w:val="0"/>
                <w:sz w:val="18"/>
                <w:szCs w:val="18"/>
              </w:rPr>
            </w:pPr>
            <w:r>
              <w:rPr>
                <w:b w:val="0"/>
                <w:sz w:val="18"/>
                <w:szCs w:val="18"/>
              </w:rPr>
              <w:t>Configuration management system software</w:t>
            </w:r>
          </w:p>
        </w:tc>
      </w:tr>
      <w:tr w:rsidR="00B97567" w14:paraId="37AA1F78"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3233C31" w14:textId="77777777" w:rsidR="00B97567" w:rsidRDefault="00B97567">
            <w:pPr>
              <w:pStyle w:val="Table-Level2"/>
              <w:rPr>
                <w:rFonts w:cs="Arial"/>
                <w:b w:val="0"/>
                <w:sz w:val="18"/>
                <w:szCs w:val="18"/>
              </w:rPr>
            </w:pPr>
            <w:r>
              <w:rPr>
                <w:rFonts w:cs="Arial"/>
                <w:b w:val="0"/>
                <w:sz w:val="18"/>
                <w:szCs w:val="18"/>
              </w:rPr>
              <w:t>MODFLOW</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9C8CE96" w14:textId="77777777" w:rsidR="00B97567" w:rsidRDefault="00B97567">
            <w:pPr>
              <w:pStyle w:val="Table-Level2"/>
              <w:jc w:val="left"/>
              <w:rPr>
                <w:rFonts w:cs="Arial"/>
                <w:b w:val="0"/>
                <w:sz w:val="18"/>
                <w:szCs w:val="18"/>
              </w:rPr>
            </w:pPr>
            <w:proofErr w:type="spellStart"/>
            <w:r>
              <w:rPr>
                <w:rFonts w:cs="Arial"/>
                <w:b w:val="0"/>
                <w:sz w:val="18"/>
                <w:szCs w:val="18"/>
              </w:rPr>
              <w:t>MODular</w:t>
            </w:r>
            <w:proofErr w:type="spellEnd"/>
            <w:r>
              <w:rPr>
                <w:rFonts w:cs="Arial"/>
                <w:b w:val="0"/>
                <w:sz w:val="18"/>
                <w:szCs w:val="18"/>
              </w:rPr>
              <w:t xml:space="preserve"> three-dimensional finite-difference ground-water                  FLOW model (software)</w:t>
            </w:r>
          </w:p>
        </w:tc>
      </w:tr>
      <w:tr w:rsidR="00B97567" w14:paraId="5F6809DC"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486034E" w14:textId="77777777" w:rsidR="00B97567" w:rsidRDefault="00B97567">
            <w:pPr>
              <w:pStyle w:val="Table-Level2"/>
              <w:rPr>
                <w:rFonts w:cs="Arial"/>
                <w:b w:val="0"/>
                <w:sz w:val="18"/>
                <w:szCs w:val="18"/>
              </w:rPr>
            </w:pPr>
            <w:r>
              <w:rPr>
                <w:rFonts w:cs="Arial"/>
                <w:b w:val="0"/>
                <w:sz w:val="18"/>
                <w:szCs w:val="18"/>
              </w:rPr>
              <w:lastRenderedPageBreak/>
              <w:t>MT3DMS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4399077" w14:textId="77777777" w:rsidR="00B97567" w:rsidRDefault="00B97567">
            <w:pPr>
              <w:pStyle w:val="Table-Level2"/>
              <w:jc w:val="left"/>
              <w:rPr>
                <w:rFonts w:cs="Arial"/>
                <w:b w:val="0"/>
                <w:sz w:val="18"/>
                <w:szCs w:val="18"/>
              </w:rPr>
            </w:pPr>
            <w:r>
              <w:rPr>
                <w:rFonts w:cs="Arial"/>
                <w:b w:val="0"/>
                <w:sz w:val="18"/>
                <w:szCs w:val="18"/>
              </w:rPr>
              <w:t>modular three-dimensional, multi-species transport model for simulation of advection, dispersion, and chemical reactions of contaminants in groundwater systems (software)</w:t>
            </w:r>
          </w:p>
        </w:tc>
      </w:tr>
      <w:tr w:rsidR="00B97567" w14:paraId="4F84CE0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4F14AA" w14:textId="77777777" w:rsidR="00B97567" w:rsidRDefault="00B97567">
            <w:pPr>
              <w:pStyle w:val="Table-Level2"/>
              <w:rPr>
                <w:b w:val="0"/>
                <w:sz w:val="18"/>
                <w:szCs w:val="18"/>
              </w:rPr>
            </w:pPr>
            <w:r>
              <w:rPr>
                <w:b w:val="0"/>
                <w:sz w:val="18"/>
                <w:szCs w:val="18"/>
              </w:rPr>
              <w:t>SMP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D88C22" w14:textId="77777777" w:rsidR="00B97567" w:rsidRDefault="00B97567">
            <w:pPr>
              <w:pStyle w:val="Table-Level2"/>
              <w:rPr>
                <w:b w:val="0"/>
                <w:sz w:val="18"/>
                <w:szCs w:val="18"/>
              </w:rPr>
            </w:pPr>
            <w:r>
              <w:rPr>
                <w:b w:val="0"/>
                <w:sz w:val="18"/>
                <w:szCs w:val="18"/>
              </w:rPr>
              <w:t>Software Management Plan</w:t>
            </w:r>
          </w:p>
        </w:tc>
      </w:tr>
      <w:tr w:rsidR="00B97567" w14:paraId="5CA5EA26"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4E13FBB" w14:textId="77777777" w:rsidR="00B97567" w:rsidRDefault="00B97567">
            <w:pPr>
              <w:pStyle w:val="Table-Level2"/>
              <w:rPr>
                <w:b w:val="0"/>
                <w:sz w:val="18"/>
                <w:szCs w:val="18"/>
              </w:rPr>
            </w:pPr>
            <w:r>
              <w:rPr>
                <w:b w:val="0"/>
                <w:sz w:val="18"/>
                <w:szCs w:val="18"/>
              </w:rPr>
              <w:t>STP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056CA91" w14:textId="77777777" w:rsidR="00B97567" w:rsidRDefault="00B97567">
            <w:pPr>
              <w:pStyle w:val="Table-Level2"/>
              <w:rPr>
                <w:b w:val="0"/>
                <w:sz w:val="18"/>
                <w:szCs w:val="18"/>
              </w:rPr>
            </w:pPr>
            <w:r>
              <w:rPr>
                <w:b w:val="0"/>
                <w:sz w:val="18"/>
                <w:szCs w:val="18"/>
              </w:rPr>
              <w:t>Software Test Plan</w:t>
            </w:r>
          </w:p>
        </w:tc>
      </w:tr>
      <w:tr w:rsidR="00B97567" w14:paraId="0C9E7AB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414ACF6" w14:textId="77777777" w:rsidR="00B97567" w:rsidRDefault="00B97567">
            <w:pPr>
              <w:pStyle w:val="Table-Level2"/>
              <w:rPr>
                <w:b w:val="0"/>
                <w:sz w:val="18"/>
                <w:szCs w:val="18"/>
              </w:rPr>
            </w:pPr>
            <w:commentRangeStart w:id="33"/>
            <w:r>
              <w:rPr>
                <w:b w:val="0"/>
                <w:sz w:val="18"/>
                <w:szCs w:val="18"/>
              </w:rPr>
              <w:t>USGS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83C4E8F" w14:textId="77777777" w:rsidR="00B97567" w:rsidRDefault="00B97567">
            <w:pPr>
              <w:pStyle w:val="Table-Level2"/>
              <w:rPr>
                <w:b w:val="0"/>
                <w:sz w:val="18"/>
                <w:szCs w:val="18"/>
              </w:rPr>
            </w:pPr>
            <w:r>
              <w:rPr>
                <w:b w:val="0"/>
                <w:sz w:val="18"/>
                <w:szCs w:val="18"/>
              </w:rPr>
              <w:t>U.S. Geological Survey</w:t>
            </w:r>
            <w:commentRangeEnd w:id="33"/>
            <w:r w:rsidR="00D1774D">
              <w:rPr>
                <w:rStyle w:val="CommentReference"/>
                <w:rFonts w:ascii="Times New Roman" w:hAnsi="Times New Roman"/>
                <w:b w:val="0"/>
              </w:rPr>
              <w:commentReference w:id="33"/>
            </w:r>
          </w:p>
        </w:tc>
      </w:tr>
    </w:tbl>
    <w:p w14:paraId="229E8CFF" w14:textId="3793E2CB" w:rsidR="004E6E26" w:rsidRDefault="004E6E26" w:rsidP="00F01FBC">
      <w:pPr>
        <w:pStyle w:val="H2bodytext"/>
      </w:pPr>
    </w:p>
    <w:p w14:paraId="3F704EBA" w14:textId="77777777" w:rsidR="004E6E26" w:rsidRDefault="004E6E26"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23A8CDA8" w14:textId="77777777" w:rsidR="00862F85" w:rsidRDefault="00862F85" w:rsidP="00862F85">
      <w:pPr>
        <w:pStyle w:val="Heading1"/>
        <w:spacing w:before="480"/>
        <w:rPr>
          <w:rFonts w:ascii="Arial" w:hAnsi="Arial"/>
        </w:rPr>
      </w:pPr>
      <w:r>
        <w:rPr>
          <w:rFonts w:ascii="Arial" w:hAnsi="Arial"/>
        </w:rPr>
        <w:t>ATTACHMENTS</w:t>
      </w:r>
    </w:p>
    <w:p w14:paraId="1DE66858" w14:textId="00B1F00D" w:rsidR="00862F85" w:rsidRDefault="00862F85" w:rsidP="00862F85">
      <w:pPr>
        <w:pStyle w:val="H1bodytext"/>
        <w:numPr>
          <w:ilvl w:val="0"/>
          <w:numId w:val="15"/>
        </w:numPr>
      </w:pPr>
      <w:r>
        <w:t>Template: Test Log for M</w:t>
      </w:r>
      <w:r>
        <w:t>P</w:t>
      </w:r>
      <w:r>
        <w:t>-ATC-1</w:t>
      </w:r>
    </w:p>
    <w:p w14:paraId="2B3DC84B" w14:textId="68F692D1" w:rsidR="00862F85" w:rsidRDefault="00862F85" w:rsidP="00862F85">
      <w:pPr>
        <w:pStyle w:val="H1bodytext"/>
        <w:numPr>
          <w:ilvl w:val="0"/>
          <w:numId w:val="15"/>
        </w:numPr>
      </w:pPr>
      <w:r>
        <w:t>Template: Test Log for M</w:t>
      </w:r>
      <w:r>
        <w:t>U</w:t>
      </w:r>
      <w:r>
        <w:t>-ATC-1</w:t>
      </w:r>
      <w:r>
        <w:br w:type="page"/>
      </w:r>
    </w:p>
    <w:p w14:paraId="40158E93" w14:textId="77777777" w:rsidR="00D1774D" w:rsidRDefault="00D1774D" w:rsidP="00D1774D">
      <w:pPr>
        <w:pStyle w:val="Title"/>
        <w:ind w:left="2880" w:firstLine="720"/>
        <w:jc w:val="left"/>
      </w:pPr>
      <w:r>
        <w:lastRenderedPageBreak/>
        <w:t>ATTACHMENT 1</w:t>
      </w:r>
    </w:p>
    <w:p w14:paraId="4D9D3D37" w14:textId="01676128" w:rsidR="00D1774D" w:rsidRPr="00D1774D" w:rsidRDefault="00D1774D" w:rsidP="00D1774D">
      <w:pPr>
        <w:pStyle w:val="Subtitle"/>
        <w:ind w:left="1440"/>
        <w:jc w:val="left"/>
      </w:pPr>
      <w:r>
        <w:t>Test Log for MODPATH Acceptance Test Case 1 (MP-ATC-1)</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D1774D" w14:paraId="25355FE4" w14:textId="77777777" w:rsidTr="00154B74">
        <w:tc>
          <w:tcPr>
            <w:tcW w:w="5178" w:type="dxa"/>
            <w:gridSpan w:val="3"/>
            <w:tcBorders>
              <w:top w:val="single" w:sz="4" w:space="0" w:color="000000"/>
              <w:left w:val="single" w:sz="4" w:space="0" w:color="000000"/>
              <w:bottom w:val="single" w:sz="4" w:space="0" w:color="000000"/>
              <w:right w:val="single" w:sz="4" w:space="0" w:color="000000"/>
            </w:tcBorders>
            <w:hideMark/>
          </w:tcPr>
          <w:p w14:paraId="244256B3" w14:textId="77777777" w:rsidR="00D1774D" w:rsidRDefault="00D1774D" w:rsidP="00154B74">
            <w:pPr>
              <w:spacing w:before="60" w:after="180"/>
              <w:rPr>
                <w:rFonts w:ascii="Arial" w:hAnsi="Arial"/>
                <w:sz w:val="16"/>
                <w:szCs w:val="16"/>
              </w:rPr>
            </w:pPr>
            <w:r>
              <w:rPr>
                <w:rFonts w:ascii="Arial" w:hAnsi="Arial"/>
                <w:sz w:val="16"/>
                <w:szCs w:val="16"/>
              </w:rPr>
              <w:t>MODFLOW Acceptance Test Case 1</w:t>
            </w:r>
          </w:p>
          <w:p w14:paraId="2004E433" w14:textId="77777777" w:rsidR="00D1774D" w:rsidRDefault="00D1774D" w:rsidP="00154B74">
            <w:pPr>
              <w:spacing w:before="60" w:after="180"/>
              <w:rPr>
                <w:rFonts w:ascii="Arial" w:hAnsi="Arial"/>
                <w:sz w:val="16"/>
                <w:szCs w:val="16"/>
              </w:rPr>
            </w:pPr>
            <w:r>
              <w:rPr>
                <w:rFonts w:ascii="Arial" w:hAnsi="Arial"/>
                <w:sz w:val="16"/>
                <w:szCs w:val="16"/>
              </w:rPr>
              <w:t>Description: Forward Particle Tracking from an Injection Well</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76B343D4" w14:textId="77777777" w:rsidR="00D1774D" w:rsidRDefault="00D1774D" w:rsidP="00154B74">
            <w:pPr>
              <w:spacing w:before="60" w:after="180"/>
              <w:rPr>
                <w:rFonts w:ascii="Arial" w:hAnsi="Arial"/>
                <w:sz w:val="16"/>
                <w:szCs w:val="16"/>
              </w:rPr>
            </w:pPr>
            <w:r>
              <w:rPr>
                <w:rFonts w:ascii="Arial" w:hAnsi="Arial"/>
                <w:sz w:val="16"/>
                <w:szCs w:val="16"/>
              </w:rPr>
              <w:t>Test Case #: Mp-ATC-1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563E0AE9" w14:textId="77777777" w:rsidR="00D1774D" w:rsidRDefault="00D1774D" w:rsidP="00154B74">
            <w:pPr>
              <w:spacing w:before="60" w:after="180"/>
              <w:rPr>
                <w:rFonts w:ascii="Arial" w:hAnsi="Arial"/>
                <w:sz w:val="16"/>
                <w:szCs w:val="16"/>
              </w:rPr>
            </w:pPr>
            <w:r>
              <w:rPr>
                <w:rFonts w:ascii="Arial" w:hAnsi="Arial"/>
                <w:sz w:val="16"/>
                <w:szCs w:val="16"/>
              </w:rPr>
              <w:t>Date:</w:t>
            </w:r>
          </w:p>
        </w:tc>
      </w:tr>
      <w:tr w:rsidR="00D1774D" w14:paraId="2B922A7B" w14:textId="77777777" w:rsidTr="00154B74">
        <w:tc>
          <w:tcPr>
            <w:tcW w:w="5178" w:type="dxa"/>
            <w:gridSpan w:val="3"/>
            <w:tcBorders>
              <w:top w:val="single" w:sz="4" w:space="0" w:color="000000"/>
              <w:left w:val="single" w:sz="4" w:space="0" w:color="000000"/>
              <w:bottom w:val="single" w:sz="4" w:space="0" w:color="000000"/>
              <w:right w:val="single" w:sz="4" w:space="0" w:color="000000"/>
            </w:tcBorders>
          </w:tcPr>
          <w:p w14:paraId="0BAC801A" w14:textId="77777777" w:rsidR="00D1774D" w:rsidRDefault="00D1774D" w:rsidP="00154B74">
            <w:pPr>
              <w:spacing w:before="60" w:after="180"/>
              <w:rPr>
                <w:rFonts w:ascii="Arial" w:hAnsi="Arial"/>
                <w:sz w:val="16"/>
                <w:szCs w:val="16"/>
              </w:rPr>
            </w:pPr>
            <w:r>
              <w:rPr>
                <w:rFonts w:ascii="Arial" w:hAnsi="Arial"/>
                <w:sz w:val="16"/>
                <w:szCs w:val="16"/>
              </w:rPr>
              <w:t>System Attributes:</w:t>
            </w:r>
          </w:p>
          <w:p w14:paraId="73BB29DA" w14:textId="77777777" w:rsidR="00D1774D" w:rsidRDefault="00D1774D" w:rsidP="00154B74">
            <w:pPr>
              <w:rPr>
                <w:rFonts w:ascii="Arial" w:hAnsi="Arial"/>
                <w:sz w:val="16"/>
                <w:szCs w:val="16"/>
              </w:rPr>
            </w:pPr>
            <w:r>
              <w:rPr>
                <w:rFonts w:ascii="Arial" w:hAnsi="Arial"/>
                <w:sz w:val="16"/>
                <w:szCs w:val="16"/>
              </w:rPr>
              <w:t xml:space="preserve">Version #: </w:t>
            </w:r>
          </w:p>
          <w:p w14:paraId="6E418A2D" w14:textId="77777777" w:rsidR="00D1774D" w:rsidRDefault="00D1774D" w:rsidP="00154B74">
            <w:pPr>
              <w:rPr>
                <w:rFonts w:ascii="Arial" w:hAnsi="Arial"/>
                <w:sz w:val="16"/>
                <w:szCs w:val="16"/>
              </w:rPr>
            </w:pPr>
            <w:r>
              <w:rPr>
                <w:rFonts w:ascii="Arial" w:hAnsi="Arial"/>
                <w:sz w:val="16"/>
                <w:szCs w:val="16"/>
              </w:rPr>
              <w:t xml:space="preserve">Release #:  </w:t>
            </w:r>
          </w:p>
          <w:p w14:paraId="635ED575" w14:textId="77777777" w:rsidR="00D1774D" w:rsidRDefault="00D1774D" w:rsidP="00154B74">
            <w:pPr>
              <w:rPr>
                <w:rFonts w:ascii="Arial" w:hAnsi="Arial"/>
                <w:sz w:val="16"/>
                <w:szCs w:val="16"/>
              </w:rPr>
            </w:pPr>
            <w:r>
              <w:rPr>
                <w:rFonts w:ascii="Arial" w:hAnsi="Arial"/>
                <w:sz w:val="16"/>
                <w:szCs w:val="16"/>
              </w:rPr>
              <w:t xml:space="preserve">Environment:  </w:t>
            </w:r>
          </w:p>
          <w:p w14:paraId="482FE61C" w14:textId="77777777" w:rsidR="00D1774D" w:rsidRDefault="00D1774D" w:rsidP="00154B74">
            <w:pPr>
              <w:rPr>
                <w:rFonts w:ascii="Arial" w:hAnsi="Arial"/>
                <w:sz w:val="16"/>
                <w:szCs w:val="16"/>
              </w:rPr>
            </w:pPr>
            <w:r>
              <w:rPr>
                <w:rFonts w:ascii="Arial" w:hAnsi="Arial"/>
                <w:sz w:val="16"/>
                <w:szCs w:val="16"/>
              </w:rPr>
              <w:t xml:space="preserve">Server:  </w:t>
            </w:r>
          </w:p>
          <w:p w14:paraId="709B9CA1" w14:textId="77777777" w:rsidR="00D1774D" w:rsidRDefault="00D1774D" w:rsidP="00154B74">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1CD4D23D" w14:textId="77777777" w:rsidR="00D1774D" w:rsidRDefault="00D1774D" w:rsidP="00154B74">
            <w:pPr>
              <w:spacing w:before="60" w:after="180"/>
              <w:rPr>
                <w:rFonts w:ascii="Arial" w:hAnsi="Arial"/>
                <w:sz w:val="16"/>
                <w:szCs w:val="16"/>
              </w:rPr>
            </w:pPr>
            <w:r>
              <w:rPr>
                <w:rFonts w:ascii="Arial" w:hAnsi="Arial"/>
                <w:sz w:val="16"/>
                <w:szCs w:val="16"/>
              </w:rPr>
              <w:t>Test Performed by:</w:t>
            </w:r>
          </w:p>
        </w:tc>
      </w:tr>
      <w:tr w:rsidR="00D1774D" w14:paraId="41AC5364" w14:textId="77777777" w:rsidTr="00154B74">
        <w:tc>
          <w:tcPr>
            <w:tcW w:w="1434" w:type="dxa"/>
            <w:tcBorders>
              <w:top w:val="single" w:sz="4" w:space="0" w:color="000000"/>
              <w:left w:val="single" w:sz="4" w:space="0" w:color="000000"/>
              <w:bottom w:val="single" w:sz="4" w:space="0" w:color="000000"/>
              <w:right w:val="single" w:sz="4" w:space="0" w:color="000000"/>
            </w:tcBorders>
            <w:vAlign w:val="center"/>
            <w:hideMark/>
          </w:tcPr>
          <w:p w14:paraId="21746CA1" w14:textId="77777777" w:rsidR="00D1774D" w:rsidRDefault="00D1774D" w:rsidP="00154B74">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0A781BF5" w14:textId="77777777" w:rsidR="00D1774D" w:rsidRDefault="00D1774D" w:rsidP="00154B74">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3CD533B6" w14:textId="77777777" w:rsidR="00D1774D" w:rsidRDefault="00D1774D" w:rsidP="00154B74">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A2D9F50" w14:textId="77777777" w:rsidR="00D1774D" w:rsidRDefault="00D1774D" w:rsidP="00154B74">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2345A3DE" w14:textId="77777777" w:rsidR="00D1774D" w:rsidRDefault="00D1774D" w:rsidP="00154B74">
            <w:pPr>
              <w:spacing w:before="60" w:after="180"/>
              <w:jc w:val="center"/>
              <w:rPr>
                <w:rFonts w:ascii="Arial" w:hAnsi="Arial"/>
                <w:sz w:val="16"/>
                <w:szCs w:val="16"/>
              </w:rPr>
            </w:pPr>
            <w:r>
              <w:rPr>
                <w:rFonts w:ascii="Arial" w:hAnsi="Arial"/>
                <w:sz w:val="16"/>
                <w:szCs w:val="16"/>
              </w:rPr>
              <w:t>Actual Result</w:t>
            </w:r>
          </w:p>
        </w:tc>
      </w:tr>
      <w:tr w:rsidR="00D1774D" w14:paraId="2AC8ED21" w14:textId="77777777" w:rsidTr="00154B74">
        <w:tc>
          <w:tcPr>
            <w:tcW w:w="1434" w:type="dxa"/>
            <w:tcBorders>
              <w:top w:val="single" w:sz="4" w:space="0" w:color="000000"/>
              <w:left w:val="single" w:sz="4" w:space="0" w:color="000000"/>
              <w:bottom w:val="single" w:sz="4" w:space="0" w:color="000000"/>
              <w:right w:val="single" w:sz="4" w:space="0" w:color="000000"/>
            </w:tcBorders>
            <w:hideMark/>
          </w:tcPr>
          <w:p w14:paraId="0B07F1B5" w14:textId="77777777" w:rsidR="00D1774D" w:rsidRDefault="00D1774D" w:rsidP="00154B74">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4AD06014" w14:textId="77777777" w:rsidR="00D1774D" w:rsidRDefault="00D1774D" w:rsidP="00154B74">
            <w:pPr>
              <w:spacing w:before="60" w:after="180"/>
              <w:rPr>
                <w:rFonts w:ascii="Arial" w:hAnsi="Arial"/>
                <w:sz w:val="16"/>
                <w:szCs w:val="16"/>
              </w:rPr>
            </w:pPr>
            <w:r>
              <w:rPr>
                <w:rFonts w:ascii="Arial" w:hAnsi="Arial"/>
                <w:sz w:val="16"/>
                <w:szCs w:val="16"/>
              </w:rPr>
              <w:t>Obtain source code or executable for MODPATH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702C95D" w14:textId="77777777" w:rsidR="00D1774D" w:rsidRDefault="00D1774D" w:rsidP="00154B74">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0F3D66C" w14:textId="77777777" w:rsidR="00D1774D" w:rsidRDefault="00D1774D" w:rsidP="00154B74">
            <w:pPr>
              <w:spacing w:before="60" w:after="180"/>
              <w:rPr>
                <w:rFonts w:ascii="Arial" w:hAnsi="Arial"/>
                <w:sz w:val="16"/>
                <w:szCs w:val="16"/>
              </w:rPr>
            </w:pPr>
            <w:r>
              <w:rPr>
                <w:rFonts w:ascii="Arial" w:hAnsi="Arial"/>
                <w:sz w:val="16"/>
                <w:szCs w:val="16"/>
              </w:rPr>
              <w:t>MODPATH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25759459" w14:textId="77777777" w:rsidR="00D1774D" w:rsidRDefault="00D1774D" w:rsidP="00154B74">
            <w:pPr>
              <w:spacing w:before="60" w:after="180"/>
              <w:rPr>
                <w:rFonts w:ascii="Arial" w:hAnsi="Arial"/>
                <w:sz w:val="16"/>
                <w:szCs w:val="16"/>
              </w:rPr>
            </w:pPr>
          </w:p>
        </w:tc>
      </w:tr>
      <w:tr w:rsidR="00D1774D" w14:paraId="0757A88C" w14:textId="77777777" w:rsidTr="00154B74">
        <w:tc>
          <w:tcPr>
            <w:tcW w:w="1434" w:type="dxa"/>
            <w:tcBorders>
              <w:top w:val="single" w:sz="4" w:space="0" w:color="000000"/>
              <w:left w:val="single" w:sz="4" w:space="0" w:color="000000"/>
              <w:bottom w:val="single" w:sz="4" w:space="0" w:color="000000"/>
              <w:right w:val="single" w:sz="4" w:space="0" w:color="000000"/>
            </w:tcBorders>
          </w:tcPr>
          <w:p w14:paraId="793DE550" w14:textId="77777777" w:rsidR="00D1774D" w:rsidRDefault="00D1774D" w:rsidP="00154B74">
            <w:pPr>
              <w:spacing w:before="60" w:after="180"/>
              <w:rPr>
                <w:rFonts w:ascii="Arial" w:hAnsi="Arial"/>
                <w:sz w:val="16"/>
                <w:szCs w:val="16"/>
              </w:rPr>
            </w:pPr>
          </w:p>
        </w:tc>
        <w:tc>
          <w:tcPr>
            <w:tcW w:w="1716" w:type="dxa"/>
            <w:tcBorders>
              <w:top w:val="single" w:sz="4" w:space="0" w:color="000000"/>
              <w:left w:val="single" w:sz="4" w:space="0" w:color="000000"/>
              <w:bottom w:val="single" w:sz="4" w:space="0" w:color="000000"/>
              <w:right w:val="single" w:sz="4" w:space="0" w:color="000000"/>
            </w:tcBorders>
          </w:tcPr>
          <w:p w14:paraId="569319D9" w14:textId="77777777" w:rsidR="00D1774D" w:rsidRDefault="00D1774D" w:rsidP="00154B74">
            <w:pPr>
              <w:spacing w:before="60" w:after="180"/>
              <w:rPr>
                <w:rFonts w:ascii="Arial" w:hAnsi="Arial"/>
                <w:sz w:val="16"/>
                <w:szCs w:val="16"/>
              </w:rPr>
            </w:pPr>
            <w:r>
              <w:rPr>
                <w:rFonts w:ascii="Arial" w:hAnsi="Arial"/>
                <w:sz w:val="16"/>
                <w:szCs w:val="16"/>
              </w:rPr>
              <w:t>Obtain source code or executable for MODFLOW-2000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tcPr>
          <w:p w14:paraId="64536BBA" w14:textId="77777777" w:rsidR="00D1774D" w:rsidRDefault="00D1774D" w:rsidP="00154B74">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tcPr>
          <w:p w14:paraId="6F58ACDD" w14:textId="77777777" w:rsidR="00D1774D" w:rsidRDefault="00D1774D" w:rsidP="00154B74">
            <w:pPr>
              <w:spacing w:before="60" w:after="180"/>
              <w:rPr>
                <w:rFonts w:ascii="Arial" w:hAnsi="Arial"/>
                <w:sz w:val="16"/>
                <w:szCs w:val="16"/>
              </w:rPr>
            </w:pPr>
            <w:r>
              <w:rPr>
                <w:rFonts w:ascii="Arial" w:hAnsi="Arial"/>
                <w:sz w:val="16"/>
                <w:szCs w:val="16"/>
              </w:rPr>
              <w:t>MODFLOW-2000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37EC8283" w14:textId="77777777" w:rsidR="00D1774D" w:rsidRDefault="00D1774D" w:rsidP="00154B74">
            <w:pPr>
              <w:spacing w:before="60" w:after="180"/>
              <w:rPr>
                <w:rFonts w:ascii="Arial" w:hAnsi="Arial"/>
                <w:sz w:val="16"/>
                <w:szCs w:val="16"/>
              </w:rPr>
            </w:pPr>
          </w:p>
        </w:tc>
      </w:tr>
      <w:tr w:rsidR="00D1774D" w14:paraId="5F04E54A" w14:textId="77777777" w:rsidTr="00154B74">
        <w:tc>
          <w:tcPr>
            <w:tcW w:w="1434" w:type="dxa"/>
            <w:tcBorders>
              <w:top w:val="single" w:sz="4" w:space="0" w:color="000000"/>
              <w:left w:val="single" w:sz="4" w:space="0" w:color="000000"/>
              <w:bottom w:val="single" w:sz="4" w:space="0" w:color="000000"/>
              <w:right w:val="single" w:sz="4" w:space="0" w:color="000000"/>
            </w:tcBorders>
          </w:tcPr>
          <w:p w14:paraId="48E9A4E0" w14:textId="77777777" w:rsidR="00D1774D" w:rsidRDefault="00D1774D" w:rsidP="00154B74">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tcPr>
          <w:p w14:paraId="4667110C" w14:textId="77777777" w:rsidR="00D1774D" w:rsidRDefault="00D1774D" w:rsidP="00154B74">
            <w:pPr>
              <w:spacing w:before="60" w:after="180"/>
              <w:rPr>
                <w:rFonts w:ascii="Arial" w:hAnsi="Arial"/>
                <w:sz w:val="16"/>
                <w:szCs w:val="16"/>
              </w:rPr>
            </w:pPr>
            <w:r>
              <w:rPr>
                <w:rFonts w:ascii="Arial" w:hAnsi="Arial"/>
                <w:sz w:val="16"/>
                <w:szCs w:val="16"/>
              </w:rPr>
              <w:t>[Download python]</w:t>
            </w:r>
          </w:p>
        </w:tc>
        <w:tc>
          <w:tcPr>
            <w:tcW w:w="2314" w:type="dxa"/>
            <w:gridSpan w:val="2"/>
            <w:tcBorders>
              <w:top w:val="single" w:sz="4" w:space="0" w:color="000000"/>
              <w:left w:val="single" w:sz="4" w:space="0" w:color="000000"/>
              <w:bottom w:val="single" w:sz="4" w:space="0" w:color="000000"/>
              <w:right w:val="single" w:sz="4" w:space="0" w:color="000000"/>
            </w:tcBorders>
          </w:tcPr>
          <w:p w14:paraId="7B05D3DF" w14:textId="77777777" w:rsidR="00D1774D" w:rsidRDefault="00D1774D" w:rsidP="00154B74">
            <w:pPr>
              <w:spacing w:before="60" w:after="180"/>
              <w:rPr>
                <w:rFonts w:ascii="Arial" w:hAnsi="Arial"/>
                <w:sz w:val="16"/>
                <w:szCs w:val="16"/>
              </w:rPr>
            </w:pPr>
          </w:p>
        </w:tc>
        <w:tc>
          <w:tcPr>
            <w:tcW w:w="2314" w:type="dxa"/>
            <w:gridSpan w:val="2"/>
            <w:tcBorders>
              <w:top w:val="single" w:sz="4" w:space="0" w:color="000000"/>
              <w:left w:val="single" w:sz="4" w:space="0" w:color="000000"/>
              <w:bottom w:val="single" w:sz="4" w:space="0" w:color="000000"/>
              <w:right w:val="single" w:sz="4" w:space="0" w:color="000000"/>
            </w:tcBorders>
          </w:tcPr>
          <w:p w14:paraId="299DFC09" w14:textId="77777777" w:rsidR="00D1774D" w:rsidRDefault="00D1774D" w:rsidP="00154B74">
            <w:pPr>
              <w:spacing w:before="60" w:after="180"/>
              <w:rPr>
                <w:rFonts w:ascii="Arial" w:hAnsi="Arial"/>
                <w:sz w:val="16"/>
                <w:szCs w:val="16"/>
              </w:rPr>
            </w:pPr>
          </w:p>
        </w:tc>
        <w:tc>
          <w:tcPr>
            <w:tcW w:w="2314" w:type="dxa"/>
            <w:tcBorders>
              <w:top w:val="single" w:sz="4" w:space="0" w:color="000000"/>
              <w:left w:val="single" w:sz="4" w:space="0" w:color="000000"/>
              <w:bottom w:val="single" w:sz="4" w:space="0" w:color="000000"/>
              <w:right w:val="single" w:sz="4" w:space="0" w:color="000000"/>
            </w:tcBorders>
          </w:tcPr>
          <w:p w14:paraId="2CDAC002" w14:textId="77777777" w:rsidR="00D1774D" w:rsidRDefault="00D1774D" w:rsidP="00154B74">
            <w:pPr>
              <w:spacing w:before="60" w:after="180"/>
              <w:rPr>
                <w:rFonts w:ascii="Arial" w:hAnsi="Arial"/>
                <w:sz w:val="16"/>
                <w:szCs w:val="16"/>
              </w:rPr>
            </w:pPr>
          </w:p>
        </w:tc>
      </w:tr>
      <w:tr w:rsidR="00D1774D" w14:paraId="179799DC" w14:textId="77777777" w:rsidTr="00154B74">
        <w:tc>
          <w:tcPr>
            <w:tcW w:w="1434" w:type="dxa"/>
            <w:tcBorders>
              <w:top w:val="single" w:sz="4" w:space="0" w:color="000000"/>
              <w:left w:val="single" w:sz="4" w:space="0" w:color="000000"/>
              <w:bottom w:val="single" w:sz="4" w:space="0" w:color="000000"/>
              <w:right w:val="single" w:sz="4" w:space="0" w:color="000000"/>
            </w:tcBorders>
          </w:tcPr>
          <w:p w14:paraId="59DD3C8B" w14:textId="77777777" w:rsidR="00D1774D" w:rsidRDefault="00D1774D" w:rsidP="00154B74">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tcPr>
          <w:p w14:paraId="17689995" w14:textId="77777777" w:rsidR="00D1774D" w:rsidRDefault="00D1774D" w:rsidP="00154B74">
            <w:pPr>
              <w:spacing w:before="60" w:after="180"/>
              <w:rPr>
                <w:rFonts w:ascii="Arial" w:hAnsi="Arial"/>
                <w:sz w:val="16"/>
                <w:szCs w:val="16"/>
              </w:rPr>
            </w:pPr>
            <w:r>
              <w:rPr>
                <w:rFonts w:ascii="Arial" w:hAnsi="Arial"/>
                <w:sz w:val="16"/>
                <w:szCs w:val="16"/>
              </w:rPr>
              <w:t>[Setup the python environment]</w:t>
            </w:r>
          </w:p>
        </w:tc>
        <w:tc>
          <w:tcPr>
            <w:tcW w:w="2314" w:type="dxa"/>
            <w:gridSpan w:val="2"/>
            <w:tcBorders>
              <w:top w:val="single" w:sz="4" w:space="0" w:color="000000"/>
              <w:left w:val="single" w:sz="4" w:space="0" w:color="000000"/>
              <w:bottom w:val="single" w:sz="4" w:space="0" w:color="000000"/>
              <w:right w:val="single" w:sz="4" w:space="0" w:color="000000"/>
            </w:tcBorders>
          </w:tcPr>
          <w:p w14:paraId="22D8B0FD" w14:textId="77777777" w:rsidR="00D1774D" w:rsidRDefault="00D1774D" w:rsidP="00154B74">
            <w:pPr>
              <w:spacing w:before="60" w:after="180"/>
              <w:rPr>
                <w:rFonts w:ascii="Arial" w:hAnsi="Arial"/>
                <w:sz w:val="16"/>
                <w:szCs w:val="16"/>
              </w:rPr>
            </w:pPr>
          </w:p>
        </w:tc>
        <w:tc>
          <w:tcPr>
            <w:tcW w:w="2314" w:type="dxa"/>
            <w:gridSpan w:val="2"/>
            <w:tcBorders>
              <w:top w:val="single" w:sz="4" w:space="0" w:color="000000"/>
              <w:left w:val="single" w:sz="4" w:space="0" w:color="000000"/>
              <w:bottom w:val="single" w:sz="4" w:space="0" w:color="000000"/>
              <w:right w:val="single" w:sz="4" w:space="0" w:color="000000"/>
            </w:tcBorders>
          </w:tcPr>
          <w:p w14:paraId="6E0A94CD" w14:textId="77777777" w:rsidR="00D1774D" w:rsidRDefault="00D1774D" w:rsidP="00154B74">
            <w:pPr>
              <w:spacing w:before="60" w:after="180"/>
              <w:rPr>
                <w:rFonts w:ascii="Arial" w:hAnsi="Arial"/>
                <w:sz w:val="16"/>
                <w:szCs w:val="16"/>
              </w:rPr>
            </w:pPr>
          </w:p>
        </w:tc>
        <w:tc>
          <w:tcPr>
            <w:tcW w:w="2314" w:type="dxa"/>
            <w:tcBorders>
              <w:top w:val="single" w:sz="4" w:space="0" w:color="000000"/>
              <w:left w:val="single" w:sz="4" w:space="0" w:color="000000"/>
              <w:bottom w:val="single" w:sz="4" w:space="0" w:color="000000"/>
              <w:right w:val="single" w:sz="4" w:space="0" w:color="000000"/>
            </w:tcBorders>
          </w:tcPr>
          <w:p w14:paraId="26FB73D6" w14:textId="77777777" w:rsidR="00D1774D" w:rsidRDefault="00D1774D" w:rsidP="00154B74">
            <w:pPr>
              <w:spacing w:before="60" w:after="180"/>
              <w:rPr>
                <w:rFonts w:ascii="Arial" w:hAnsi="Arial"/>
                <w:sz w:val="16"/>
                <w:szCs w:val="16"/>
              </w:rPr>
            </w:pPr>
          </w:p>
        </w:tc>
      </w:tr>
      <w:tr w:rsidR="00D1774D" w14:paraId="1565D5D4" w14:textId="77777777" w:rsidTr="00154B74">
        <w:tc>
          <w:tcPr>
            <w:tcW w:w="1434" w:type="dxa"/>
            <w:tcBorders>
              <w:top w:val="single" w:sz="4" w:space="0" w:color="000000"/>
              <w:left w:val="single" w:sz="4" w:space="0" w:color="000000"/>
              <w:bottom w:val="single" w:sz="4" w:space="0" w:color="000000"/>
              <w:right w:val="single" w:sz="4" w:space="0" w:color="000000"/>
            </w:tcBorders>
            <w:hideMark/>
          </w:tcPr>
          <w:p w14:paraId="2DF63A7B" w14:textId="77777777" w:rsidR="00D1774D" w:rsidRDefault="00D1774D" w:rsidP="00154B74">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5A2E44F1" w14:textId="77777777" w:rsidR="00D1774D" w:rsidRDefault="00D1774D" w:rsidP="00154B74">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C17BD99" w14:textId="77777777" w:rsidR="00D1774D" w:rsidRDefault="00D1774D" w:rsidP="00154B74">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5D16D92" w14:textId="77777777" w:rsidR="00D1774D" w:rsidRDefault="00D1774D" w:rsidP="00154B74">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7E6575D1" w14:textId="77777777" w:rsidR="00D1774D" w:rsidRDefault="00D1774D" w:rsidP="00154B74">
            <w:pPr>
              <w:spacing w:before="60" w:after="180"/>
              <w:rPr>
                <w:rFonts w:ascii="Arial" w:hAnsi="Arial"/>
                <w:sz w:val="16"/>
                <w:szCs w:val="16"/>
              </w:rPr>
            </w:pPr>
          </w:p>
        </w:tc>
      </w:tr>
      <w:tr w:rsidR="00D1774D" w14:paraId="06A4C93C" w14:textId="77777777" w:rsidTr="00154B74">
        <w:tc>
          <w:tcPr>
            <w:tcW w:w="1434" w:type="dxa"/>
            <w:tcBorders>
              <w:top w:val="single" w:sz="4" w:space="0" w:color="000000"/>
              <w:left w:val="single" w:sz="4" w:space="0" w:color="000000"/>
              <w:bottom w:val="single" w:sz="4" w:space="0" w:color="000000"/>
              <w:right w:val="single" w:sz="4" w:space="0" w:color="000000"/>
            </w:tcBorders>
            <w:hideMark/>
          </w:tcPr>
          <w:p w14:paraId="7EC8E613" w14:textId="77777777" w:rsidR="00D1774D" w:rsidRDefault="00D1774D" w:rsidP="00154B74">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7C2F72B7" w14:textId="77777777" w:rsidR="00D1774D" w:rsidRDefault="00D1774D" w:rsidP="00154B74">
            <w:pPr>
              <w:spacing w:before="60" w:after="180"/>
              <w:rPr>
                <w:rFonts w:ascii="Arial" w:hAnsi="Arial"/>
                <w:sz w:val="16"/>
                <w:szCs w:val="16"/>
              </w:rPr>
            </w:pPr>
            <w:r>
              <w:rPr>
                <w:rFonts w:ascii="Arial" w:hAnsi="Arial"/>
                <w:sz w:val="16"/>
                <w:szCs w:val="16"/>
              </w:rPr>
              <w:t>Run MODFLOW to solve flow for test case</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350D496" w14:textId="77777777" w:rsidR="00D1774D" w:rsidRDefault="00D1774D" w:rsidP="00154B74">
            <w:pPr>
              <w:spacing w:before="60" w:after="180"/>
              <w:rPr>
                <w:rFonts w:ascii="Arial" w:hAnsi="Arial"/>
                <w:sz w:val="16"/>
                <w:szCs w:val="16"/>
              </w:rPr>
            </w:pPr>
            <w:r>
              <w:rPr>
                <w:rFonts w:ascii="Arial" w:hAnsi="Arial"/>
                <w:sz w:val="16"/>
                <w:szCs w:val="16"/>
              </w:rPr>
              <w:t xml:space="preserve">Execute </w:t>
            </w:r>
            <w:commentRangeStart w:id="34"/>
            <w:r>
              <w:rPr>
                <w:rFonts w:ascii="Arial" w:hAnsi="Arial"/>
                <w:sz w:val="16"/>
                <w:szCs w:val="16"/>
              </w:rPr>
              <w:t>MOD</w:t>
            </w:r>
            <w:commentRangeEnd w:id="34"/>
            <w:r>
              <w:rPr>
                <w:rStyle w:val="CommentReference"/>
              </w:rPr>
              <w:commentReference w:id="34"/>
            </w:r>
            <w:r>
              <w:rPr>
                <w:rFonts w:ascii="Arial" w:hAnsi="Arial"/>
                <w:sz w:val="16"/>
                <w:szCs w:val="16"/>
              </w:rPr>
              <w:t>FLOW against [.</w:t>
            </w:r>
            <w:proofErr w:type="spellStart"/>
            <w:r>
              <w:rPr>
                <w:rFonts w:ascii="Arial" w:hAnsi="Arial"/>
                <w:sz w:val="16"/>
                <w:szCs w:val="16"/>
              </w:rPr>
              <w:t>nam</w:t>
            </w:r>
            <w:proofErr w:type="spellEnd"/>
            <w:r>
              <w:rPr>
                <w:rFonts w:ascii="Arial" w:hAnsi="Arial"/>
                <w:sz w:val="16"/>
                <w:szCs w:val="16"/>
              </w:rPr>
              <w:t>]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EF84CF2" w14:textId="77777777" w:rsidR="00D1774D" w:rsidRDefault="00D1774D" w:rsidP="00154B74">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66AC9A35" w14:textId="77777777" w:rsidR="00D1774D" w:rsidRDefault="00D1774D" w:rsidP="00154B74">
            <w:pPr>
              <w:spacing w:before="60" w:after="180"/>
              <w:rPr>
                <w:rFonts w:ascii="Arial" w:hAnsi="Arial"/>
                <w:sz w:val="16"/>
                <w:szCs w:val="16"/>
              </w:rPr>
            </w:pPr>
          </w:p>
        </w:tc>
      </w:tr>
      <w:tr w:rsidR="00D1774D" w14:paraId="72E5611C" w14:textId="77777777" w:rsidTr="00154B74">
        <w:tc>
          <w:tcPr>
            <w:tcW w:w="1434" w:type="dxa"/>
            <w:tcBorders>
              <w:top w:val="single" w:sz="4" w:space="0" w:color="000000"/>
              <w:left w:val="single" w:sz="4" w:space="0" w:color="000000"/>
              <w:bottom w:val="single" w:sz="4" w:space="0" w:color="000000"/>
              <w:right w:val="single" w:sz="4" w:space="0" w:color="000000"/>
            </w:tcBorders>
          </w:tcPr>
          <w:p w14:paraId="7AC8BE70" w14:textId="77777777" w:rsidR="00D1774D" w:rsidRDefault="00D1774D" w:rsidP="00154B74">
            <w:pPr>
              <w:spacing w:before="60" w:after="180"/>
              <w:rPr>
                <w:rFonts w:ascii="Arial" w:hAnsi="Arial"/>
                <w:sz w:val="16"/>
                <w:szCs w:val="16"/>
              </w:rPr>
            </w:pPr>
          </w:p>
        </w:tc>
        <w:tc>
          <w:tcPr>
            <w:tcW w:w="1716" w:type="dxa"/>
            <w:tcBorders>
              <w:top w:val="single" w:sz="4" w:space="0" w:color="000000"/>
              <w:left w:val="single" w:sz="4" w:space="0" w:color="000000"/>
              <w:bottom w:val="single" w:sz="4" w:space="0" w:color="000000"/>
              <w:right w:val="single" w:sz="4" w:space="0" w:color="000000"/>
            </w:tcBorders>
          </w:tcPr>
          <w:p w14:paraId="023EBF02" w14:textId="77777777" w:rsidR="00D1774D" w:rsidRDefault="00D1774D" w:rsidP="00154B74">
            <w:pPr>
              <w:spacing w:before="60" w:after="180"/>
              <w:rPr>
                <w:rFonts w:ascii="Arial" w:hAnsi="Arial"/>
                <w:sz w:val="16"/>
                <w:szCs w:val="16"/>
              </w:rPr>
            </w:pPr>
            <w:r>
              <w:rPr>
                <w:rFonts w:ascii="Arial" w:hAnsi="Arial"/>
                <w:sz w:val="16"/>
                <w:szCs w:val="16"/>
              </w:rPr>
              <w:t>Run MODPATH to solve particle tracking for test case</w:t>
            </w:r>
          </w:p>
        </w:tc>
        <w:tc>
          <w:tcPr>
            <w:tcW w:w="2314" w:type="dxa"/>
            <w:gridSpan w:val="2"/>
            <w:tcBorders>
              <w:top w:val="single" w:sz="4" w:space="0" w:color="000000"/>
              <w:left w:val="single" w:sz="4" w:space="0" w:color="000000"/>
              <w:bottom w:val="single" w:sz="4" w:space="0" w:color="000000"/>
              <w:right w:val="single" w:sz="4" w:space="0" w:color="000000"/>
            </w:tcBorders>
          </w:tcPr>
          <w:p w14:paraId="3C326DFE" w14:textId="77777777" w:rsidR="00D1774D" w:rsidRDefault="00D1774D" w:rsidP="00154B74">
            <w:pPr>
              <w:spacing w:before="60" w:after="180"/>
              <w:rPr>
                <w:rFonts w:ascii="Arial" w:hAnsi="Arial"/>
                <w:sz w:val="16"/>
                <w:szCs w:val="16"/>
              </w:rPr>
            </w:pPr>
            <w:r>
              <w:rPr>
                <w:rFonts w:ascii="Arial" w:hAnsi="Arial"/>
                <w:sz w:val="16"/>
                <w:szCs w:val="16"/>
              </w:rPr>
              <w:t>Execute MODPATH against [.</w:t>
            </w:r>
            <w:proofErr w:type="spellStart"/>
            <w:r>
              <w:rPr>
                <w:rFonts w:ascii="Arial" w:hAnsi="Arial"/>
                <w:sz w:val="16"/>
                <w:szCs w:val="16"/>
              </w:rPr>
              <w:t>mpnam</w:t>
            </w:r>
            <w:proofErr w:type="spellEnd"/>
            <w:r>
              <w:rPr>
                <w:rFonts w:ascii="Arial" w:hAnsi="Arial"/>
                <w:sz w:val="16"/>
                <w:szCs w:val="16"/>
              </w:rPr>
              <w:t>]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tcPr>
          <w:p w14:paraId="75B280F0" w14:textId="77777777" w:rsidR="00D1774D" w:rsidRDefault="00D1774D" w:rsidP="00154B74">
            <w:pPr>
              <w:spacing w:before="60" w:after="180"/>
              <w:rPr>
                <w:rFonts w:ascii="Arial" w:hAnsi="Arial"/>
                <w:sz w:val="16"/>
                <w:szCs w:val="16"/>
              </w:rPr>
            </w:pPr>
            <w:r>
              <w:rPr>
                <w:rFonts w:ascii="Arial" w:hAnsi="Arial"/>
                <w:sz w:val="16"/>
                <w:szCs w:val="16"/>
              </w:rPr>
              <w:t>MODPATH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5C097BF6" w14:textId="77777777" w:rsidR="00D1774D" w:rsidRDefault="00D1774D" w:rsidP="00154B74">
            <w:pPr>
              <w:spacing w:before="60" w:after="180"/>
              <w:rPr>
                <w:rFonts w:ascii="Arial" w:hAnsi="Arial"/>
                <w:sz w:val="16"/>
                <w:szCs w:val="16"/>
              </w:rPr>
            </w:pPr>
          </w:p>
        </w:tc>
      </w:tr>
      <w:tr w:rsidR="00D1774D" w14:paraId="788CB7A7" w14:textId="77777777" w:rsidTr="00154B74">
        <w:tc>
          <w:tcPr>
            <w:tcW w:w="1434" w:type="dxa"/>
            <w:tcBorders>
              <w:top w:val="single" w:sz="4" w:space="0" w:color="000000"/>
              <w:left w:val="single" w:sz="4" w:space="0" w:color="000000"/>
              <w:bottom w:val="single" w:sz="4" w:space="0" w:color="000000"/>
              <w:right w:val="single" w:sz="4" w:space="0" w:color="000000"/>
            </w:tcBorders>
            <w:hideMark/>
          </w:tcPr>
          <w:p w14:paraId="64CB59B8" w14:textId="77777777" w:rsidR="00D1774D" w:rsidRDefault="00D1774D" w:rsidP="00154B74">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683DCD12" w14:textId="77777777" w:rsidR="00D1774D" w:rsidRDefault="00D1774D" w:rsidP="00154B74">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5F11497" w14:textId="77777777" w:rsidR="00D1774D" w:rsidRDefault="00D1774D" w:rsidP="00154B74">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CAFB1A9" w14:textId="77777777" w:rsidR="00D1774D" w:rsidRDefault="00D1774D" w:rsidP="00154B74">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6B3F5AD6" w14:textId="77777777" w:rsidR="00D1774D" w:rsidRDefault="00D1774D" w:rsidP="00154B74">
            <w:pPr>
              <w:spacing w:before="60" w:after="180"/>
              <w:rPr>
                <w:rFonts w:ascii="Arial" w:hAnsi="Arial"/>
                <w:sz w:val="16"/>
                <w:szCs w:val="16"/>
              </w:rPr>
            </w:pPr>
          </w:p>
        </w:tc>
      </w:tr>
    </w:tbl>
    <w:p w14:paraId="2F7919C3" w14:textId="77777777" w:rsidR="00D1774D" w:rsidRDefault="00D1774D" w:rsidP="00D1774D">
      <w:pPr>
        <w:pStyle w:val="H1bodytext"/>
        <w:rPr>
          <w:rFonts w:cs="Arial"/>
          <w:color w:val="C00000"/>
        </w:rPr>
      </w:pPr>
    </w:p>
    <w:p w14:paraId="53DE07D5" w14:textId="77777777" w:rsidR="00D1774D" w:rsidRPr="00D1774D" w:rsidRDefault="00D1774D" w:rsidP="00D1774D">
      <w:pPr>
        <w:pStyle w:val="ListParagraph"/>
        <w:numPr>
          <w:ilvl w:val="0"/>
          <w:numId w:val="15"/>
        </w:numPr>
        <w:rPr>
          <w:rFonts w:ascii="Arial" w:hAnsi="Arial" w:cs="Arial"/>
          <w:color w:val="C00000"/>
          <w:sz w:val="22"/>
          <w:szCs w:val="20"/>
        </w:rPr>
      </w:pPr>
      <w:r w:rsidRPr="00D1774D">
        <w:rPr>
          <w:rFonts w:cs="Arial"/>
          <w:color w:val="C00000"/>
        </w:rPr>
        <w:br w:type="page"/>
      </w:r>
    </w:p>
    <w:p w14:paraId="566B4EB7" w14:textId="77777777" w:rsidR="00D1774D" w:rsidRDefault="00D1774D" w:rsidP="00D1774D">
      <w:pPr>
        <w:pStyle w:val="H1bodytext"/>
        <w:ind w:left="1080"/>
      </w:pPr>
    </w:p>
    <w:p w14:paraId="7C39B44B" w14:textId="77777777" w:rsidR="00862F85" w:rsidRDefault="00862F85" w:rsidP="00862F85">
      <w:pPr>
        <w:pStyle w:val="Title"/>
      </w:pPr>
      <w:commentRangeStart w:id="35"/>
      <w:r>
        <w:t>ATTACHMENT</w:t>
      </w:r>
      <w:commentRangeEnd w:id="35"/>
      <w:r w:rsidR="00D1774D">
        <w:rPr>
          <w:rStyle w:val="CommentReference"/>
          <w:rFonts w:ascii="Times New Roman" w:hAnsi="Times New Roman"/>
          <w:b w:val="0"/>
          <w:bCs w:val="0"/>
          <w:kern w:val="0"/>
        </w:rPr>
        <w:commentReference w:id="35"/>
      </w:r>
      <w:r>
        <w:t xml:space="preserve"> 1</w:t>
      </w:r>
    </w:p>
    <w:p w14:paraId="4CC69349" w14:textId="1019A930" w:rsidR="00862F85" w:rsidRDefault="00862F85" w:rsidP="00862F85">
      <w:pPr>
        <w:pStyle w:val="Subtitle"/>
      </w:pPr>
      <w:r>
        <w:t xml:space="preserve">Test Log for </w:t>
      </w:r>
      <w:r>
        <w:t>MODPATH</w:t>
      </w:r>
      <w:r>
        <w:t xml:space="preserve"> Acceptance Test Case 1 (M</w:t>
      </w:r>
      <w:r w:rsidR="00D1774D">
        <w:t>U</w:t>
      </w:r>
      <w:r>
        <w:t>-ATC-1)</w:t>
      </w:r>
    </w:p>
    <w:p w14:paraId="790D430A"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4C388580"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0CD1C994" w14:textId="2704A66E" w:rsidR="00862F85" w:rsidRDefault="00862F85">
            <w:pPr>
              <w:spacing w:before="60" w:after="180"/>
              <w:rPr>
                <w:rFonts w:ascii="Arial" w:hAnsi="Arial"/>
                <w:sz w:val="16"/>
                <w:szCs w:val="16"/>
              </w:rPr>
            </w:pPr>
            <w:r>
              <w:rPr>
                <w:rFonts w:ascii="Arial" w:hAnsi="Arial"/>
                <w:sz w:val="16"/>
                <w:szCs w:val="16"/>
              </w:rPr>
              <w:t>MODPATH</w:t>
            </w:r>
            <w:r>
              <w:rPr>
                <w:rFonts w:ascii="Arial" w:hAnsi="Arial"/>
                <w:sz w:val="16"/>
                <w:szCs w:val="16"/>
              </w:rPr>
              <w:t xml:space="preserve"> Acceptance Test Case 1</w:t>
            </w:r>
          </w:p>
          <w:p w14:paraId="672ED874" w14:textId="77777777" w:rsidR="00862F85" w:rsidRDefault="00862F85">
            <w:pPr>
              <w:spacing w:before="60" w:after="180"/>
              <w:rPr>
                <w:rFonts w:ascii="Arial" w:hAnsi="Arial"/>
                <w:sz w:val="16"/>
                <w:szCs w:val="16"/>
              </w:rPr>
            </w:pPr>
            <w:r>
              <w:rPr>
                <w:rFonts w:ascii="Arial" w:hAnsi="Arial"/>
                <w:sz w:val="16"/>
                <w:szCs w:val="16"/>
              </w:rPr>
              <w:t xml:space="preserve">Description: </w:t>
            </w:r>
            <w:proofErr w:type="spellStart"/>
            <w:r>
              <w:rPr>
                <w:rFonts w:ascii="Arial" w:hAnsi="Arial"/>
                <w:sz w:val="16"/>
                <w:szCs w:val="16"/>
              </w:rPr>
              <w:t>Theis</w:t>
            </w:r>
            <w:proofErr w:type="spellEnd"/>
            <w:r>
              <w:rPr>
                <w:rFonts w:ascii="Arial" w:hAnsi="Arial"/>
                <w:sz w:val="16"/>
                <w:szCs w:val="16"/>
              </w:rPr>
              <w:t xml:space="preserve"> Transient Drawdown Problem</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0B32C1FF" w14:textId="77777777" w:rsidR="00862F85" w:rsidRDefault="00862F85">
            <w:pPr>
              <w:spacing w:before="60" w:after="180"/>
              <w:rPr>
                <w:rFonts w:ascii="Arial" w:hAnsi="Arial"/>
                <w:sz w:val="16"/>
                <w:szCs w:val="16"/>
              </w:rPr>
            </w:pPr>
            <w:r>
              <w:rPr>
                <w:rFonts w:ascii="Arial" w:hAnsi="Arial"/>
                <w:sz w:val="16"/>
                <w:szCs w:val="16"/>
              </w:rPr>
              <w:t>Test Case #: MF-ATC-1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3548FDAC"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1D621A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2F666D6C" w14:textId="77777777" w:rsidR="00862F85" w:rsidRDefault="00862F85">
            <w:pPr>
              <w:spacing w:before="60" w:after="180"/>
              <w:rPr>
                <w:rFonts w:ascii="Arial" w:hAnsi="Arial"/>
                <w:sz w:val="16"/>
                <w:szCs w:val="16"/>
              </w:rPr>
            </w:pPr>
            <w:r>
              <w:rPr>
                <w:rFonts w:ascii="Arial" w:hAnsi="Arial"/>
                <w:sz w:val="16"/>
                <w:szCs w:val="16"/>
              </w:rPr>
              <w:t>System Attributes:</w:t>
            </w:r>
          </w:p>
          <w:p w14:paraId="07808D9F" w14:textId="77777777" w:rsidR="00862F85" w:rsidRDefault="00862F85">
            <w:pPr>
              <w:rPr>
                <w:rFonts w:ascii="Arial" w:hAnsi="Arial"/>
                <w:sz w:val="16"/>
                <w:szCs w:val="16"/>
              </w:rPr>
            </w:pPr>
            <w:r>
              <w:rPr>
                <w:rFonts w:ascii="Arial" w:hAnsi="Arial"/>
                <w:sz w:val="16"/>
                <w:szCs w:val="16"/>
              </w:rPr>
              <w:t xml:space="preserve">Version #: </w:t>
            </w:r>
          </w:p>
          <w:p w14:paraId="69C5C7E1" w14:textId="77777777" w:rsidR="00862F85" w:rsidRDefault="00862F85">
            <w:pPr>
              <w:rPr>
                <w:rFonts w:ascii="Arial" w:hAnsi="Arial"/>
                <w:sz w:val="16"/>
                <w:szCs w:val="16"/>
              </w:rPr>
            </w:pPr>
            <w:r>
              <w:rPr>
                <w:rFonts w:ascii="Arial" w:hAnsi="Arial"/>
                <w:sz w:val="16"/>
                <w:szCs w:val="16"/>
              </w:rPr>
              <w:t xml:space="preserve">Release #:  </w:t>
            </w:r>
          </w:p>
          <w:p w14:paraId="6391E8A4" w14:textId="77777777" w:rsidR="00862F85" w:rsidRDefault="00862F85">
            <w:pPr>
              <w:rPr>
                <w:rFonts w:ascii="Arial" w:hAnsi="Arial"/>
                <w:sz w:val="16"/>
                <w:szCs w:val="16"/>
              </w:rPr>
            </w:pPr>
            <w:r>
              <w:rPr>
                <w:rFonts w:ascii="Arial" w:hAnsi="Arial"/>
                <w:sz w:val="16"/>
                <w:szCs w:val="16"/>
              </w:rPr>
              <w:t xml:space="preserve">Environment:  </w:t>
            </w:r>
          </w:p>
          <w:p w14:paraId="6F96B69D" w14:textId="77777777" w:rsidR="00862F85" w:rsidRDefault="00862F85">
            <w:pPr>
              <w:rPr>
                <w:rFonts w:ascii="Arial" w:hAnsi="Arial"/>
                <w:sz w:val="16"/>
                <w:szCs w:val="16"/>
              </w:rPr>
            </w:pPr>
            <w:r>
              <w:rPr>
                <w:rFonts w:ascii="Arial" w:hAnsi="Arial"/>
                <w:sz w:val="16"/>
                <w:szCs w:val="16"/>
              </w:rPr>
              <w:t xml:space="preserve">Server:  </w:t>
            </w:r>
          </w:p>
          <w:p w14:paraId="03E8997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0D549B4A"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1DA5C1A0"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0ED6C1BE"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5FD34BF9"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481677E8"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2102E11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0680FE3B"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6E91EFB1"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B01E6B2"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2FC371F"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0DB6EDC"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D38DC84" w14:textId="77777777" w:rsidR="00862F85" w:rsidRDefault="00862F85">
            <w:pPr>
              <w:spacing w:before="60" w:after="180"/>
              <w:rPr>
                <w:rFonts w:ascii="Arial" w:hAnsi="Arial"/>
                <w:sz w:val="16"/>
                <w:szCs w:val="16"/>
              </w:rPr>
            </w:pPr>
            <w:r>
              <w:rPr>
                <w:rFonts w:ascii="Arial" w:hAnsi="Arial"/>
                <w:sz w:val="16"/>
                <w:szCs w:val="16"/>
              </w:rPr>
              <w:t>MODFLOW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797091AF" w14:textId="77777777" w:rsidR="00862F85" w:rsidRDefault="00862F85">
            <w:pPr>
              <w:spacing w:before="60" w:after="180"/>
              <w:rPr>
                <w:rFonts w:ascii="Arial" w:hAnsi="Arial"/>
                <w:sz w:val="16"/>
                <w:szCs w:val="16"/>
              </w:rPr>
            </w:pPr>
          </w:p>
        </w:tc>
      </w:tr>
      <w:tr w:rsidR="00862F85" w14:paraId="4E564172"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FA542B9"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31FDA2ED"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A603157"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751CF3E"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688841EE" w14:textId="77777777" w:rsidR="00862F85" w:rsidRDefault="00862F85">
            <w:pPr>
              <w:spacing w:before="60" w:after="180"/>
              <w:rPr>
                <w:rFonts w:ascii="Arial" w:hAnsi="Arial"/>
                <w:sz w:val="16"/>
                <w:szCs w:val="16"/>
              </w:rPr>
            </w:pPr>
          </w:p>
        </w:tc>
      </w:tr>
      <w:tr w:rsidR="00862F85" w14:paraId="3811DB07"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5E19812A"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137CFE6E"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D397117" w14:textId="77777777" w:rsidR="00862F85" w:rsidRDefault="00862F85">
            <w:pPr>
              <w:spacing w:before="60" w:after="180"/>
              <w:rPr>
                <w:rFonts w:ascii="Arial" w:hAnsi="Arial"/>
                <w:sz w:val="16"/>
                <w:szCs w:val="16"/>
              </w:rPr>
            </w:pPr>
            <w:r>
              <w:rPr>
                <w:rFonts w:ascii="Arial" w:hAnsi="Arial"/>
                <w:sz w:val="16"/>
                <w:szCs w:val="16"/>
              </w:rPr>
              <w:t>Execute MODFLOW against mf-atc-1.nam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FB462DC" w14:textId="77777777" w:rsidR="00862F85" w:rsidRDefault="00862F85">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26417428" w14:textId="77777777" w:rsidR="00862F85" w:rsidRDefault="00862F85">
            <w:pPr>
              <w:spacing w:before="60" w:after="180"/>
              <w:rPr>
                <w:rFonts w:ascii="Arial" w:hAnsi="Arial"/>
                <w:sz w:val="16"/>
                <w:szCs w:val="16"/>
              </w:rPr>
            </w:pPr>
          </w:p>
        </w:tc>
      </w:tr>
      <w:tr w:rsidR="00862F85" w14:paraId="20EAD8CB"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200C73BC"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18C0C51F"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656F73A" w14:textId="77777777" w:rsidR="00862F85" w:rsidRDefault="00862F8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157320E" w14:textId="77777777" w:rsidR="00862F85" w:rsidRDefault="00862F85">
            <w:pPr>
              <w:spacing w:before="60" w:after="180"/>
              <w:rPr>
                <w:rFonts w:ascii="Arial" w:hAnsi="Arial"/>
                <w:sz w:val="16"/>
                <w:szCs w:val="16"/>
              </w:rPr>
            </w:pPr>
            <w:r>
              <w:rPr>
                <w:rFonts w:ascii="Arial" w:hAnsi="Arial"/>
                <w:sz w:val="16"/>
                <w:szCs w:val="16"/>
              </w:rPr>
              <w:t>Spreadsheet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49280F96" w14:textId="77777777" w:rsidR="00862F85" w:rsidRDefault="00862F85">
            <w:pPr>
              <w:spacing w:before="60" w:after="180"/>
              <w:rPr>
                <w:rFonts w:ascii="Arial" w:hAnsi="Arial"/>
                <w:sz w:val="16"/>
                <w:szCs w:val="16"/>
              </w:rPr>
            </w:pPr>
          </w:p>
        </w:tc>
      </w:tr>
      <w:tr w:rsidR="00862F85" w14:paraId="7C5A13F0"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C8B9B6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2D63023"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E0187A8"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BBE02D0" w14:textId="77777777" w:rsidR="00862F85" w:rsidRDefault="00862F85">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137EA3AE" w14:textId="77777777" w:rsidR="00862F85" w:rsidRDefault="00862F85">
            <w:pPr>
              <w:spacing w:before="60" w:after="180"/>
              <w:rPr>
                <w:rFonts w:ascii="Arial" w:hAnsi="Arial"/>
                <w:sz w:val="16"/>
                <w:szCs w:val="16"/>
              </w:rPr>
            </w:pPr>
          </w:p>
        </w:tc>
      </w:tr>
    </w:tbl>
    <w:p w14:paraId="26BBD434" w14:textId="77777777" w:rsidR="00862F85" w:rsidRDefault="00862F85" w:rsidP="00862F85">
      <w:pPr>
        <w:pStyle w:val="H1bodytext"/>
        <w:rPr>
          <w:rFonts w:cs="Arial"/>
          <w:color w:val="C00000"/>
        </w:rPr>
      </w:pPr>
    </w:p>
    <w:p w14:paraId="0EC885AB" w14:textId="77777777" w:rsidR="00862F85" w:rsidRDefault="00862F85" w:rsidP="00862F85">
      <w:pPr>
        <w:pStyle w:val="H1bodytext"/>
        <w:rPr>
          <w:rFonts w:cs="Arial"/>
          <w:color w:val="C00000"/>
        </w:rPr>
      </w:pPr>
    </w:p>
    <w:p w14:paraId="3DBC9C21" w14:textId="77777777" w:rsidR="00862F85" w:rsidRDefault="00862F85" w:rsidP="00862F85">
      <w:pPr>
        <w:rPr>
          <w:rFonts w:ascii="Arial" w:hAnsi="Arial" w:cs="Arial"/>
          <w:color w:val="C00000"/>
          <w:sz w:val="22"/>
          <w:szCs w:val="20"/>
        </w:rPr>
      </w:pPr>
      <w:r>
        <w:rPr>
          <w:rFonts w:cs="Arial"/>
          <w:color w:val="C00000"/>
        </w:rPr>
        <w:br w:type="page"/>
      </w:r>
    </w:p>
    <w:p w14:paraId="07BE81DF" w14:textId="77777777" w:rsidR="00862F85" w:rsidRDefault="00862F85" w:rsidP="00862F85">
      <w:pPr>
        <w:pStyle w:val="Title"/>
      </w:pPr>
      <w:r>
        <w:lastRenderedPageBreak/>
        <w:t>ATTACHMENT 2</w:t>
      </w:r>
    </w:p>
    <w:p w14:paraId="3289005C" w14:textId="77777777" w:rsidR="00862F85" w:rsidRDefault="00862F85" w:rsidP="00862F85">
      <w:pPr>
        <w:pStyle w:val="Subtitle"/>
      </w:pPr>
      <w:r>
        <w:t>Test Log for MT3DMS Acceptance Test Case 1 (MT-ATC-1)</w:t>
      </w:r>
    </w:p>
    <w:p w14:paraId="4CDF93AD"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6BBEF17D"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38312DEA" w14:textId="77777777" w:rsidR="00862F85" w:rsidRDefault="00862F85">
            <w:pPr>
              <w:spacing w:before="60" w:after="180"/>
              <w:rPr>
                <w:rFonts w:ascii="Arial" w:hAnsi="Arial"/>
                <w:sz w:val="16"/>
                <w:szCs w:val="16"/>
              </w:rPr>
            </w:pPr>
            <w:r>
              <w:rPr>
                <w:rFonts w:ascii="Arial" w:hAnsi="Arial"/>
                <w:sz w:val="16"/>
                <w:szCs w:val="16"/>
              </w:rPr>
              <w:t>MT3DMS Acceptance Test Case 1</w:t>
            </w:r>
          </w:p>
          <w:p w14:paraId="51BB2A38" w14:textId="77777777" w:rsidR="00862F85" w:rsidRDefault="00862F85">
            <w:pPr>
              <w:spacing w:before="60" w:after="180"/>
              <w:rPr>
                <w:rFonts w:ascii="Arial" w:hAnsi="Arial"/>
                <w:sz w:val="16"/>
                <w:szCs w:val="16"/>
              </w:rPr>
            </w:pPr>
            <w:r>
              <w:rPr>
                <w:rFonts w:ascii="Arial" w:hAnsi="Arial"/>
                <w:sz w:val="16"/>
                <w:szCs w:val="16"/>
              </w:rPr>
              <w:t>Description: One-Dimensional Advective-Diffusive Transport</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144F99BC" w14:textId="77777777" w:rsidR="00862F85" w:rsidRDefault="00862F85">
            <w:pPr>
              <w:spacing w:before="60" w:after="180"/>
              <w:rPr>
                <w:rFonts w:ascii="Arial" w:hAnsi="Arial"/>
                <w:sz w:val="16"/>
                <w:szCs w:val="16"/>
              </w:rPr>
            </w:pPr>
            <w:r>
              <w:rPr>
                <w:rFonts w:ascii="Arial" w:hAnsi="Arial"/>
                <w:sz w:val="16"/>
                <w:szCs w:val="16"/>
              </w:rPr>
              <w:t>Test Case #: MT-ATC-1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4CC990A5"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F4DCA5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174349AA" w14:textId="77777777" w:rsidR="00862F85" w:rsidRDefault="00862F85">
            <w:pPr>
              <w:spacing w:before="60" w:after="180"/>
              <w:rPr>
                <w:rFonts w:ascii="Arial" w:hAnsi="Arial"/>
                <w:sz w:val="16"/>
                <w:szCs w:val="16"/>
              </w:rPr>
            </w:pPr>
            <w:r>
              <w:rPr>
                <w:rFonts w:ascii="Arial" w:hAnsi="Arial"/>
                <w:sz w:val="16"/>
                <w:szCs w:val="16"/>
              </w:rPr>
              <w:t>System Attributes:</w:t>
            </w:r>
          </w:p>
          <w:p w14:paraId="0B6DBEFA" w14:textId="77777777" w:rsidR="00862F85" w:rsidRDefault="00862F85">
            <w:pPr>
              <w:rPr>
                <w:rFonts w:ascii="Arial" w:hAnsi="Arial"/>
                <w:sz w:val="16"/>
                <w:szCs w:val="16"/>
              </w:rPr>
            </w:pPr>
            <w:r>
              <w:rPr>
                <w:rFonts w:ascii="Arial" w:hAnsi="Arial"/>
                <w:sz w:val="16"/>
                <w:szCs w:val="16"/>
              </w:rPr>
              <w:t xml:space="preserve">Version #: </w:t>
            </w:r>
          </w:p>
          <w:p w14:paraId="0C44237D" w14:textId="77777777" w:rsidR="00862F85" w:rsidRDefault="00862F85">
            <w:pPr>
              <w:rPr>
                <w:rFonts w:ascii="Arial" w:hAnsi="Arial"/>
                <w:sz w:val="16"/>
                <w:szCs w:val="16"/>
              </w:rPr>
            </w:pPr>
            <w:r>
              <w:rPr>
                <w:rFonts w:ascii="Arial" w:hAnsi="Arial"/>
                <w:sz w:val="16"/>
                <w:szCs w:val="16"/>
              </w:rPr>
              <w:t xml:space="preserve">Release #:  </w:t>
            </w:r>
          </w:p>
          <w:p w14:paraId="2D121B66" w14:textId="77777777" w:rsidR="00862F85" w:rsidRDefault="00862F85">
            <w:pPr>
              <w:rPr>
                <w:rFonts w:ascii="Arial" w:hAnsi="Arial"/>
                <w:sz w:val="16"/>
                <w:szCs w:val="16"/>
              </w:rPr>
            </w:pPr>
            <w:r>
              <w:rPr>
                <w:rFonts w:ascii="Arial" w:hAnsi="Arial"/>
                <w:sz w:val="16"/>
                <w:szCs w:val="16"/>
              </w:rPr>
              <w:t xml:space="preserve">Environment:  </w:t>
            </w:r>
          </w:p>
          <w:p w14:paraId="2AB1D93E" w14:textId="77777777" w:rsidR="00862F85" w:rsidRDefault="00862F85">
            <w:pPr>
              <w:rPr>
                <w:rFonts w:ascii="Arial" w:hAnsi="Arial"/>
                <w:sz w:val="16"/>
                <w:szCs w:val="16"/>
              </w:rPr>
            </w:pPr>
            <w:r>
              <w:rPr>
                <w:rFonts w:ascii="Arial" w:hAnsi="Arial"/>
                <w:sz w:val="16"/>
                <w:szCs w:val="16"/>
              </w:rPr>
              <w:t xml:space="preserve">Server:  </w:t>
            </w:r>
          </w:p>
          <w:p w14:paraId="03E7FA6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757E74A5"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2F24E411"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36592555"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14F9F5AA"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4522EAF"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6FD5C4B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76E7A153"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45E855E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54E1DD8"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0DBADC1"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6A58720"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73DB171" w14:textId="77777777" w:rsidR="00862F85" w:rsidRDefault="00862F85">
            <w:pPr>
              <w:spacing w:before="60" w:after="180"/>
              <w:rPr>
                <w:rFonts w:ascii="Arial" w:hAnsi="Arial"/>
                <w:sz w:val="16"/>
                <w:szCs w:val="16"/>
              </w:rPr>
            </w:pPr>
            <w:r>
              <w:rPr>
                <w:rFonts w:ascii="Arial" w:hAnsi="Arial"/>
                <w:sz w:val="16"/>
                <w:szCs w:val="16"/>
              </w:rPr>
              <w:t>MODFLOW and MT3DMS executables are ready and functional</w:t>
            </w:r>
          </w:p>
        </w:tc>
        <w:tc>
          <w:tcPr>
            <w:tcW w:w="2314" w:type="dxa"/>
            <w:tcBorders>
              <w:top w:val="single" w:sz="4" w:space="0" w:color="000000"/>
              <w:left w:val="single" w:sz="4" w:space="0" w:color="000000"/>
              <w:bottom w:val="single" w:sz="4" w:space="0" w:color="000000"/>
              <w:right w:val="single" w:sz="4" w:space="0" w:color="000000"/>
            </w:tcBorders>
          </w:tcPr>
          <w:p w14:paraId="04CCF53A" w14:textId="77777777" w:rsidR="00862F85" w:rsidRDefault="00862F85">
            <w:pPr>
              <w:spacing w:before="60" w:after="180"/>
              <w:rPr>
                <w:rFonts w:ascii="Arial" w:hAnsi="Arial"/>
                <w:sz w:val="16"/>
                <w:szCs w:val="16"/>
              </w:rPr>
            </w:pPr>
          </w:p>
        </w:tc>
      </w:tr>
      <w:tr w:rsidR="00862F85" w14:paraId="27D1D2A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D33B88F"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443C30A6"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4231CF5"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1AB5DF"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35C0282B" w14:textId="77777777" w:rsidR="00862F85" w:rsidRDefault="00862F85">
            <w:pPr>
              <w:spacing w:before="60" w:after="180"/>
              <w:rPr>
                <w:rFonts w:ascii="Arial" w:hAnsi="Arial"/>
                <w:sz w:val="16"/>
                <w:szCs w:val="16"/>
              </w:rPr>
            </w:pPr>
          </w:p>
        </w:tc>
      </w:tr>
      <w:tr w:rsidR="00862F85" w14:paraId="258A4D26"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78A88F6"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58B525B9"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8751AAD" w14:textId="77777777" w:rsidR="00862F85" w:rsidRDefault="00862F85">
            <w:pPr>
              <w:spacing w:before="60" w:after="180"/>
              <w:rPr>
                <w:rFonts w:ascii="Arial" w:hAnsi="Arial"/>
                <w:sz w:val="16"/>
                <w:szCs w:val="16"/>
              </w:rPr>
            </w:pPr>
            <w:r>
              <w:rPr>
                <w:rFonts w:ascii="Arial" w:hAnsi="Arial"/>
                <w:sz w:val="16"/>
                <w:szCs w:val="16"/>
              </w:rPr>
              <w:t>Execute MODFLOW against mt-atc-1.nam name file in /flow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F8D2AF9" w14:textId="77777777" w:rsidR="00862F85" w:rsidRDefault="00862F8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2314" w:type="dxa"/>
            <w:tcBorders>
              <w:top w:val="single" w:sz="4" w:space="0" w:color="000000"/>
              <w:left w:val="single" w:sz="4" w:space="0" w:color="000000"/>
              <w:bottom w:val="single" w:sz="4" w:space="0" w:color="000000"/>
              <w:right w:val="single" w:sz="4" w:space="0" w:color="000000"/>
            </w:tcBorders>
          </w:tcPr>
          <w:p w14:paraId="65B68146" w14:textId="77777777" w:rsidR="00862F85" w:rsidRDefault="00862F85">
            <w:pPr>
              <w:spacing w:before="60" w:after="180"/>
              <w:rPr>
                <w:rFonts w:ascii="Arial" w:hAnsi="Arial"/>
                <w:sz w:val="16"/>
                <w:szCs w:val="16"/>
              </w:rPr>
            </w:pPr>
          </w:p>
        </w:tc>
      </w:tr>
      <w:tr w:rsidR="00862F85" w14:paraId="638C664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45BE61CD"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33BADBC0" w14:textId="77777777" w:rsidR="00862F85" w:rsidRDefault="00862F85">
            <w:pPr>
              <w:spacing w:before="60" w:after="180"/>
              <w:rPr>
                <w:rFonts w:ascii="Arial" w:hAnsi="Arial"/>
                <w:sz w:val="16"/>
                <w:szCs w:val="16"/>
              </w:rPr>
            </w:pPr>
            <w:r>
              <w:rPr>
                <w:rFonts w:ascii="Arial" w:hAnsi="Arial"/>
                <w:sz w:val="16"/>
                <w:szCs w:val="16"/>
              </w:rPr>
              <w:t>Run MT3DMS to solve for transport in both time durations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28D2C45" w14:textId="77777777" w:rsidR="00862F85" w:rsidRDefault="00862F8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1CE80C8A" w14:textId="77777777" w:rsidR="00862F85" w:rsidRDefault="00862F8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2314" w:type="dxa"/>
            <w:tcBorders>
              <w:top w:val="single" w:sz="4" w:space="0" w:color="000000"/>
              <w:left w:val="single" w:sz="4" w:space="0" w:color="000000"/>
              <w:bottom w:val="single" w:sz="4" w:space="0" w:color="000000"/>
              <w:right w:val="single" w:sz="4" w:space="0" w:color="000000"/>
            </w:tcBorders>
          </w:tcPr>
          <w:p w14:paraId="0D35C9D3" w14:textId="77777777" w:rsidR="00862F85" w:rsidRDefault="00862F85">
            <w:pPr>
              <w:spacing w:before="60" w:after="180"/>
              <w:rPr>
                <w:rFonts w:ascii="Arial" w:hAnsi="Arial"/>
                <w:sz w:val="16"/>
                <w:szCs w:val="16"/>
              </w:rPr>
            </w:pPr>
          </w:p>
        </w:tc>
      </w:tr>
      <w:tr w:rsidR="00862F85" w14:paraId="19D6F9AC"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1C3C048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586E0B3"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670034" w14:textId="77777777" w:rsidR="00862F85" w:rsidRDefault="00862F85">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47FA82E" w14:textId="77777777" w:rsidR="00862F85" w:rsidRDefault="00862F85">
            <w:pPr>
              <w:spacing w:before="60" w:after="180"/>
              <w:rPr>
                <w:rFonts w:ascii="Arial" w:hAnsi="Arial"/>
                <w:sz w:val="16"/>
                <w:szCs w:val="16"/>
              </w:rPr>
            </w:pPr>
            <w:r>
              <w:rPr>
                <w:rFonts w:ascii="Arial" w:hAnsi="Arial"/>
                <w:sz w:val="16"/>
                <w:szCs w:val="16"/>
              </w:rPr>
              <w:t>Spreadsheets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5063A5A8" w14:textId="77777777" w:rsidR="00862F85" w:rsidRDefault="00862F85">
            <w:pPr>
              <w:spacing w:before="60" w:after="180"/>
              <w:rPr>
                <w:rFonts w:ascii="Arial" w:hAnsi="Arial"/>
                <w:sz w:val="16"/>
                <w:szCs w:val="16"/>
              </w:rPr>
            </w:pPr>
          </w:p>
        </w:tc>
      </w:tr>
      <w:tr w:rsidR="00862F85" w14:paraId="600370BA"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734F494" w14:textId="77777777" w:rsidR="00862F85" w:rsidRDefault="00862F85">
            <w:pPr>
              <w:spacing w:before="60" w:after="180"/>
              <w:rPr>
                <w:rFonts w:ascii="Arial" w:hAnsi="Arial"/>
                <w:sz w:val="16"/>
                <w:szCs w:val="16"/>
              </w:rPr>
            </w:pPr>
            <w:r>
              <w:rPr>
                <w:rFonts w:ascii="Arial" w:hAnsi="Arial"/>
                <w:sz w:val="16"/>
                <w:szCs w:val="16"/>
              </w:rPr>
              <w:t>6</w:t>
            </w:r>
          </w:p>
        </w:tc>
        <w:tc>
          <w:tcPr>
            <w:tcW w:w="1716" w:type="dxa"/>
            <w:tcBorders>
              <w:top w:val="single" w:sz="4" w:space="0" w:color="000000"/>
              <w:left w:val="single" w:sz="4" w:space="0" w:color="000000"/>
              <w:bottom w:val="single" w:sz="4" w:space="0" w:color="000000"/>
              <w:right w:val="single" w:sz="4" w:space="0" w:color="000000"/>
            </w:tcBorders>
            <w:hideMark/>
          </w:tcPr>
          <w:p w14:paraId="7597BB56"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8FACFD2"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903959D" w14:textId="77777777" w:rsidR="00862F85" w:rsidRDefault="00862F85">
            <w:pPr>
              <w:spacing w:before="60" w:after="180"/>
              <w:rPr>
                <w:rFonts w:ascii="Arial" w:hAnsi="Arial"/>
                <w:sz w:val="16"/>
                <w:szCs w:val="16"/>
              </w:rPr>
            </w:pPr>
            <w:r>
              <w:rPr>
                <w:rFonts w:ascii="Arial" w:hAnsi="Arial"/>
                <w:sz w:val="16"/>
                <w:szCs w:val="16"/>
              </w:rPr>
              <w:t>MT3DMS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098F7836" w14:textId="77777777" w:rsidR="00862F85" w:rsidRDefault="00862F85">
            <w:pPr>
              <w:spacing w:before="60" w:after="180"/>
              <w:rPr>
                <w:rFonts w:ascii="Arial" w:hAnsi="Arial"/>
                <w:sz w:val="16"/>
                <w:szCs w:val="16"/>
              </w:rPr>
            </w:pPr>
          </w:p>
        </w:tc>
      </w:tr>
    </w:tbl>
    <w:p w14:paraId="7F0889DA" w14:textId="77777777" w:rsidR="00862F85" w:rsidRDefault="00862F85" w:rsidP="00862F85">
      <w:pPr>
        <w:pStyle w:val="H1bodytext"/>
        <w:rPr>
          <w:rFonts w:cs="Arial"/>
          <w:color w:val="C00000"/>
        </w:rPr>
      </w:pPr>
    </w:p>
    <w:p w14:paraId="03C5F5D3" w14:textId="19562B3A" w:rsidR="00175B8E" w:rsidRDefault="00175B8E" w:rsidP="00F01FBC">
      <w:pPr>
        <w:jc w:val="center"/>
      </w:pPr>
    </w:p>
    <w:sectPr w:rsidR="00175B8E">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18T17:39:00Z" w:initials="MW">
    <w:p w14:paraId="3FAC3963" w14:textId="77777777" w:rsidR="00B97567" w:rsidRDefault="00B97567">
      <w:pPr>
        <w:pStyle w:val="CommentText"/>
      </w:pPr>
      <w:r>
        <w:rPr>
          <w:rStyle w:val="CommentReference"/>
        </w:rPr>
        <w:annotationRef/>
      </w:r>
      <w:r>
        <w:t xml:space="preserve">Looks like this is </w:t>
      </w:r>
      <w:proofErr w:type="spellStart"/>
      <w:r>
        <w:t>gonna</w:t>
      </w:r>
      <w:proofErr w:type="spellEnd"/>
      <w:r>
        <w:t xml:space="preserve"> have to be </w:t>
      </w:r>
      <w:proofErr w:type="spellStart"/>
      <w:r>
        <w:t>rev’d</w:t>
      </w:r>
      <w:proofErr w:type="spellEnd"/>
    </w:p>
    <w:p w14:paraId="4D224FAC" w14:textId="77777777" w:rsidR="00B97567" w:rsidRDefault="00B97567">
      <w:pPr>
        <w:pStyle w:val="CommentText"/>
      </w:pPr>
      <w:r>
        <w:t xml:space="preserve">Also, we’ll need one for </w:t>
      </w:r>
      <w:proofErr w:type="spellStart"/>
      <w:r>
        <w:t>Modpath</w:t>
      </w:r>
      <w:proofErr w:type="spellEnd"/>
      <w:r>
        <w:t>. Do I write it?</w:t>
      </w:r>
    </w:p>
  </w:comment>
  <w:comment w:id="1" w:author="Mary Weber" w:date="2018-08-18T17:45:00Z" w:initials="MW">
    <w:p w14:paraId="385768FA" w14:textId="77777777" w:rsidR="00B97567" w:rsidRDefault="00B97567">
      <w:pPr>
        <w:pStyle w:val="CommentText"/>
      </w:pPr>
      <w:r>
        <w:rPr>
          <w:rStyle w:val="CommentReference"/>
        </w:rPr>
        <w:annotationRef/>
      </w:r>
      <w:r>
        <w:t>Does this apply? Do we have to do this in addition to our tests being like they are?</w:t>
      </w:r>
    </w:p>
  </w:comment>
  <w:comment w:id="2" w:author="Mary Weber" w:date="2018-08-29T17:44:00Z" w:initials="MW">
    <w:p w14:paraId="23861BF3" w14:textId="10ED0308" w:rsidR="004864D3" w:rsidRDefault="004864D3">
      <w:pPr>
        <w:pStyle w:val="CommentText"/>
      </w:pPr>
      <w:r>
        <w:rPr>
          <w:rStyle w:val="CommentReference"/>
        </w:rPr>
        <w:annotationRef/>
      </w:r>
      <w:r>
        <w:t>Acceptance vs installation testing?</w:t>
      </w:r>
    </w:p>
  </w:comment>
  <w:comment w:id="4" w:author="Mary Weber" w:date="2018-08-18T18:07:00Z" w:initials="MW">
    <w:p w14:paraId="5253CA71" w14:textId="77777777" w:rsidR="00B97567" w:rsidRDefault="00B97567">
      <w:pPr>
        <w:pStyle w:val="CommentText"/>
      </w:pPr>
      <w:r>
        <w:rPr>
          <w:rStyle w:val="CommentReference"/>
        </w:rPr>
        <w:annotationRef/>
      </w:r>
      <w:r>
        <w:t>Make a list of the tasks you need to do to run this test, and then check this against someone running this installation for the first time</w:t>
      </w:r>
    </w:p>
    <w:p w14:paraId="738A3ED1" w14:textId="77777777" w:rsidR="00B97567" w:rsidRDefault="00B97567" w:rsidP="00D904CC">
      <w:pPr>
        <w:pStyle w:val="CommentText"/>
        <w:numPr>
          <w:ilvl w:val="0"/>
          <w:numId w:val="3"/>
        </w:numPr>
      </w:pPr>
      <w:r>
        <w:t xml:space="preserve"> Download and install git bash [I don’t know how to phrase this. Is it a compiler? Do we need compilers?]</w:t>
      </w:r>
    </w:p>
    <w:p w14:paraId="1998DC1A" w14:textId="77777777" w:rsidR="00B97567" w:rsidRDefault="00B97567"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B97567" w:rsidRDefault="00B97567" w:rsidP="00D904CC">
      <w:pPr>
        <w:pStyle w:val="CommentText"/>
        <w:numPr>
          <w:ilvl w:val="0"/>
          <w:numId w:val="3"/>
        </w:numPr>
      </w:pPr>
      <w:r>
        <w:t xml:space="preserve"> Move files</w:t>
      </w:r>
    </w:p>
    <w:p w14:paraId="009987FE" w14:textId="77777777" w:rsidR="00B97567" w:rsidRDefault="00B97567" w:rsidP="00D904CC">
      <w:pPr>
        <w:pStyle w:val="CommentText"/>
        <w:numPr>
          <w:ilvl w:val="0"/>
          <w:numId w:val="3"/>
        </w:numPr>
      </w:pPr>
      <w:r>
        <w:t xml:space="preserve"> Use a text editor</w:t>
      </w:r>
    </w:p>
  </w:comment>
  <w:comment w:id="5" w:author="Mary Weber" w:date="2018-08-18T18:21:00Z" w:initials="MW">
    <w:p w14:paraId="1D02D6FE" w14:textId="77777777" w:rsidR="00B97567" w:rsidRDefault="00B97567">
      <w:pPr>
        <w:pStyle w:val="CommentText"/>
      </w:pPr>
      <w:r>
        <w:rPr>
          <w:rStyle w:val="CommentReference"/>
        </w:rPr>
        <w:annotationRef/>
      </w:r>
      <w:r>
        <w:t>What’s the difference?</w:t>
      </w:r>
    </w:p>
  </w:comment>
  <w:comment w:id="6" w:author="Mary Weber" w:date="2018-08-18T18:22:00Z" w:initials="MW">
    <w:p w14:paraId="10FE9F33" w14:textId="77777777" w:rsidR="00B97567" w:rsidRDefault="00B97567">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 w:id="29" w:author="Mary Weber" w:date="2018-08-29T13:55:00Z" w:initials="MW">
    <w:p w14:paraId="0E14B4BB" w14:textId="24FC1964" w:rsidR="00B97567" w:rsidRDefault="00B97567">
      <w:pPr>
        <w:pStyle w:val="CommentText"/>
      </w:pPr>
      <w:r>
        <w:rPr>
          <w:rStyle w:val="CommentReference"/>
        </w:rPr>
        <w:annotationRef/>
      </w:r>
      <w:r>
        <w:t>I’m pretty sure we only need to cite Grubb</w:t>
      </w:r>
    </w:p>
  </w:comment>
  <w:comment w:id="32" w:author="Mary Weber" w:date="2018-08-29T15:21:00Z" w:initials="MW">
    <w:p w14:paraId="56648013" w14:textId="78D79201" w:rsidR="00B97567" w:rsidRDefault="00B97567">
      <w:pPr>
        <w:pStyle w:val="CommentText"/>
      </w:pPr>
      <w:r>
        <w:rPr>
          <w:rStyle w:val="CommentReference"/>
        </w:rPr>
        <w:annotationRef/>
      </w:r>
      <w:r>
        <w:t>Should probably pull the maximum y, not the final y</w:t>
      </w:r>
    </w:p>
  </w:comment>
  <w:comment w:id="33" w:author="Mary Weber" w:date="2018-08-29T16:01:00Z" w:initials="MW">
    <w:p w14:paraId="7606F958" w14:textId="588E7AFF" w:rsidR="00D1774D" w:rsidRDefault="00D1774D">
      <w:pPr>
        <w:pStyle w:val="CommentText"/>
      </w:pPr>
      <w:r>
        <w:rPr>
          <w:rStyle w:val="CommentReference"/>
        </w:rPr>
        <w:annotationRef/>
      </w:r>
      <w:r>
        <w:t>Fill this out, also check for feet vs ft, years written with or without parentheses</w:t>
      </w:r>
    </w:p>
  </w:comment>
  <w:comment w:id="34" w:author="Mary Weber" w:date="2018-08-29T15:36:00Z" w:initials="MW">
    <w:p w14:paraId="07DF66DA" w14:textId="77777777" w:rsidR="00D1774D" w:rsidRDefault="00D1774D" w:rsidP="00D1774D">
      <w:pPr>
        <w:pStyle w:val="CommentText"/>
      </w:pPr>
      <w:r>
        <w:rPr>
          <w:rStyle w:val="CommentReference"/>
        </w:rPr>
        <w:annotationRef/>
      </w:r>
      <w:r>
        <w:t>Change names of the files here to “test_case_1”</w:t>
      </w:r>
    </w:p>
  </w:comment>
  <w:comment w:id="35" w:author="Mary Weber" w:date="2018-08-29T15:59:00Z" w:initials="MW">
    <w:p w14:paraId="437C3D53" w14:textId="663B0623" w:rsidR="00D1774D" w:rsidRDefault="00D1774D">
      <w:pPr>
        <w:pStyle w:val="CommentText"/>
      </w:pPr>
      <w:r>
        <w:rPr>
          <w:rStyle w:val="CommentReference"/>
        </w:rPr>
        <w:annotationRef/>
      </w:r>
      <w:r>
        <w:t>WE NEED TO TALK ABOUT THIS FOR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24FAC" w15:done="0"/>
  <w15:commentEx w15:paraId="385768FA" w15:done="0"/>
  <w15:commentEx w15:paraId="23861BF3" w15:done="0"/>
  <w15:commentEx w15:paraId="009987FE" w15:done="0"/>
  <w15:commentEx w15:paraId="1D02D6FE" w15:done="0"/>
  <w15:commentEx w15:paraId="10FE9F33" w15:done="0"/>
  <w15:commentEx w15:paraId="0E14B4BB" w15:done="0"/>
  <w15:commentEx w15:paraId="56648013" w15:done="0"/>
  <w15:commentEx w15:paraId="7606F958" w15:done="0"/>
  <w15:commentEx w15:paraId="07DF66DA" w15:done="0"/>
  <w15:commentEx w15:paraId="437C3D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24FAC" w16cid:durableId="1F22D838"/>
  <w16cid:commentId w16cid:paraId="385768FA" w16cid:durableId="1F22D9B6"/>
  <w16cid:commentId w16cid:paraId="23861BF3" w16cid:durableId="1F3159FB"/>
  <w16cid:commentId w16cid:paraId="009987FE" w16cid:durableId="1F22DED3"/>
  <w16cid:commentId w16cid:paraId="1D02D6FE" w16cid:durableId="1F22E20C"/>
  <w16cid:commentId w16cid:paraId="10FE9F33" w16cid:durableId="1F22E266"/>
  <w16cid:commentId w16cid:paraId="0E14B4BB" w16cid:durableId="1F312456"/>
  <w16cid:commentId w16cid:paraId="56648013" w16cid:durableId="1F31385D"/>
  <w16cid:commentId w16cid:paraId="7606F958" w16cid:durableId="1F3141BC"/>
  <w16cid:commentId w16cid:paraId="07DF66DA" w16cid:durableId="1F313C17"/>
  <w16cid:commentId w16cid:paraId="437C3D53" w16cid:durableId="1F314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66F9" w14:textId="77777777" w:rsidR="00F877E3" w:rsidRDefault="00F877E3" w:rsidP="008A4A83">
      <w:r>
        <w:separator/>
      </w:r>
    </w:p>
  </w:endnote>
  <w:endnote w:type="continuationSeparator" w:id="0">
    <w:p w14:paraId="4C129698" w14:textId="77777777" w:rsidR="00F877E3" w:rsidRDefault="00F877E3"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498D" w14:textId="77777777" w:rsidR="00B97567" w:rsidRDefault="00B9756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393A0A" w14:textId="77777777" w:rsidR="00B97567" w:rsidRDefault="00B97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06D2" w14:textId="77777777" w:rsidR="00F877E3" w:rsidRDefault="00F877E3" w:rsidP="008A4A83">
      <w:r>
        <w:separator/>
      </w:r>
    </w:p>
  </w:footnote>
  <w:footnote w:type="continuationSeparator" w:id="0">
    <w:p w14:paraId="0A6FFF27" w14:textId="77777777" w:rsidR="00F877E3" w:rsidRDefault="00F877E3" w:rsidP="008A4A83">
      <w:r>
        <w:continuationSeparator/>
      </w:r>
    </w:p>
  </w:footnote>
  <w:footnote w:id="1">
    <w:p w14:paraId="694E4B9D" w14:textId="77777777" w:rsidR="00B97567" w:rsidRDefault="00B97567"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23"/>
    <w:multiLevelType w:val="hybridMultilevel"/>
    <w:tmpl w:val="90E407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97B69FA"/>
    <w:multiLevelType w:val="hybridMultilevel"/>
    <w:tmpl w:val="F93A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56BF2B4D"/>
    <w:multiLevelType w:val="hybridMultilevel"/>
    <w:tmpl w:val="E904F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EA0DFF"/>
    <w:multiLevelType w:val="hybridMultilevel"/>
    <w:tmpl w:val="48240812"/>
    <w:lvl w:ilvl="0" w:tplc="D5280D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3"/>
  </w:num>
  <w:num w:numId="9">
    <w:abstractNumId w:val="8"/>
  </w:num>
  <w:num w:numId="10">
    <w:abstractNumId w:val="4"/>
  </w:num>
  <w:num w:numId="11">
    <w:abstractNumId w:val="2"/>
  </w:num>
  <w:num w:numId="12">
    <w:abstractNumId w:val="1"/>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04FD3"/>
    <w:rsid w:val="000F1148"/>
    <w:rsid w:val="001109A6"/>
    <w:rsid w:val="00111EC1"/>
    <w:rsid w:val="00175B8E"/>
    <w:rsid w:val="001B4A17"/>
    <w:rsid w:val="002274D0"/>
    <w:rsid w:val="002752C1"/>
    <w:rsid w:val="002E3618"/>
    <w:rsid w:val="002F6C13"/>
    <w:rsid w:val="00325E48"/>
    <w:rsid w:val="003F1CCF"/>
    <w:rsid w:val="003F57F1"/>
    <w:rsid w:val="00427E19"/>
    <w:rsid w:val="00454134"/>
    <w:rsid w:val="00465578"/>
    <w:rsid w:val="004864D3"/>
    <w:rsid w:val="00492A1B"/>
    <w:rsid w:val="004A0E19"/>
    <w:rsid w:val="004B3067"/>
    <w:rsid w:val="004B3081"/>
    <w:rsid w:val="004E6E26"/>
    <w:rsid w:val="004F605C"/>
    <w:rsid w:val="0050406C"/>
    <w:rsid w:val="00512566"/>
    <w:rsid w:val="00544AEA"/>
    <w:rsid w:val="00556DA7"/>
    <w:rsid w:val="005A0265"/>
    <w:rsid w:val="00682494"/>
    <w:rsid w:val="006F1B60"/>
    <w:rsid w:val="00711A88"/>
    <w:rsid w:val="0072186D"/>
    <w:rsid w:val="0077409E"/>
    <w:rsid w:val="00782EFB"/>
    <w:rsid w:val="0082225A"/>
    <w:rsid w:val="00824939"/>
    <w:rsid w:val="00862F85"/>
    <w:rsid w:val="00887C02"/>
    <w:rsid w:val="008A4A83"/>
    <w:rsid w:val="008A744F"/>
    <w:rsid w:val="008B3D26"/>
    <w:rsid w:val="008C2B8C"/>
    <w:rsid w:val="008E26B7"/>
    <w:rsid w:val="008E666C"/>
    <w:rsid w:val="008F1AEC"/>
    <w:rsid w:val="008F4B2C"/>
    <w:rsid w:val="008F7B3B"/>
    <w:rsid w:val="00913C11"/>
    <w:rsid w:val="00915974"/>
    <w:rsid w:val="00943862"/>
    <w:rsid w:val="009711EA"/>
    <w:rsid w:val="00976831"/>
    <w:rsid w:val="0099278E"/>
    <w:rsid w:val="009A5880"/>
    <w:rsid w:val="009B704C"/>
    <w:rsid w:val="009D029D"/>
    <w:rsid w:val="009F7F54"/>
    <w:rsid w:val="00A13C86"/>
    <w:rsid w:val="00A26128"/>
    <w:rsid w:val="00AB41BA"/>
    <w:rsid w:val="00B009FC"/>
    <w:rsid w:val="00B41637"/>
    <w:rsid w:val="00B71B75"/>
    <w:rsid w:val="00B971FF"/>
    <w:rsid w:val="00B97567"/>
    <w:rsid w:val="00BC61D9"/>
    <w:rsid w:val="00C605E9"/>
    <w:rsid w:val="00C6281D"/>
    <w:rsid w:val="00C7406B"/>
    <w:rsid w:val="00CF6097"/>
    <w:rsid w:val="00D1774D"/>
    <w:rsid w:val="00D4032F"/>
    <w:rsid w:val="00D52088"/>
    <w:rsid w:val="00D523C5"/>
    <w:rsid w:val="00D904CC"/>
    <w:rsid w:val="00DB4A36"/>
    <w:rsid w:val="00DD24F8"/>
    <w:rsid w:val="00DE2AD4"/>
    <w:rsid w:val="00E33B1F"/>
    <w:rsid w:val="00E94CC5"/>
    <w:rsid w:val="00EB5C37"/>
    <w:rsid w:val="00ED4E36"/>
    <w:rsid w:val="00F01FBC"/>
    <w:rsid w:val="00F056A7"/>
    <w:rsid w:val="00F07119"/>
    <w:rsid w:val="00F35CF7"/>
    <w:rsid w:val="00F877E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Normal"/>
    <w:next w:val="Normal"/>
    <w:rsid w:val="00E94CC5"/>
    <w:pPr>
      <w:spacing w:before="80" w:after="80"/>
      <w:jc w:val="center"/>
    </w:pPr>
    <w:rPr>
      <w:rFonts w:ascii="Times New Roman Bold" w:hAnsi="Times New Roman Bold"/>
      <w:b/>
      <w:sz w:val="22"/>
      <w:szCs w:val="20"/>
    </w:rPr>
  </w:style>
  <w:style w:type="paragraph" w:customStyle="1" w:styleId="TableBody">
    <w:name w:val="Table Body"/>
    <w:aliases w:val="tb"/>
    <w:basedOn w:val="TableHead"/>
    <w:link w:val="TableBodyChar"/>
    <w:rsid w:val="00E94CC5"/>
    <w:pPr>
      <w:spacing w:before="60" w:after="60" w:line="252" w:lineRule="auto"/>
      <w:jc w:val="left"/>
    </w:pPr>
    <w:rPr>
      <w:rFonts w:ascii="Times New Roman" w:hAnsi="Times New Roman"/>
      <w:b w:val="0"/>
    </w:rPr>
  </w:style>
  <w:style w:type="character" w:customStyle="1" w:styleId="TableBodyChar">
    <w:name w:val="Table Body Char"/>
    <w:basedOn w:val="DefaultParagraphFont"/>
    <w:link w:val="TableBody"/>
    <w:locked/>
    <w:rsid w:val="00E94CC5"/>
    <w:rPr>
      <w:rFonts w:ascii="Times New Roman" w:eastAsia="Times New Roman" w:hAnsi="Times New Roman" w:cs="Times New Roman"/>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 w:type="paragraph" w:styleId="Footer">
    <w:name w:val="footer"/>
    <w:basedOn w:val="Normal"/>
    <w:link w:val="FooterChar"/>
    <w:uiPriority w:val="99"/>
    <w:unhideWhenUsed/>
    <w:rsid w:val="00B009FC"/>
    <w:pPr>
      <w:tabs>
        <w:tab w:val="center" w:pos="4680"/>
        <w:tab w:val="right" w:pos="9360"/>
      </w:tabs>
    </w:pPr>
  </w:style>
  <w:style w:type="character" w:customStyle="1" w:styleId="FooterChar">
    <w:name w:val="Footer Char"/>
    <w:basedOn w:val="DefaultParagraphFont"/>
    <w:link w:val="Footer"/>
    <w:uiPriority w:val="99"/>
    <w:rsid w:val="00B009FC"/>
    <w:rPr>
      <w:rFonts w:ascii="Times New Roman" w:eastAsia="Times New Roman" w:hAnsi="Times New Roman" w:cs="Times New Roman"/>
      <w:sz w:val="24"/>
      <w:szCs w:val="24"/>
    </w:rPr>
  </w:style>
  <w:style w:type="paragraph" w:customStyle="1" w:styleId="Table-Level2">
    <w:name w:val="Table - Level 2"/>
    <w:basedOn w:val="Normal"/>
    <w:rsid w:val="00B97567"/>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napToGrid w:val="0"/>
      <w:spacing w:before="120" w:after="120"/>
      <w:jc w:val="both"/>
    </w:pPr>
    <w:rPr>
      <w:rFonts w:ascii="Arial" w:hAnsi="Arial"/>
      <w:b/>
      <w:sz w:val="20"/>
      <w:szCs w:val="20"/>
    </w:rPr>
  </w:style>
  <w:style w:type="paragraph" w:styleId="Title">
    <w:name w:val="Title"/>
    <w:basedOn w:val="Normal"/>
    <w:next w:val="Normal"/>
    <w:link w:val="TitleChar"/>
    <w:qFormat/>
    <w:rsid w:val="00862F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62F85"/>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62F85"/>
    <w:pPr>
      <w:spacing w:after="60"/>
      <w:jc w:val="center"/>
      <w:outlineLvl w:val="1"/>
    </w:pPr>
    <w:rPr>
      <w:rFonts w:ascii="Cambria" w:hAnsi="Cambria"/>
    </w:rPr>
  </w:style>
  <w:style w:type="character" w:customStyle="1" w:styleId="SubtitleChar">
    <w:name w:val="Subtitle Char"/>
    <w:basedOn w:val="DefaultParagraphFont"/>
    <w:link w:val="Subtitle"/>
    <w:rsid w:val="00862F85"/>
    <w:rPr>
      <w:rFonts w:ascii="Cambria" w:eastAsia="Times New Roman" w:hAnsi="Cambria" w:cs="Times New Roman"/>
      <w:sz w:val="24"/>
      <w:szCs w:val="24"/>
    </w:rPr>
  </w:style>
  <w:style w:type="paragraph" w:styleId="ListParagraph">
    <w:name w:val="List Paragraph"/>
    <w:basedOn w:val="Normal"/>
    <w:uiPriority w:val="34"/>
    <w:qFormat/>
    <w:rsid w:val="00D1774D"/>
    <w:pPr>
      <w:ind w:left="720"/>
      <w:contextualSpacing/>
    </w:pPr>
  </w:style>
  <w:style w:type="character" w:styleId="Hyperlink">
    <w:name w:val="Hyperlink"/>
    <w:basedOn w:val="DefaultParagraphFont"/>
    <w:uiPriority w:val="99"/>
    <w:unhideWhenUsed/>
    <w:rsid w:val="006F1B60"/>
    <w:rPr>
      <w:color w:val="0563C1" w:themeColor="hyperlink"/>
      <w:u w:val="single"/>
    </w:rPr>
  </w:style>
  <w:style w:type="character" w:styleId="UnresolvedMention">
    <w:name w:val="Unresolved Mention"/>
    <w:basedOn w:val="DefaultParagraphFont"/>
    <w:uiPriority w:val="99"/>
    <w:semiHidden/>
    <w:unhideWhenUsed/>
    <w:rsid w:val="006F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24087127">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323894077">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615983295">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312323794">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692801006">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083481936">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pdw.hanford.gov/arpir/pdf.cfm/viewDoc?accession=0066390H"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3495-E4BE-4698-86E0-3B685A7F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23</Pages>
  <Words>5921</Words>
  <Characters>33751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19</cp:revision>
  <dcterms:created xsi:type="dcterms:W3CDTF">2018-08-19T00:16:00Z</dcterms:created>
  <dcterms:modified xsi:type="dcterms:W3CDTF">2018-08-30T01:51:00Z</dcterms:modified>
</cp:coreProperties>
</file>