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ECE29" w14:textId="77777777" w:rsidR="0077409E" w:rsidRDefault="0077409E" w:rsidP="0077409E">
      <w:pPr>
        <w:pStyle w:val="Heading1"/>
        <w:rPr>
          <w:rFonts w:ascii="Arial" w:hAnsi="Arial"/>
        </w:rPr>
      </w:pPr>
      <w:r>
        <w:rPr>
          <w:rFonts w:ascii="Arial" w:hAnsi="Arial"/>
        </w:rPr>
        <w:t>OVERVIEW AND SCOPE</w:t>
      </w:r>
    </w:p>
    <w:tbl>
      <w:tblPr>
        <w:tblW w:w="8460" w:type="dxa"/>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4A0" w:firstRow="1" w:lastRow="0" w:firstColumn="1" w:lastColumn="0" w:noHBand="0" w:noVBand="1"/>
      </w:tblPr>
      <w:tblGrid>
        <w:gridCol w:w="1170"/>
        <w:gridCol w:w="1571"/>
        <w:gridCol w:w="1129"/>
        <w:gridCol w:w="1718"/>
        <w:gridCol w:w="1522"/>
        <w:gridCol w:w="1350"/>
      </w:tblGrid>
      <w:tr w:rsidR="0077409E" w14:paraId="11700692" w14:textId="77777777" w:rsidTr="0077409E">
        <w:trPr>
          <w:cantSplit/>
          <w:trHeight w:val="352"/>
          <w:tblHeader/>
        </w:trPr>
        <w:tc>
          <w:tcPr>
            <w:tcW w:w="1170" w:type="dxa"/>
            <w:tcBorders>
              <w:top w:val="single" w:sz="4" w:space="0" w:color="auto"/>
              <w:left w:val="single" w:sz="4" w:space="0" w:color="auto"/>
              <w:bottom w:val="single" w:sz="4" w:space="0" w:color="auto"/>
              <w:right w:val="single" w:sz="4" w:space="0" w:color="auto"/>
            </w:tcBorders>
            <w:vAlign w:val="center"/>
            <w:hideMark/>
          </w:tcPr>
          <w:p w14:paraId="1B57C513" w14:textId="77777777" w:rsidR="0077409E" w:rsidRDefault="0077409E">
            <w:pPr>
              <w:pStyle w:val="Header"/>
              <w:spacing w:before="120"/>
              <w:jc w:val="center"/>
              <w:rPr>
                <w:rFonts w:ascii="Arial" w:hAnsi="Arial" w:cs="Arial"/>
                <w:sz w:val="18"/>
              </w:rPr>
            </w:pPr>
            <w:r>
              <w:rPr>
                <w:rFonts w:ascii="Arial" w:hAnsi="Arial" w:cs="Arial"/>
                <w:sz w:val="18"/>
              </w:rPr>
              <w:t>Acronym:</w:t>
            </w:r>
          </w:p>
        </w:tc>
        <w:tc>
          <w:tcPr>
            <w:tcW w:w="1571" w:type="dxa"/>
            <w:tcBorders>
              <w:top w:val="single" w:sz="4" w:space="0" w:color="auto"/>
              <w:left w:val="single" w:sz="4" w:space="0" w:color="auto"/>
              <w:bottom w:val="single" w:sz="4" w:space="0" w:color="auto"/>
              <w:right w:val="single" w:sz="4" w:space="0" w:color="auto"/>
            </w:tcBorders>
            <w:vAlign w:val="center"/>
            <w:hideMark/>
          </w:tcPr>
          <w:p w14:paraId="11303D00" w14:textId="77777777" w:rsidR="0077409E" w:rsidRDefault="0077409E">
            <w:pPr>
              <w:pStyle w:val="Header"/>
              <w:spacing w:before="120"/>
              <w:jc w:val="center"/>
              <w:rPr>
                <w:rFonts w:ascii="Arial" w:hAnsi="Arial" w:cs="Arial"/>
                <w:sz w:val="18"/>
              </w:rPr>
            </w:pPr>
            <w:r>
              <w:rPr>
                <w:rFonts w:ascii="Arial" w:hAnsi="Arial" w:cs="Arial"/>
                <w:sz w:val="18"/>
              </w:rPr>
              <w:t>MODPATH</w:t>
            </w:r>
          </w:p>
        </w:tc>
        <w:tc>
          <w:tcPr>
            <w:tcW w:w="1129" w:type="dxa"/>
            <w:tcBorders>
              <w:top w:val="single" w:sz="4" w:space="0" w:color="auto"/>
              <w:left w:val="single" w:sz="4" w:space="0" w:color="auto"/>
              <w:bottom w:val="single" w:sz="4" w:space="0" w:color="auto"/>
              <w:right w:val="single" w:sz="4" w:space="0" w:color="auto"/>
            </w:tcBorders>
            <w:vAlign w:val="center"/>
            <w:hideMark/>
          </w:tcPr>
          <w:p w14:paraId="02A0ED57" w14:textId="77777777" w:rsidR="0077409E" w:rsidRDefault="0077409E">
            <w:pPr>
              <w:pStyle w:val="Header"/>
              <w:spacing w:before="120"/>
              <w:jc w:val="center"/>
              <w:rPr>
                <w:rFonts w:ascii="Arial" w:hAnsi="Arial" w:cs="Arial"/>
                <w:sz w:val="18"/>
              </w:rPr>
            </w:pPr>
            <w:r>
              <w:rPr>
                <w:rFonts w:ascii="Arial" w:hAnsi="Arial" w:cs="Arial"/>
                <w:sz w:val="18"/>
              </w:rPr>
              <w:t>HISI ID:</w:t>
            </w:r>
          </w:p>
        </w:tc>
        <w:tc>
          <w:tcPr>
            <w:tcW w:w="1718" w:type="dxa"/>
            <w:tcBorders>
              <w:top w:val="single" w:sz="4" w:space="0" w:color="auto"/>
              <w:left w:val="single" w:sz="4" w:space="0" w:color="auto"/>
              <w:bottom w:val="single" w:sz="4" w:space="0" w:color="auto"/>
              <w:right w:val="single" w:sz="4" w:space="0" w:color="auto"/>
            </w:tcBorders>
            <w:vAlign w:val="center"/>
            <w:hideMark/>
          </w:tcPr>
          <w:p w14:paraId="72BDC8E4" w14:textId="77777777" w:rsidR="0077409E" w:rsidRDefault="0077409E">
            <w:pPr>
              <w:pStyle w:val="Header"/>
              <w:spacing w:before="120"/>
              <w:jc w:val="center"/>
              <w:rPr>
                <w:rFonts w:ascii="Arial" w:hAnsi="Arial" w:cs="Arial"/>
                <w:sz w:val="18"/>
              </w:rPr>
            </w:pPr>
            <w:r>
              <w:rPr>
                <w:rFonts w:ascii="Arial" w:hAnsi="Arial" w:cs="Arial"/>
                <w:sz w:val="18"/>
              </w:rPr>
              <w:t>[]</w:t>
            </w:r>
          </w:p>
        </w:tc>
        <w:tc>
          <w:tcPr>
            <w:tcW w:w="1522" w:type="dxa"/>
            <w:tcBorders>
              <w:top w:val="single" w:sz="4" w:space="0" w:color="auto"/>
              <w:left w:val="single" w:sz="4" w:space="0" w:color="auto"/>
              <w:bottom w:val="single" w:sz="4" w:space="0" w:color="auto"/>
              <w:right w:val="single" w:sz="4" w:space="0" w:color="auto"/>
            </w:tcBorders>
            <w:vAlign w:val="center"/>
            <w:hideMark/>
          </w:tcPr>
          <w:p w14:paraId="75D0CC10" w14:textId="77777777" w:rsidR="0077409E" w:rsidRDefault="0077409E">
            <w:pPr>
              <w:pStyle w:val="Header"/>
              <w:spacing w:before="120"/>
              <w:jc w:val="center"/>
              <w:rPr>
                <w:rFonts w:ascii="Arial" w:hAnsi="Arial" w:cs="Arial"/>
                <w:sz w:val="18"/>
              </w:rPr>
            </w:pPr>
            <w:r>
              <w:rPr>
                <w:rFonts w:ascii="Arial" w:hAnsi="Arial" w:cs="Arial"/>
                <w:sz w:val="18"/>
              </w:rPr>
              <w:t>Software Grade:</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6316EAE" w14:textId="77777777" w:rsidR="0077409E" w:rsidRDefault="0077409E">
            <w:pPr>
              <w:pStyle w:val="Header"/>
              <w:spacing w:before="120"/>
              <w:jc w:val="center"/>
              <w:rPr>
                <w:rFonts w:ascii="Arial" w:hAnsi="Arial" w:cs="Arial"/>
                <w:sz w:val="18"/>
              </w:rPr>
            </w:pPr>
            <w:r>
              <w:rPr>
                <w:rFonts w:ascii="Arial" w:hAnsi="Arial" w:cs="Arial"/>
                <w:sz w:val="18"/>
              </w:rPr>
              <w:t>[C]</w:t>
            </w:r>
          </w:p>
        </w:tc>
      </w:tr>
    </w:tbl>
    <w:p w14:paraId="11B8BE19" w14:textId="77777777" w:rsidR="0077409E" w:rsidRDefault="0077409E" w:rsidP="0077409E">
      <w:pPr>
        <w:pStyle w:val="H1bodytext"/>
        <w:rPr>
          <w:rFonts w:cs="Arial"/>
        </w:rPr>
      </w:pPr>
    </w:p>
    <w:p w14:paraId="77617B41" w14:textId="77777777" w:rsidR="0077409E" w:rsidRDefault="0077409E" w:rsidP="0077409E">
      <w:pPr>
        <w:pStyle w:val="H1bodytext"/>
        <w:rPr>
          <w:rFonts w:cs="Arial"/>
        </w:rPr>
      </w:pPr>
      <w:r>
        <w:rPr>
          <w:rFonts w:cs="Arial"/>
        </w:rPr>
        <w:t xml:space="preserve">This Software Test Plan (STP) is required by PRC-PRO-IRM-309, </w:t>
      </w:r>
      <w:r>
        <w:rPr>
          <w:rFonts w:cs="Arial"/>
          <w:i/>
        </w:rPr>
        <w:t>Controlled Software Management</w:t>
      </w:r>
      <w:r>
        <w:rPr>
          <w:rFonts w:cs="Arial"/>
        </w:rPr>
        <w:t>, to define the testing requirements for MODPATH and related codes for CH2M HILL Plateau Remediation Company (CHPRC) intended use in risk and model integration work.</w:t>
      </w:r>
    </w:p>
    <w:p w14:paraId="71C252F6" w14:textId="77777777" w:rsidR="0077409E" w:rsidRDefault="0077409E" w:rsidP="0077409E">
      <w:pPr>
        <w:pStyle w:val="H1bodytext"/>
        <w:rPr>
          <w:rFonts w:cs="Arial"/>
        </w:rPr>
      </w:pPr>
      <w:r>
        <w:rPr>
          <w:rFonts w:cs="Arial"/>
        </w:rPr>
        <w:t xml:space="preserve">MODPATH and related codes are managed as acquired, commercial off-the-shelf (COTS) software applications. The CHPRC plans to use this for calculations of short- and long-term subsurface water </w:t>
      </w:r>
      <w:commentRangeStart w:id="0"/>
      <w:r>
        <w:rPr>
          <w:rFonts w:cs="Arial"/>
        </w:rPr>
        <w:t xml:space="preserve">and contaminant </w:t>
      </w:r>
      <w:commentRangeEnd w:id="0"/>
      <w:r>
        <w:rPr>
          <w:rStyle w:val="CommentReference"/>
          <w:rFonts w:ascii="Times New Roman" w:hAnsi="Times New Roman"/>
        </w:rPr>
        <w:commentReference w:id="0"/>
      </w:r>
      <w:r>
        <w:rPr>
          <w:rFonts w:cs="Arial"/>
        </w:rPr>
        <w:t>transport in the unconfined aquifer at the Hanford Site at several scales. The software will run on desktop computers, scientific workstations, and large computer clusters.</w:t>
      </w:r>
    </w:p>
    <w:p w14:paraId="46F5AC5D" w14:textId="77777777" w:rsidR="0077409E" w:rsidRDefault="0077409E" w:rsidP="0077409E">
      <w:pPr>
        <w:pStyle w:val="H1bodytext"/>
        <w:rPr>
          <w:rFonts w:cs="Arial"/>
        </w:rPr>
      </w:pPr>
      <w:r>
        <w:rPr>
          <w:rFonts w:cs="Arial"/>
        </w:rPr>
        <w:t>The test procedures apply to all of the software being tested, although tests are limited to representative problems for the class of problems expected to be solved at the Hanford Site to demonstrate applicability for intended use by the CHPRC Integration and Assessments Group.</w:t>
      </w:r>
    </w:p>
    <w:p w14:paraId="59E25582" w14:textId="77777777" w:rsidR="0077409E" w:rsidRDefault="0077409E" w:rsidP="0077409E">
      <w:pPr>
        <w:pStyle w:val="H1bodytext"/>
        <w:rPr>
          <w:rFonts w:cs="Arial"/>
        </w:rPr>
      </w:pPr>
      <w:r>
        <w:rPr>
          <w:rFonts w:cs="Arial"/>
        </w:rPr>
        <w:t>The MODFLOW calculational software configuration items tested in this STP are:</w:t>
      </w:r>
    </w:p>
    <w:p w14:paraId="5AF74161" w14:textId="77777777" w:rsidR="0077409E" w:rsidRDefault="0077409E" w:rsidP="0077409E">
      <w:pPr>
        <w:pStyle w:val="H1bodytext"/>
        <w:numPr>
          <w:ilvl w:val="0"/>
          <w:numId w:val="2"/>
        </w:numPr>
        <w:ind w:hanging="360"/>
        <w:rPr>
          <w:rFonts w:cs="Arial"/>
          <w:b/>
        </w:rPr>
      </w:pPr>
      <w:r>
        <w:rPr>
          <w:rFonts w:cs="Arial"/>
          <w:b/>
        </w:rPr>
        <w:t>MODPATH</w:t>
      </w:r>
    </w:p>
    <w:p w14:paraId="5A940851" w14:textId="77777777" w:rsidR="0077409E" w:rsidRDefault="0077409E" w:rsidP="0077409E">
      <w:pPr>
        <w:pStyle w:val="H1bodytext"/>
        <w:numPr>
          <w:ilvl w:val="0"/>
          <w:numId w:val="2"/>
        </w:numPr>
        <w:ind w:hanging="360"/>
        <w:rPr>
          <w:rFonts w:cs="Arial"/>
          <w:b/>
        </w:rPr>
      </w:pPr>
      <w:r>
        <w:rPr>
          <w:rFonts w:cs="Arial"/>
          <w:b/>
        </w:rPr>
        <w:t xml:space="preserve">[SSPA </w:t>
      </w:r>
      <w:proofErr w:type="spellStart"/>
      <w:r>
        <w:rPr>
          <w:rFonts w:cs="Arial"/>
          <w:b/>
        </w:rPr>
        <w:t>modpath</w:t>
      </w:r>
      <w:proofErr w:type="spellEnd"/>
      <w:r>
        <w:rPr>
          <w:rFonts w:cs="Arial"/>
          <w:b/>
        </w:rPr>
        <w:t>?]</w:t>
      </w:r>
    </w:p>
    <w:p w14:paraId="7C1002B5" w14:textId="77777777" w:rsidR="0077409E" w:rsidRDefault="0077409E" w:rsidP="0077409E">
      <w:pPr>
        <w:pStyle w:val="H1bodytext"/>
        <w:numPr>
          <w:ilvl w:val="0"/>
          <w:numId w:val="2"/>
        </w:numPr>
        <w:ind w:hanging="360"/>
        <w:rPr>
          <w:rFonts w:cs="Arial"/>
        </w:rPr>
      </w:pPr>
      <w:r>
        <w:rPr>
          <w:rFonts w:cs="Arial"/>
          <w:b/>
        </w:rPr>
        <w:t>MODPATH3DU</w:t>
      </w:r>
      <w:r>
        <w:rPr>
          <w:rFonts w:cs="Arial"/>
        </w:rPr>
        <w:t xml:space="preserve"> (variant of MODPATH which calculates particle pathlines on unstructured flow grids)</w:t>
      </w:r>
    </w:p>
    <w:p w14:paraId="0D44E08E" w14:textId="77777777" w:rsidR="0077409E" w:rsidRDefault="0077409E" w:rsidP="0077409E">
      <w:pPr>
        <w:pStyle w:val="H1bodytext"/>
        <w:rPr>
          <w:rFonts w:cs="Arial"/>
        </w:rPr>
      </w:pPr>
      <w:r>
        <w:rPr>
          <w:rFonts w:cs="Arial"/>
        </w:rPr>
        <w:t xml:space="preserve">Supporting software, as identified in </w:t>
      </w:r>
      <w:r w:rsidR="002752C1">
        <w:rPr>
          <w:rFonts w:cs="Arial"/>
        </w:rPr>
        <w:t>[</w:t>
      </w:r>
      <w:commentRangeStart w:id="1"/>
      <w:r>
        <w:rPr>
          <w:rFonts w:cs="Arial"/>
        </w:rPr>
        <w:t>CHPRC-00257</w:t>
      </w:r>
      <w:commentRangeEnd w:id="1"/>
      <w:r w:rsidR="002752C1">
        <w:rPr>
          <w:rStyle w:val="CommentReference"/>
          <w:rFonts w:ascii="Times New Roman" w:hAnsi="Times New Roman"/>
        </w:rPr>
        <w:commentReference w:id="1"/>
      </w:r>
      <w:r>
        <w:rPr>
          <w:rFonts w:cs="Arial"/>
        </w:rPr>
        <w:t xml:space="preserve">, </w:t>
      </w:r>
      <w:r>
        <w:rPr>
          <w:rFonts w:cs="Arial"/>
          <w:i/>
        </w:rPr>
        <w:t>MODFLOW and Related Codes Functional Requirements Document</w:t>
      </w:r>
      <w:r>
        <w:rPr>
          <w:rFonts w:cs="Arial"/>
        </w:rPr>
        <w:t xml:space="preserve"> </w:t>
      </w:r>
      <w:r>
        <w:rPr>
          <w:rFonts w:cs="Arial"/>
        </w:rPr>
        <w:fldChar w:fldCharType="begin"/>
      </w:r>
      <w:r>
        <w:rPr>
          <w:rFonts w:cs="Arial"/>
        </w:rPr>
        <w:instrText xml:space="preserve"> ADDIN EN.CITE &lt;EndNote&gt;&lt;Cite&gt;&lt;Author&gt;Nichols&lt;/Author&gt;&lt;Year&gt;2009&lt;/Year&gt;&lt;RecNum&gt;518&lt;/RecNum&gt;&lt;record&gt;&lt;rec-number&gt;518&lt;/rec-number&gt;&lt;foreign-keys&gt;&lt;key app="EN" db-id="2rawr5epza5zfce2xx0xdtveawrxevrr9az9"&gt;518&lt;/key&gt;&lt;/foreign-keys&gt;&lt;ref-type name="Report"&gt;27&lt;/ref-type&gt;&lt;contributors&gt;&lt;authors&gt;&lt;author&gt;Nichols, W. E.&lt;/author&gt;&lt;/authors&gt;&lt;/contributors&gt;&lt;titles&gt;&lt;title&gt;MODFLOW and Related Codes Functional Requirements Document&lt;/title&gt;&lt;/titles&gt;&lt;dates&gt;&lt;year&gt;2009&lt;/year&gt;&lt;pub-dates&gt;&lt;date&gt;June 2009&lt;/date&gt;&lt;/pub-dates&gt;&lt;/dates&gt;&lt;pub-location&gt;Richland, Washington&lt;/pub-location&gt;&lt;publisher&gt;CH2M-HILL Plateau Remediation Company&lt;/publisher&gt;&lt;isbn&gt;CHPRC-00257 Rev 0&lt;/isbn&gt;&lt;label&gt;CHPRC-00257&lt;/label&gt;&lt;urls&gt;&lt;/urls&gt;&lt;/record&gt;&lt;/Cite&gt;&lt;/EndNote&gt;</w:instrText>
      </w:r>
      <w:r>
        <w:rPr>
          <w:rFonts w:cs="Arial"/>
        </w:rPr>
        <w:fldChar w:fldCharType="separate"/>
      </w:r>
      <w:r>
        <w:rPr>
          <w:rFonts w:cs="Arial"/>
          <w:noProof/>
        </w:rPr>
        <w:t>(Nichols 2009b)</w:t>
      </w:r>
      <w:r>
        <w:rPr>
          <w:rFonts w:cs="Arial"/>
        </w:rPr>
        <w:fldChar w:fldCharType="end"/>
      </w:r>
      <w:r>
        <w:rPr>
          <w:rFonts w:cs="Arial"/>
        </w:rPr>
        <w:t xml:space="preserve"> (FRD)</w:t>
      </w:r>
      <w:r w:rsidR="002752C1">
        <w:rPr>
          <w:rFonts w:cs="Arial"/>
        </w:rPr>
        <w:t>]</w:t>
      </w:r>
      <w:r>
        <w:rPr>
          <w:rFonts w:cs="Arial"/>
        </w:rPr>
        <w:t>, are not tested in this STP because these were not classified as safety software or graded to a level requiring testing.</w:t>
      </w:r>
    </w:p>
    <w:p w14:paraId="2667525F" w14:textId="77777777" w:rsidR="0077409E" w:rsidRDefault="002752C1" w:rsidP="0077409E">
      <w:pPr>
        <w:pStyle w:val="H1bodytext"/>
        <w:rPr>
          <w:rFonts w:cs="Arial"/>
        </w:rPr>
      </w:pPr>
      <w:r>
        <w:rPr>
          <w:rFonts w:cs="Arial"/>
        </w:rPr>
        <w:t>[</w:t>
      </w:r>
      <w:r w:rsidR="0077409E">
        <w:rPr>
          <w:rFonts w:cs="Arial"/>
        </w:rPr>
        <w:t xml:space="preserve">Controlled use of this software is managed by CHPRC-00258, </w:t>
      </w:r>
      <w:r w:rsidR="0077409E">
        <w:rPr>
          <w:rFonts w:cs="Arial"/>
          <w:i/>
        </w:rPr>
        <w:t>MODFLOW and Related Codes Software Management Plan</w:t>
      </w:r>
      <w:r w:rsidR="0077409E">
        <w:rPr>
          <w:rFonts w:cs="Arial"/>
        </w:rPr>
        <w:t xml:space="preserve"> </w:t>
      </w:r>
      <w:r w:rsidR="0077409E">
        <w:rPr>
          <w:rFonts w:cs="Arial"/>
        </w:rPr>
        <w:fldChar w:fldCharType="begin"/>
      </w:r>
      <w:r w:rsidR="0077409E">
        <w:rPr>
          <w:rFonts w:cs="Arial"/>
        </w:rPr>
        <w:instrText xml:space="preserve"> ADDIN EN.CITE &lt;EndNote&gt;&lt;Cite&gt;&lt;Author&gt;Nichols&lt;/Author&gt;&lt;Year&gt;2009&lt;/Year&gt;&lt;RecNum&gt;519&lt;/RecNum&gt;&lt;record&gt;&lt;rec-number&gt;519&lt;/rec-number&gt;&lt;foreign-keys&gt;&lt;key app="EN" db-id="2rawr5epza5zfce2xx0xdtveawrxevrr9az9"&gt;519&lt;/key&gt;&lt;/foreign-keys&gt;&lt;ref-type name="Report"&gt;27&lt;/ref-type&gt;&lt;contributors&gt;&lt;authors&gt;&lt;author&gt;Nichols, W. E.&lt;/author&gt;&lt;/authors&gt;&lt;/contributors&gt;&lt;titles&gt;&lt;title&gt;MODFLOW and Related Codes Software Management Plan&lt;/title&gt;&lt;/titles&gt;&lt;dates&gt;&lt;year&gt;2009&lt;/year&gt;&lt;/dates&gt;&lt;pub-location&gt;Richland, Washington&lt;/pub-location&gt;&lt;publisher&gt;CH2M-HILL Plateau Remediation Company&lt;/publisher&gt;&lt;isbn&gt;CHPRC-00258 Rev 0&lt;/isbn&gt;&lt;label&gt;CHPRC-00258&lt;/label&gt;&lt;urls&gt;&lt;/urls&gt;&lt;/record&gt;&lt;/Cite&gt;&lt;/EndNote&gt;</w:instrText>
      </w:r>
      <w:r w:rsidR="0077409E">
        <w:rPr>
          <w:rFonts w:cs="Arial"/>
        </w:rPr>
        <w:fldChar w:fldCharType="separate"/>
      </w:r>
      <w:r w:rsidR="0077409E">
        <w:rPr>
          <w:rFonts w:cs="Arial"/>
          <w:noProof/>
        </w:rPr>
        <w:t>(Nichols 2009c)</w:t>
      </w:r>
      <w:r w:rsidR="0077409E">
        <w:rPr>
          <w:rFonts w:cs="Arial"/>
        </w:rPr>
        <w:fldChar w:fldCharType="end"/>
      </w:r>
      <w:r w:rsidR="0077409E">
        <w:rPr>
          <w:rFonts w:cs="Arial"/>
        </w:rPr>
        <w:t xml:space="preserve"> (SMP). The major milestone of the test procedures is issuance of CHPRC-00261, </w:t>
      </w:r>
      <w:r w:rsidR="0077409E">
        <w:rPr>
          <w:rFonts w:cs="Arial"/>
          <w:i/>
        </w:rPr>
        <w:t>MODFLOW and Related Codes Acceptance Test Report</w:t>
      </w:r>
      <w:r w:rsidR="0077409E">
        <w:rPr>
          <w:rFonts w:cs="Arial"/>
        </w:rPr>
        <w:t xml:space="preserve"> </w:t>
      </w:r>
      <w:r w:rsidR="0077409E">
        <w:rPr>
          <w:rFonts w:cs="Arial"/>
        </w:rPr>
        <w:fldChar w:fldCharType="begin"/>
      </w:r>
      <w:r w:rsidR="0077409E">
        <w:rPr>
          <w:rFonts w:cs="Arial"/>
        </w:rPr>
        <w:instrText xml:space="preserve"> ADDIN EN.CITE &lt;EndNote&gt;&lt;Cite&gt;&lt;Author&gt;Nichols&lt;/Author&gt;&lt;Year&gt;2009&lt;/Year&gt;&lt;RecNum&gt;522&lt;/RecNum&gt;&lt;record&gt;&lt;rec-number&gt;522&lt;/rec-number&gt;&lt;foreign-keys&gt;&lt;key app="EN" db-id="2rawr5epza5zfce2xx0xdtveawrxevrr9az9"&gt;522&lt;/key&gt;&lt;/foreign-keys&gt;&lt;ref-type name="Report"&gt;27&lt;/ref-type&gt;&lt;contributors&gt;&lt;authors&gt;&lt;author&gt;Nichols, W. E.&lt;/author&gt;&lt;/authors&gt;&lt;/contributors&gt;&lt;titles&gt;&lt;title&gt;MODFLOW and Related Codes Acceptance Test Report&lt;/title&gt;&lt;/titles&gt;&lt;dates&gt;&lt;year&gt;2009&lt;/year&gt;&lt;/dates&gt;&lt;pub-location&gt;Richland, Washington&lt;/pub-location&gt;&lt;publisher&gt;CH2M-HILL Plateau Remediation Company&lt;/publisher&gt;&lt;isbn&gt;CHPRC-00260 Rev 0&lt;/isbn&gt;&lt;label&gt;CHPRC-00260&lt;/label&gt;&lt;urls&gt;&lt;/urls&gt;&lt;/record&gt;&lt;/Cite&gt;&lt;/EndNote&gt;</w:instrText>
      </w:r>
      <w:r w:rsidR="0077409E">
        <w:rPr>
          <w:rFonts w:cs="Arial"/>
        </w:rPr>
        <w:fldChar w:fldCharType="separate"/>
      </w:r>
      <w:r w:rsidR="0077409E">
        <w:rPr>
          <w:rFonts w:cs="Arial"/>
          <w:noProof/>
        </w:rPr>
        <w:t>(Nichols 2009a)</w:t>
      </w:r>
      <w:r w:rsidR="0077409E">
        <w:rPr>
          <w:rFonts w:cs="Arial"/>
        </w:rPr>
        <w:fldChar w:fldCharType="end"/>
      </w:r>
      <w:r w:rsidR="0077409E">
        <w:rPr>
          <w:rFonts w:cs="Arial"/>
        </w:rPr>
        <w:t xml:space="preserve"> (ATR) that will enable authorization for use for the above software to be granted.</w:t>
      </w:r>
      <w:r>
        <w:rPr>
          <w:rFonts w:cs="Arial"/>
        </w:rPr>
        <w:t>]</w:t>
      </w:r>
    </w:p>
    <w:p w14:paraId="64CFD57C" w14:textId="77777777" w:rsidR="002752C1" w:rsidRDefault="002752C1" w:rsidP="002752C1">
      <w:pPr>
        <w:pStyle w:val="Heading1"/>
        <w:keepNext w:val="0"/>
        <w:spacing w:before="480" w:after="120"/>
        <w:rPr>
          <w:rFonts w:ascii="Arial" w:hAnsi="Arial"/>
        </w:rPr>
      </w:pPr>
      <w:r>
        <w:rPr>
          <w:rFonts w:ascii="Arial" w:hAnsi="Arial"/>
        </w:rPr>
        <w:t>TEST REQUIREMENTS</w:t>
      </w:r>
    </w:p>
    <w:p w14:paraId="143DE11F" w14:textId="77777777" w:rsidR="002752C1" w:rsidRDefault="002752C1" w:rsidP="002752C1">
      <w:pPr>
        <w:pStyle w:val="Heading2"/>
      </w:pPr>
      <w:r>
        <w:t>Approach</w:t>
      </w:r>
    </w:p>
    <w:p w14:paraId="24F22B65" w14:textId="77777777" w:rsidR="002752C1" w:rsidRDefault="002752C1" w:rsidP="002752C1">
      <w:pPr>
        <w:pStyle w:val="H2bodytext"/>
      </w:pPr>
      <w:r>
        <w:t xml:space="preserve">The general approach for this STP is to test the MODPATH and MODPATH3DU codes each against test problems specifically chosen with the following attributes: </w:t>
      </w:r>
      <w:r w:rsidR="00544AEA">
        <w:t>1) availability of an analytical solution or [</w:t>
      </w:r>
      <w:r w:rsidR="00544AEA" w:rsidRPr="00544AEA">
        <w:rPr>
          <w:color w:val="FF0000"/>
        </w:rPr>
        <w:t>comparison to someone else’s solution</w:t>
      </w:r>
      <w:r w:rsidR="00544AEA">
        <w:t xml:space="preserve">] to facilitate comparison to a known solution, 2) sufficiently difficult for numerical approximation techniques to resolve that the test will provide not </w:t>
      </w:r>
      <w:r w:rsidR="00544AEA">
        <w:lastRenderedPageBreak/>
        <w:t xml:space="preserve">only evidence of a correct solution but a measure of the degree of error in the solution, and 3) </w:t>
      </w:r>
      <w:commentRangeStart w:id="2"/>
      <w:r>
        <w:t>ability to substitute Hanford-specific parameter values where possible to facilitative demonstration of applicability for intended use</w:t>
      </w:r>
      <w:commentRangeEnd w:id="2"/>
      <w:r>
        <w:rPr>
          <w:rStyle w:val="CommentReference"/>
          <w:rFonts w:ascii="Times New Roman" w:hAnsi="Times New Roman"/>
        </w:rPr>
        <w:commentReference w:id="2"/>
      </w:r>
      <w:r>
        <w:t>. As such, acceptance criteria necessarily will rely on professional judgment at least in part to evaluate if the solution obtained from the software that implements approximate numerical solution techniques is robust enough compared to the analytical solution</w:t>
      </w:r>
      <w:r w:rsidR="00544AEA">
        <w:t xml:space="preserve"> or the </w:t>
      </w:r>
      <w:r w:rsidR="00544AEA" w:rsidRPr="00544AEA">
        <w:rPr>
          <w:color w:val="FF0000"/>
        </w:rPr>
        <w:t>case replicated</w:t>
      </w:r>
      <w:r w:rsidRPr="00544AEA">
        <w:rPr>
          <w:color w:val="FF0000"/>
        </w:rPr>
        <w:t xml:space="preserve"> </w:t>
      </w:r>
      <w:r>
        <w:t>to merit acceptance. It is possible to pose easier problems for which the numerical codes will produce exactly the correct solutions, but validation against a difficult</w:t>
      </w:r>
      <w:r w:rsidR="00544AEA">
        <w:t>-</w:t>
      </w:r>
      <w:r>
        <w:t>to</w:t>
      </w:r>
      <w:r w:rsidR="00544AEA">
        <w:t>-</w:t>
      </w:r>
      <w:r>
        <w:t>resolve problem</w:t>
      </w:r>
      <w:r w:rsidR="00544AEA">
        <w:t xml:space="preserve"> is</w:t>
      </w:r>
      <w:r>
        <w:t xml:space="preserve"> more informative. Acceptance criteria are deliberately chosen to avoid problems that arise from comparison of extremely small values that can give large percentage differences but don’t represent any significant difference.</w:t>
      </w:r>
    </w:p>
    <w:p w14:paraId="79777FF4" w14:textId="77777777" w:rsidR="002752C1" w:rsidRDefault="002752C1" w:rsidP="002752C1">
      <w:pPr>
        <w:pStyle w:val="H2bodytext"/>
      </w:pPr>
      <w:r>
        <w:t xml:space="preserve">The sequence of testing activities is discussed in the presentation of the test cases in Section </w:t>
      </w:r>
      <w:r>
        <w:fldChar w:fldCharType="begin"/>
      </w:r>
      <w:r>
        <w:instrText xml:space="preserve"> REF _Ref239754187 \r \h  \* MERGEFORMAT </w:instrText>
      </w:r>
      <w:r>
        <w:fldChar w:fldCharType="separate"/>
      </w:r>
      <w:r>
        <w:t>3.3</w:t>
      </w:r>
      <w:r>
        <w:fldChar w:fldCharType="end"/>
      </w:r>
      <w:r>
        <w:t>.</w:t>
      </w:r>
    </w:p>
    <w:p w14:paraId="7874B1AB" w14:textId="77777777" w:rsidR="00544AEA" w:rsidRDefault="00544AEA" w:rsidP="00544AEA">
      <w:pPr>
        <w:pStyle w:val="Heading2"/>
      </w:pPr>
      <w:r>
        <w:t>Deliverables</w:t>
      </w:r>
    </w:p>
    <w:p w14:paraId="2FD0DB0B" w14:textId="77777777" w:rsidR="00544AEA" w:rsidRDefault="00544AEA" w:rsidP="00544AEA">
      <w:pPr>
        <w:spacing w:after="240"/>
        <w:ind w:left="1440"/>
        <w:rPr>
          <w:rFonts w:ascii="Arial" w:hAnsi="Arial" w:cs="Arial"/>
          <w:sz w:val="22"/>
          <w:szCs w:val="20"/>
        </w:rPr>
      </w:pPr>
      <w:r>
        <w:rPr>
          <w:rFonts w:ascii="Arial" w:hAnsi="Arial" w:cs="Arial"/>
          <w:sz w:val="22"/>
          <w:szCs w:val="20"/>
        </w:rPr>
        <w:t>This STP specifies test design, test cases, and test procedures for acceptance and installation testing of MODPATH and related codes.</w:t>
      </w:r>
    </w:p>
    <w:p w14:paraId="7A6FFA74" w14:textId="77777777" w:rsidR="00544AEA" w:rsidRDefault="00544AEA" w:rsidP="00544AEA">
      <w:pPr>
        <w:spacing w:after="240"/>
        <w:ind w:left="1440"/>
        <w:rPr>
          <w:rFonts w:ascii="Arial" w:hAnsi="Arial" w:cs="Arial"/>
          <w:sz w:val="22"/>
          <w:szCs w:val="20"/>
        </w:rPr>
      </w:pPr>
      <w:r>
        <w:rPr>
          <w:rFonts w:ascii="Arial" w:hAnsi="Arial" w:cs="Arial"/>
          <w:sz w:val="22"/>
          <w:szCs w:val="20"/>
        </w:rPr>
        <w:t xml:space="preserve">For acceptance testing, test results will be documented in an ATR using the format provided in the ATR format guidance referenced in </w:t>
      </w:r>
      <w:r w:rsidRPr="00544AEA">
        <w:rPr>
          <w:rFonts w:ascii="Arial" w:hAnsi="Arial" w:cs="Arial"/>
          <w:color w:val="FF0000"/>
          <w:sz w:val="22"/>
          <w:szCs w:val="20"/>
        </w:rPr>
        <w:t>PRC-PRO-IRM-309</w:t>
      </w:r>
      <w:r>
        <w:rPr>
          <w:rFonts w:ascii="Arial" w:hAnsi="Arial" w:cs="Arial"/>
          <w:sz w:val="22"/>
          <w:szCs w:val="20"/>
        </w:rPr>
        <w:t>.</w:t>
      </w:r>
    </w:p>
    <w:p w14:paraId="34E81C97" w14:textId="77777777" w:rsidR="00544AEA" w:rsidRDefault="00544AEA" w:rsidP="00544AEA">
      <w:pPr>
        <w:spacing w:after="240"/>
        <w:ind w:left="1440"/>
        <w:rPr>
          <w:rFonts w:ascii="Arial" w:hAnsi="Arial" w:cs="Arial"/>
          <w:sz w:val="22"/>
          <w:szCs w:val="20"/>
        </w:rPr>
      </w:pPr>
      <w:r>
        <w:rPr>
          <w:rFonts w:ascii="Arial" w:hAnsi="Arial" w:cs="Arial"/>
          <w:sz w:val="22"/>
          <w:szCs w:val="20"/>
        </w:rPr>
        <w:t xml:space="preserve">For installation testing, results will be documented in Software </w:t>
      </w:r>
      <w:r>
        <w:rPr>
          <w:rFonts w:ascii="Arial" w:hAnsi="Arial" w:cs="Arial"/>
          <w:i/>
          <w:sz w:val="22"/>
          <w:szCs w:val="20"/>
        </w:rPr>
        <w:t>Installation &amp; Checkout Form</w:t>
      </w:r>
      <w:r>
        <w:rPr>
          <w:rFonts w:ascii="Arial" w:hAnsi="Arial" w:cs="Arial"/>
          <w:sz w:val="22"/>
          <w:szCs w:val="20"/>
        </w:rPr>
        <w:t xml:space="preserve"> (</w:t>
      </w:r>
      <w:r w:rsidRPr="00544AEA">
        <w:rPr>
          <w:rFonts w:ascii="Arial" w:hAnsi="Arial" w:cs="Arial"/>
          <w:color w:val="FF0000"/>
          <w:sz w:val="22"/>
          <w:szCs w:val="20"/>
        </w:rPr>
        <w:t>A-6005-149</w:t>
      </w:r>
      <w:r>
        <w:rPr>
          <w:rFonts w:ascii="Arial" w:hAnsi="Arial" w:cs="Arial"/>
          <w:sz w:val="22"/>
          <w:szCs w:val="20"/>
        </w:rPr>
        <w:t>).</w:t>
      </w:r>
    </w:p>
    <w:p w14:paraId="479DAEC9" w14:textId="77777777" w:rsidR="00544AEA" w:rsidRDefault="00544AEA" w:rsidP="00544AEA">
      <w:pPr>
        <w:pStyle w:val="Heading2"/>
      </w:pPr>
      <w:r>
        <w:t>Control Procedures</w:t>
      </w:r>
    </w:p>
    <w:p w14:paraId="07473E5F" w14:textId="77777777" w:rsidR="00544AEA" w:rsidRDefault="00544AEA" w:rsidP="00544AEA">
      <w:pPr>
        <w:spacing w:after="220"/>
        <w:ind w:left="1440"/>
        <w:rPr>
          <w:rFonts w:ascii="Arial" w:hAnsi="Arial"/>
        </w:rPr>
      </w:pPr>
      <w:r>
        <w:rPr>
          <w:rFonts w:ascii="Arial" w:hAnsi="Arial" w:cs="Arial"/>
          <w:sz w:val="22"/>
          <w:szCs w:val="20"/>
        </w:rPr>
        <w:t>The test cases in this STP are relatively simple and efficient to conduct and do not require formal tracking or control procedures. The test case logs will be used to document all steps and track results.</w:t>
      </w:r>
    </w:p>
    <w:p w14:paraId="533084D3" w14:textId="77777777" w:rsidR="00544AEA" w:rsidRDefault="00544AEA" w:rsidP="00544AEA">
      <w:pPr>
        <w:pStyle w:val="Heading2"/>
      </w:pPr>
      <w:r>
        <w:t>Acceptance Criteria</w:t>
      </w:r>
    </w:p>
    <w:p w14:paraId="076462FB" w14:textId="77777777" w:rsidR="00544AEA" w:rsidRDefault="00544AEA" w:rsidP="00544AEA">
      <w:pPr>
        <w:pStyle w:val="H1bodytext"/>
        <w:ind w:left="1440"/>
      </w:pPr>
      <w:r>
        <w:t xml:space="preserve">Acceptance criteria will specify objective </w:t>
      </w:r>
      <w:commentRangeStart w:id="3"/>
      <w:r>
        <w:t xml:space="preserve">numerical tolerances </w:t>
      </w:r>
      <w:commentRangeEnd w:id="3"/>
      <w:r>
        <w:rPr>
          <w:rStyle w:val="CommentReference"/>
          <w:rFonts w:ascii="Times New Roman" w:hAnsi="Times New Roman"/>
        </w:rPr>
        <w:commentReference w:id="3"/>
      </w:r>
      <w:r>
        <w:t xml:space="preserve">for specific tests that must be met by the code in solving classical groundwater problems with Hanford-specific properties in order to pass. These criteria are specified with the test description in Section </w:t>
      </w:r>
      <w:r>
        <w:fldChar w:fldCharType="begin"/>
      </w:r>
      <w:r>
        <w:instrText xml:space="preserve"> REF _Ref239754187 \r \h  \* MERGEFORMAT </w:instrText>
      </w:r>
      <w:r>
        <w:fldChar w:fldCharType="separate"/>
      </w:r>
      <w:r>
        <w:t>3.3</w:t>
      </w:r>
      <w:r>
        <w:fldChar w:fldCharType="end"/>
      </w:r>
      <w:r>
        <w:t>.</w:t>
      </w:r>
    </w:p>
    <w:p w14:paraId="3135DFDF" w14:textId="77777777" w:rsidR="00544AEA" w:rsidRDefault="00544AEA" w:rsidP="00544AEA">
      <w:pPr>
        <w:pStyle w:val="Heading2"/>
      </w:pPr>
      <w:bookmarkStart w:id="4" w:name="_Toc145313043"/>
      <w:r>
        <w:t>Testing Tasks</w:t>
      </w:r>
      <w:bookmarkEnd w:id="4"/>
    </w:p>
    <w:p w14:paraId="7ADA39B0" w14:textId="77777777" w:rsidR="00544AEA" w:rsidRDefault="00D904CC" w:rsidP="00544AEA">
      <w:pPr>
        <w:pStyle w:val="H1bodytext"/>
        <w:ind w:left="1440"/>
      </w:pPr>
      <w:commentRangeStart w:id="5"/>
      <w:r>
        <w:t>[</w:t>
      </w:r>
      <w:r w:rsidR="00544AEA">
        <w:t>The tasks necessary to prepare for and perform testing include code installation (which may require compiling and linking source code using a Fortran compiler, depending on test environment), file transfers, checking input/output files using a text editor program, copying model results from text files using a text editor, and pasting results into Excel spreadsheets used to solve the analytic solutions that provide the basis for validation and compare results.</w:t>
      </w:r>
      <w:r>
        <w:t>]</w:t>
      </w:r>
      <w:commentRangeEnd w:id="5"/>
      <w:r>
        <w:rPr>
          <w:rStyle w:val="CommentReference"/>
          <w:rFonts w:ascii="Times New Roman" w:hAnsi="Times New Roman"/>
        </w:rPr>
        <w:commentReference w:id="5"/>
      </w:r>
    </w:p>
    <w:p w14:paraId="20E40050" w14:textId="77777777" w:rsidR="00D904CC" w:rsidRDefault="00D904CC" w:rsidP="00D904CC">
      <w:pPr>
        <w:pStyle w:val="Heading3"/>
      </w:pPr>
      <w:r>
        <w:t>Verification &amp; Validation tasks</w:t>
      </w:r>
    </w:p>
    <w:p w14:paraId="65ECBBC7" w14:textId="77777777" w:rsidR="00D904CC" w:rsidRDefault="00D904CC" w:rsidP="00D904CC">
      <w:pPr>
        <w:pStyle w:val="H3bodytext"/>
        <w:ind w:left="1440"/>
      </w:pPr>
      <w:r>
        <w:lastRenderedPageBreak/>
        <w:t xml:space="preserve">Tasks necessary to prepare for verification and validation testing are routine with respect to computer usage. </w:t>
      </w:r>
      <w:r w:rsidR="008A4A83">
        <w:t>MODPATH</w:t>
      </w:r>
      <w:r>
        <w:t xml:space="preserve"> and related codes must be installed. Users will run a virus scan of the host computer at completion of the software installation, consistent with requirements of PRC-PRO-IRM-309.</w:t>
      </w:r>
    </w:p>
    <w:p w14:paraId="45EC9C68" w14:textId="77777777" w:rsidR="00D904CC" w:rsidRDefault="00D904CC" w:rsidP="00D904CC">
      <w:pPr>
        <w:pStyle w:val="H3bodytext"/>
        <w:ind w:left="1440"/>
      </w:pPr>
      <w:commentRangeStart w:id="6"/>
      <w:r>
        <w:t>For acceptance testing, the following tasks will occur</w:t>
      </w:r>
      <w:commentRangeEnd w:id="6"/>
      <w:r w:rsidR="008A4A83">
        <w:rPr>
          <w:rStyle w:val="CommentReference"/>
          <w:rFonts w:ascii="Times New Roman" w:hAnsi="Times New Roman"/>
        </w:rPr>
        <w:commentReference w:id="6"/>
      </w:r>
      <w:r>
        <w:t>:</w:t>
      </w:r>
    </w:p>
    <w:p w14:paraId="213916D4" w14:textId="77777777" w:rsidR="00D904CC" w:rsidRDefault="00D904CC" w:rsidP="00D904CC">
      <w:pPr>
        <w:pStyle w:val="H3bodytext"/>
        <w:numPr>
          <w:ilvl w:val="0"/>
          <w:numId w:val="4"/>
        </w:numPr>
        <w:ind w:hanging="360"/>
      </w:pPr>
      <w:r>
        <w:t>Log – the results of test execution, the incidents observed, and any other events pertinent to the test are to be logged on the forms provided as attachments to this STP.</w:t>
      </w:r>
    </w:p>
    <w:p w14:paraId="262D7CB6" w14:textId="77777777" w:rsidR="008A4A83" w:rsidRDefault="008A4A83" w:rsidP="008A4A83">
      <w:pPr>
        <w:pStyle w:val="H3bodytext"/>
        <w:numPr>
          <w:ilvl w:val="0"/>
          <w:numId w:val="4"/>
        </w:numPr>
        <w:ind w:hanging="360"/>
      </w:pPr>
      <w:r>
        <w:t xml:space="preserve">Setup – verify that the host computer uses a suitable operating system for the MODPATH and related software, and that </w:t>
      </w:r>
      <w:proofErr w:type="gramStart"/>
      <w:r>
        <w:t>these software</w:t>
      </w:r>
      <w:proofErr w:type="gramEnd"/>
      <w:r>
        <w:t xml:space="preserve"> are installed, registered as appropriate, and virus-checked. If this software is not installed, complete the installation per directions received from the appropriate provider and virus-check the host computer immediately following software installation.</w:t>
      </w:r>
    </w:p>
    <w:p w14:paraId="3A1626B6" w14:textId="77777777" w:rsidR="008A4A83" w:rsidRDefault="008A4A83" w:rsidP="008A4A83">
      <w:pPr>
        <w:pStyle w:val="H3bodytext"/>
        <w:numPr>
          <w:ilvl w:val="0"/>
          <w:numId w:val="4"/>
        </w:numPr>
        <w:ind w:hanging="360"/>
      </w:pPr>
      <w:r>
        <w:t>Execution – run the acceptance tests.</w:t>
      </w:r>
    </w:p>
    <w:p w14:paraId="7ED7F0BA" w14:textId="77777777" w:rsidR="008A4A83" w:rsidRDefault="008A4A83" w:rsidP="008A4A83">
      <w:pPr>
        <w:pStyle w:val="H3bodytext"/>
        <w:numPr>
          <w:ilvl w:val="0"/>
          <w:numId w:val="4"/>
        </w:numPr>
        <w:ind w:hanging="360"/>
      </w:pPr>
      <w:r>
        <w:t>Evaluation – compare results of the acceptance test cases to the baseline results and evaluate if acceptance criteria are met.</w:t>
      </w:r>
    </w:p>
    <w:p w14:paraId="3D3AFCE4" w14:textId="77777777" w:rsidR="008A4A83" w:rsidRDefault="008A4A83" w:rsidP="008A4A83">
      <w:pPr>
        <w:pStyle w:val="H3bodytext"/>
        <w:numPr>
          <w:ilvl w:val="0"/>
          <w:numId w:val="4"/>
        </w:numPr>
        <w:ind w:hanging="360"/>
      </w:pPr>
      <w:r>
        <w:t>Contingencies – in the event that output obtained from the acceptance tests appear flawed, the user may identify and correct errors and restart the test. All such attempts and corrective actions taken will be logged. Return to step 3.</w:t>
      </w:r>
    </w:p>
    <w:p w14:paraId="1B049145" w14:textId="77777777" w:rsidR="008A4A83" w:rsidRDefault="008A4A83" w:rsidP="008A4A83">
      <w:pPr>
        <w:pStyle w:val="H3bodytext"/>
        <w:numPr>
          <w:ilvl w:val="0"/>
          <w:numId w:val="4"/>
        </w:numPr>
        <w:ind w:hanging="360"/>
      </w:pPr>
      <w:r>
        <w:t>Documentation – complete the required documentation of testing in the ATR.</w:t>
      </w:r>
    </w:p>
    <w:p w14:paraId="1945C0C3" w14:textId="77777777" w:rsidR="008A4A83" w:rsidRDefault="008A4A83" w:rsidP="008A4A83">
      <w:pPr>
        <w:pStyle w:val="H3bodytext"/>
        <w:numPr>
          <w:ilvl w:val="0"/>
          <w:numId w:val="4"/>
        </w:numPr>
        <w:ind w:hanging="360"/>
      </w:pPr>
      <w:r>
        <w:t>Preservation – archive the MODPATH and related codes software in [</w:t>
      </w:r>
      <w:r w:rsidRPr="008A4A83">
        <w:rPr>
          <w:color w:val="FF0000"/>
        </w:rPr>
        <w:t>MKS Integrity</w:t>
      </w:r>
      <w:r>
        <w:rPr>
          <w:color w:val="FF0000"/>
        </w:rPr>
        <w:t>]</w:t>
      </w:r>
      <w:r>
        <w:t>™</w:t>
      </w:r>
      <w:r>
        <w:rPr>
          <w:rStyle w:val="FootnoteReference"/>
        </w:rPr>
        <w:footnoteReference w:id="1"/>
      </w:r>
      <w:r>
        <w:t xml:space="preserve"> to preserve the baseline as appropriate, along with the model file used for the acceptance test.</w:t>
      </w:r>
    </w:p>
    <w:p w14:paraId="2400B143" w14:textId="77777777" w:rsidR="008A4A83" w:rsidRDefault="008A4A83" w:rsidP="008A4A83">
      <w:pPr>
        <w:pStyle w:val="H3bodytext"/>
        <w:numPr>
          <w:ilvl w:val="0"/>
          <w:numId w:val="4"/>
        </w:numPr>
        <w:ind w:hanging="360"/>
      </w:pPr>
      <w:r>
        <w:t>Review – independent technical review of test results is required and will be documented in the ATR.</w:t>
      </w:r>
    </w:p>
    <w:p w14:paraId="499D2890" w14:textId="77777777" w:rsidR="008A4A83" w:rsidRDefault="008A4A83" w:rsidP="008A4A83">
      <w:pPr>
        <w:pStyle w:val="H3bodytext"/>
        <w:ind w:left="1440"/>
      </w:pPr>
      <w:r>
        <w:t>For installation testing, the following tasks will occur:</w:t>
      </w:r>
    </w:p>
    <w:p w14:paraId="2D29F242" w14:textId="77777777" w:rsidR="008A4A83" w:rsidRDefault="008A4A83" w:rsidP="008A4A83">
      <w:pPr>
        <w:pStyle w:val="H3bodytext"/>
        <w:numPr>
          <w:ilvl w:val="0"/>
          <w:numId w:val="5"/>
        </w:numPr>
        <w:ind w:hanging="360"/>
      </w:pPr>
      <w:r>
        <w:t>Setup – verify that the host computer uses a suitable operating system for the MODPATH and related codes software, and that software is installed, registered as appropriate, and virus-checked. If the software is not installed, complete the installation and virus-check the host computer immediately following installation.</w:t>
      </w:r>
    </w:p>
    <w:p w14:paraId="3D3F8E91" w14:textId="77777777" w:rsidR="008A4A83" w:rsidRDefault="008A4A83" w:rsidP="008A4A83">
      <w:pPr>
        <w:pStyle w:val="H3bodytext"/>
        <w:numPr>
          <w:ilvl w:val="0"/>
          <w:numId w:val="5"/>
        </w:numPr>
        <w:ind w:hanging="360"/>
      </w:pPr>
      <w:r>
        <w:t>Execution – run the installation tests</w:t>
      </w:r>
    </w:p>
    <w:p w14:paraId="4A4D1A2E" w14:textId="77777777" w:rsidR="008A4A83" w:rsidRDefault="008A4A83" w:rsidP="008A4A83">
      <w:pPr>
        <w:pStyle w:val="H3bodytext"/>
        <w:numPr>
          <w:ilvl w:val="0"/>
          <w:numId w:val="5"/>
        </w:numPr>
        <w:ind w:hanging="360"/>
      </w:pPr>
      <w:r>
        <w:lastRenderedPageBreak/>
        <w:t>Evaluation – Compare results of the installation test case to the baseline results and evaluate if acceptance criteria are met.</w:t>
      </w:r>
    </w:p>
    <w:p w14:paraId="0AF237D2" w14:textId="77777777" w:rsidR="008A4A83" w:rsidRDefault="008A4A83" w:rsidP="008A4A83">
      <w:pPr>
        <w:pStyle w:val="H3bodytext"/>
        <w:numPr>
          <w:ilvl w:val="0"/>
          <w:numId w:val="5"/>
        </w:numPr>
        <w:ind w:hanging="360"/>
      </w:pPr>
      <w:r>
        <w:t>Documentation – complete the required documentation of installation testing.</w:t>
      </w:r>
    </w:p>
    <w:p w14:paraId="0954365B" w14:textId="77777777" w:rsidR="008A4A83" w:rsidRDefault="008A4A83" w:rsidP="008A4A83">
      <w:pPr>
        <w:pStyle w:val="H3bodytext"/>
        <w:ind w:left="1440"/>
      </w:pPr>
      <w:r>
        <w:t xml:space="preserve">If software problem(s) (that is, problems with the software itself, not input or other use errors) are identified during testing, a </w:t>
      </w:r>
      <w:commentRangeStart w:id="7"/>
      <w:r w:rsidRPr="008A4A83">
        <w:rPr>
          <w:i/>
          <w:color w:val="FF0000"/>
        </w:rPr>
        <w:t>Problem Report/Change Request</w:t>
      </w:r>
      <w:r w:rsidRPr="008A4A83">
        <w:rPr>
          <w:color w:val="FF0000"/>
        </w:rPr>
        <w:t xml:space="preserve"> form (A-6005-146) will be prepared by the software tester in accordance with Sections 3.4 of PRC-PRO-IRM-309</w:t>
      </w:r>
      <w:commentRangeEnd w:id="7"/>
      <w:r>
        <w:rPr>
          <w:rStyle w:val="CommentReference"/>
          <w:rFonts w:ascii="Times New Roman" w:hAnsi="Times New Roman"/>
        </w:rPr>
        <w:commentReference w:id="7"/>
      </w:r>
      <w:r>
        <w:t>; the form will document as applicable the following information:</w:t>
      </w:r>
    </w:p>
    <w:p w14:paraId="7EB5E3F9" w14:textId="77777777" w:rsidR="008A4A83" w:rsidRDefault="008A4A83" w:rsidP="008A4A83">
      <w:pPr>
        <w:pStyle w:val="H3bodytext"/>
        <w:numPr>
          <w:ilvl w:val="0"/>
          <w:numId w:val="6"/>
        </w:numPr>
        <w:ind w:hanging="360"/>
      </w:pPr>
      <w:r>
        <w:t>Nature of required change (Minor/Major)</w:t>
      </w:r>
    </w:p>
    <w:p w14:paraId="22F7BA06" w14:textId="77777777" w:rsidR="008A4A83" w:rsidRDefault="008A4A83" w:rsidP="008A4A83">
      <w:pPr>
        <w:pStyle w:val="H3bodytext"/>
        <w:numPr>
          <w:ilvl w:val="0"/>
          <w:numId w:val="6"/>
        </w:numPr>
        <w:ind w:hanging="360"/>
      </w:pPr>
      <w:r>
        <w:t>Disposition and Proposed Corrective Action</w:t>
      </w:r>
    </w:p>
    <w:p w14:paraId="14A847AE" w14:textId="77777777" w:rsidR="008A4A83" w:rsidRDefault="008A4A83" w:rsidP="008A4A83">
      <w:pPr>
        <w:pStyle w:val="H3bodytext"/>
        <w:numPr>
          <w:ilvl w:val="0"/>
          <w:numId w:val="6"/>
        </w:numPr>
        <w:ind w:hanging="360"/>
      </w:pPr>
      <w:r>
        <w:t>Impact Analysis</w:t>
      </w:r>
    </w:p>
    <w:p w14:paraId="16D2AD57" w14:textId="77777777" w:rsidR="008A4A83" w:rsidRDefault="008A4A83" w:rsidP="008A4A83">
      <w:pPr>
        <w:pStyle w:val="H3bodytext"/>
        <w:numPr>
          <w:ilvl w:val="0"/>
          <w:numId w:val="6"/>
        </w:numPr>
        <w:ind w:hanging="360"/>
      </w:pPr>
      <w:r>
        <w:t>Affected Hardware components</w:t>
      </w:r>
    </w:p>
    <w:p w14:paraId="2B508EE4" w14:textId="77777777" w:rsidR="008A4A83" w:rsidRDefault="008A4A83" w:rsidP="008A4A83">
      <w:pPr>
        <w:pStyle w:val="H3bodytext"/>
        <w:numPr>
          <w:ilvl w:val="0"/>
          <w:numId w:val="6"/>
        </w:numPr>
        <w:ind w:hanging="360"/>
      </w:pPr>
      <w:r>
        <w:t>Affected Baseline Documentation</w:t>
      </w:r>
    </w:p>
    <w:p w14:paraId="4C8681B7" w14:textId="77777777" w:rsidR="008A4A83" w:rsidRDefault="008A4A83" w:rsidP="008A4A83">
      <w:pPr>
        <w:pStyle w:val="H3bodytext"/>
        <w:numPr>
          <w:ilvl w:val="0"/>
          <w:numId w:val="6"/>
        </w:numPr>
        <w:ind w:hanging="360"/>
      </w:pPr>
      <w:r>
        <w:t>Affected software (e.g., libraries, databases)</w:t>
      </w:r>
    </w:p>
    <w:p w14:paraId="5F2B2EDB" w14:textId="77777777" w:rsidR="008A4A83" w:rsidRDefault="008A4A83" w:rsidP="008A4A83">
      <w:pPr>
        <w:pStyle w:val="H3bodytext"/>
        <w:numPr>
          <w:ilvl w:val="0"/>
          <w:numId w:val="6"/>
        </w:numPr>
        <w:ind w:hanging="360"/>
      </w:pPr>
      <w:r>
        <w:t>Testing Requirements</w:t>
      </w:r>
    </w:p>
    <w:p w14:paraId="16B17E8C" w14:textId="77777777" w:rsidR="008A4A83" w:rsidRDefault="008A4A83" w:rsidP="008A4A83">
      <w:pPr>
        <w:pStyle w:val="H3bodytext"/>
        <w:ind w:left="1440"/>
      </w:pPr>
      <w:r>
        <w:t>Submit the completed</w:t>
      </w:r>
      <w:r>
        <w:rPr>
          <w:i/>
        </w:rPr>
        <w:t xml:space="preserve"> Problem Report/Change Request</w:t>
      </w:r>
      <w:r>
        <w:t xml:space="preserve"> form to the software owner who will respond following the process identified in the SMP.</w:t>
      </w:r>
    </w:p>
    <w:p w14:paraId="3250856C" w14:textId="77777777" w:rsidR="008A4A83" w:rsidRDefault="008A4A83" w:rsidP="008A4A83">
      <w:pPr>
        <w:pStyle w:val="Heading3"/>
      </w:pPr>
      <w:r>
        <w:t>Responsibilities</w:t>
      </w:r>
    </w:p>
    <w:p w14:paraId="561B3B6D" w14:textId="77777777" w:rsidR="008A4A83" w:rsidRDefault="008A4A83" w:rsidP="008A4A83">
      <w:pPr>
        <w:pStyle w:val="H3bodytext"/>
        <w:ind w:left="1440"/>
      </w:pPr>
      <w:r>
        <w:t>The software owner will:</w:t>
      </w:r>
    </w:p>
    <w:p w14:paraId="6DC3B177" w14:textId="77777777" w:rsidR="008A4A83" w:rsidRDefault="008A4A83" w:rsidP="008A4A83">
      <w:pPr>
        <w:pStyle w:val="H3bodytext"/>
        <w:numPr>
          <w:ilvl w:val="0"/>
          <w:numId w:val="7"/>
        </w:numPr>
        <w:ind w:hanging="360"/>
      </w:pPr>
      <w:r>
        <w:t>Conduct acceptance testing, or delegate this task to a qualified MODFLOW software user</w:t>
      </w:r>
    </w:p>
    <w:p w14:paraId="077C1F84" w14:textId="77777777" w:rsidR="008A4A83" w:rsidRPr="008A4A83" w:rsidRDefault="008A4A83" w:rsidP="008A4A83">
      <w:pPr>
        <w:pStyle w:val="H3bodytext"/>
        <w:numPr>
          <w:ilvl w:val="0"/>
          <w:numId w:val="7"/>
        </w:numPr>
        <w:ind w:hanging="360"/>
        <w:rPr>
          <w:color w:val="FF0000"/>
        </w:rPr>
      </w:pPr>
      <w:r w:rsidRPr="008A4A83">
        <w:rPr>
          <w:color w:val="FF0000"/>
        </w:rPr>
        <w:t>Assign an independent technical reviewer who is not the person conducting the test to review and approve acceptance test results (the software owner may serve as the independent technical reviewer unless the software owner is also the software user).</w:t>
      </w:r>
    </w:p>
    <w:p w14:paraId="3FD1B30A" w14:textId="77777777" w:rsidR="008A4A83" w:rsidRDefault="008A4A83" w:rsidP="008A4A83">
      <w:pPr>
        <w:pStyle w:val="H3bodytext"/>
        <w:numPr>
          <w:ilvl w:val="0"/>
          <w:numId w:val="7"/>
        </w:numPr>
        <w:ind w:hanging="360"/>
      </w:pPr>
      <w:r>
        <w:t>Ensure that acceptance testing results are documented in the ATR, obtain approvals, and issue the ATR.</w:t>
      </w:r>
    </w:p>
    <w:p w14:paraId="6ACE674A" w14:textId="77777777" w:rsidR="008A4A83" w:rsidRDefault="008A4A83" w:rsidP="008A4A83">
      <w:pPr>
        <w:pStyle w:val="H3bodytext"/>
        <w:numPr>
          <w:ilvl w:val="0"/>
          <w:numId w:val="7"/>
        </w:numPr>
        <w:ind w:hanging="360"/>
      </w:pPr>
      <w:r>
        <w:t xml:space="preserve">Respond to submission of </w:t>
      </w:r>
      <w:r>
        <w:rPr>
          <w:i/>
        </w:rPr>
        <w:t>Problem Report/Change Request</w:t>
      </w:r>
      <w:r>
        <w:t xml:space="preserve"> forms as specified in the SMP.</w:t>
      </w:r>
    </w:p>
    <w:p w14:paraId="0B5D67DD" w14:textId="77777777" w:rsidR="008A4A83" w:rsidRDefault="008A4A83" w:rsidP="008A4A83">
      <w:pPr>
        <w:pStyle w:val="H3bodytext"/>
        <w:numPr>
          <w:ilvl w:val="0"/>
          <w:numId w:val="7"/>
        </w:numPr>
        <w:ind w:hanging="360"/>
      </w:pPr>
      <w:r>
        <w:t xml:space="preserve">Maintain HISI entries related to software status, testing, and approval for use of MODFLOW and related codes as identified in </w:t>
      </w:r>
      <w:r w:rsidRPr="008A4A83">
        <w:rPr>
          <w:color w:val="FF0000"/>
        </w:rPr>
        <w:t>PRC-PRO-IRM-309</w:t>
      </w:r>
    </w:p>
    <w:p w14:paraId="19664501" w14:textId="77777777" w:rsidR="008A4A83" w:rsidRDefault="008A4A83" w:rsidP="008A4A83">
      <w:pPr>
        <w:pStyle w:val="H3bodytext"/>
        <w:numPr>
          <w:ilvl w:val="0"/>
          <w:numId w:val="7"/>
        </w:numPr>
        <w:ind w:hanging="360"/>
      </w:pPr>
      <w:r>
        <w:lastRenderedPageBreak/>
        <w:t xml:space="preserve">Archive a copy of the software and any vendor provided documents in the </w:t>
      </w:r>
      <w:r w:rsidRPr="008A4A83">
        <w:rPr>
          <w:color w:val="FF0000"/>
        </w:rPr>
        <w:t>MKS Integrity</w:t>
      </w:r>
      <w:r>
        <w:t>™ configuration management system.</w:t>
      </w:r>
    </w:p>
    <w:p w14:paraId="0372084A" w14:textId="77777777" w:rsidR="008A4A83" w:rsidRDefault="008A4A83" w:rsidP="008A4A83">
      <w:pPr>
        <w:pStyle w:val="H3bodytext"/>
        <w:ind w:left="1440"/>
      </w:pPr>
      <w:r>
        <w:t>The independent technical reviewer will:</w:t>
      </w:r>
    </w:p>
    <w:p w14:paraId="48B4B8F4" w14:textId="77777777" w:rsidR="008A4A83" w:rsidRDefault="008A4A83" w:rsidP="008A4A83">
      <w:pPr>
        <w:pStyle w:val="H3bodytext"/>
        <w:numPr>
          <w:ilvl w:val="0"/>
          <w:numId w:val="8"/>
        </w:numPr>
        <w:ind w:hanging="360"/>
      </w:pPr>
      <w:r>
        <w:t>Review this STP and ATR or installation test results for completeness, consistency, clarity and correctness.</w:t>
      </w:r>
    </w:p>
    <w:p w14:paraId="582839B6" w14:textId="77777777" w:rsidR="008A4A83" w:rsidRDefault="008A4A83" w:rsidP="008A4A83">
      <w:pPr>
        <w:pStyle w:val="H3bodytext"/>
        <w:numPr>
          <w:ilvl w:val="0"/>
          <w:numId w:val="8"/>
        </w:numPr>
        <w:ind w:hanging="360"/>
      </w:pPr>
      <w:r>
        <w:t>Confirm acceptable test results for acceptance testing.</w:t>
      </w:r>
    </w:p>
    <w:p w14:paraId="1A3AE97D" w14:textId="77777777" w:rsidR="008A4A83" w:rsidRDefault="008A4A83" w:rsidP="008A4A83">
      <w:pPr>
        <w:pStyle w:val="H3bodytext"/>
        <w:ind w:left="1440"/>
      </w:pPr>
      <w:r>
        <w:t>The software user will do the following before using a software installation to produce results that will be reported in released documents or used for decision making purposes:</w:t>
      </w:r>
    </w:p>
    <w:p w14:paraId="611C293D" w14:textId="77777777" w:rsidR="008A4A83" w:rsidRDefault="008A4A83" w:rsidP="008A4A83">
      <w:pPr>
        <w:pStyle w:val="H3bodytext"/>
        <w:numPr>
          <w:ilvl w:val="0"/>
          <w:numId w:val="9"/>
        </w:numPr>
      </w:pPr>
      <w:r>
        <w:t>Only use versions of MODPATH and related codes that are approved for use (following completion of acceptance testing).</w:t>
      </w:r>
    </w:p>
    <w:p w14:paraId="1066F848" w14:textId="77777777" w:rsidR="008A4A83" w:rsidRDefault="008A4A83" w:rsidP="008A4A83">
      <w:pPr>
        <w:pStyle w:val="H3bodytext"/>
        <w:numPr>
          <w:ilvl w:val="0"/>
          <w:numId w:val="9"/>
        </w:numPr>
      </w:pPr>
      <w:r>
        <w:t xml:space="preserve">When installing the MODPATH and related codes, complete the installation test identified in this STP and documents the results using </w:t>
      </w:r>
      <w:r>
        <w:rPr>
          <w:i/>
        </w:rPr>
        <w:t>Software Installation &amp; Checkout Form</w:t>
      </w:r>
      <w:r>
        <w:t xml:space="preserve"> </w:t>
      </w:r>
      <w:r w:rsidRPr="008A4A83">
        <w:rPr>
          <w:color w:val="FF0000"/>
        </w:rPr>
        <w:t>(A-6005-149).</w:t>
      </w:r>
    </w:p>
    <w:p w14:paraId="594FA3F1" w14:textId="77777777" w:rsidR="008A4A83" w:rsidRDefault="008A4A83" w:rsidP="008A4A83">
      <w:pPr>
        <w:pStyle w:val="H3bodytext"/>
        <w:numPr>
          <w:ilvl w:val="0"/>
          <w:numId w:val="9"/>
        </w:numPr>
      </w:pPr>
      <w:r>
        <w:t xml:space="preserve">Ensuring that the installation test is </w:t>
      </w:r>
      <w:proofErr w:type="gramStart"/>
      <w:r>
        <w:t>repeated</w:t>
      </w:r>
      <w:proofErr w:type="gramEnd"/>
      <w:r>
        <w:t xml:space="preserve"> and results documented following software or hardware configuration changes to the host computer (e.g., operating system patches or upgrades)</w:t>
      </w:r>
    </w:p>
    <w:p w14:paraId="5F5140D2" w14:textId="77777777" w:rsidR="008A4A83" w:rsidRDefault="008A4A83" w:rsidP="008A4A83">
      <w:pPr>
        <w:pStyle w:val="Heading3"/>
      </w:pPr>
      <w:r>
        <w:t>Risks and Contingencies</w:t>
      </w:r>
    </w:p>
    <w:p w14:paraId="4B30A42F" w14:textId="77777777" w:rsidR="008A4A83" w:rsidRDefault="008A4A83" w:rsidP="008A4A83">
      <w:pPr>
        <w:pStyle w:val="H3bodytext"/>
        <w:ind w:left="1440"/>
      </w:pPr>
      <w:r>
        <w:t>No major risks are identified with respect to this test plan. The MODPATH and related software has a long history of successful application to similar problems as CHPRC intends to use this software to solve and is the most widely used software in the world for this purpose.</w:t>
      </w:r>
    </w:p>
    <w:p w14:paraId="24178E7F" w14:textId="77777777" w:rsidR="008A4A83" w:rsidRDefault="008A4A83" w:rsidP="008A4A83">
      <w:pPr>
        <w:pStyle w:val="Heading2"/>
      </w:pPr>
      <w:r>
        <w:t>Identification</w:t>
      </w:r>
    </w:p>
    <w:p w14:paraId="36C2556F" w14:textId="77777777" w:rsidR="008A4A83" w:rsidRDefault="008A4A83" w:rsidP="008A4A83">
      <w:pPr>
        <w:pStyle w:val="H2bodytext"/>
      </w:pPr>
      <w:r>
        <w:t>Acceptance test cases will be identified uniquely by the following naming convention:</w:t>
      </w:r>
    </w:p>
    <w:p w14:paraId="58545F1C" w14:textId="77777777" w:rsidR="008A4A83" w:rsidRDefault="008A4A83" w:rsidP="008A4A83">
      <w:pPr>
        <w:pStyle w:val="H2bodytext"/>
      </w:pPr>
      <w:r>
        <w:tab/>
        <w:t>M</w:t>
      </w:r>
      <w:r w:rsidR="009B704C">
        <w:t>P</w:t>
      </w:r>
      <w:r>
        <w:t>-ATC-#</w:t>
      </w:r>
    </w:p>
    <w:p w14:paraId="37D1A291" w14:textId="77777777" w:rsidR="008A4A83" w:rsidRDefault="008A4A83" w:rsidP="008A4A83">
      <w:pPr>
        <w:pStyle w:val="H2bodytext"/>
      </w:pPr>
      <w:r>
        <w:tab/>
        <w:t>M</w:t>
      </w:r>
      <w:r w:rsidR="009B704C">
        <w:t>U</w:t>
      </w:r>
      <w:r>
        <w:t>-ATC-#</w:t>
      </w:r>
    </w:p>
    <w:p w14:paraId="00567603" w14:textId="77777777" w:rsidR="008A4A83" w:rsidRDefault="008A4A83" w:rsidP="008A4A83">
      <w:pPr>
        <w:pStyle w:val="H2bodytext"/>
      </w:pPr>
      <w:r>
        <w:t>where MP designates MODPATH and M</w:t>
      </w:r>
      <w:r w:rsidR="009B704C">
        <w:t>U</w:t>
      </w:r>
      <w:r>
        <w:t xml:space="preserve"> designates </w:t>
      </w:r>
      <w:r w:rsidR="009B704C">
        <w:t>MODPATH3DU</w:t>
      </w:r>
      <w:r>
        <w:t>; ATC designates an acceptance test case; and # is the unique test number. Similarly, installation test cases are designated by the following naming convention:</w:t>
      </w:r>
    </w:p>
    <w:p w14:paraId="0FFA02B2" w14:textId="77777777" w:rsidR="008A4A83" w:rsidRDefault="008A4A83" w:rsidP="008A4A83">
      <w:pPr>
        <w:pStyle w:val="H2bodytext"/>
      </w:pPr>
      <w:r>
        <w:tab/>
        <w:t>M</w:t>
      </w:r>
      <w:r w:rsidR="009B704C">
        <w:t>P</w:t>
      </w:r>
      <w:r>
        <w:t>-ITC-# or M</w:t>
      </w:r>
      <w:r w:rsidR="009B704C">
        <w:t>U</w:t>
      </w:r>
      <w:r>
        <w:t>-ITC-#</w:t>
      </w:r>
    </w:p>
    <w:p w14:paraId="05462396" w14:textId="77777777" w:rsidR="008A4A83" w:rsidRDefault="008A4A83" w:rsidP="008A4A83">
      <w:pPr>
        <w:pStyle w:val="H2bodytext"/>
      </w:pPr>
      <w:r>
        <w:t>where ITC designates an installation test case.</w:t>
      </w:r>
    </w:p>
    <w:p w14:paraId="6ECFE6D2" w14:textId="77777777" w:rsidR="009B704C" w:rsidRDefault="009B704C" w:rsidP="009B704C">
      <w:pPr>
        <w:pStyle w:val="Heading2"/>
      </w:pPr>
      <w:r>
        <w:lastRenderedPageBreak/>
        <w:t>Pass/Fail Criteria</w:t>
      </w:r>
    </w:p>
    <w:p w14:paraId="38D6F491" w14:textId="77777777" w:rsidR="009B704C" w:rsidRDefault="009B704C" w:rsidP="009B704C">
      <w:pPr>
        <w:ind w:left="1440"/>
        <w:rPr>
          <w:rFonts w:ascii="Arial" w:hAnsi="Arial"/>
          <w:sz w:val="22"/>
          <w:szCs w:val="20"/>
        </w:rPr>
      </w:pPr>
      <w:r>
        <w:rPr>
          <w:rFonts w:ascii="Arial" w:hAnsi="Arial"/>
          <w:sz w:val="22"/>
          <w:szCs w:val="20"/>
        </w:rPr>
        <w:t xml:space="preserve">Specific pass/fail criteria for acceptance test cases are identified below in Section 3.3 for each </w:t>
      </w:r>
      <w:proofErr w:type="gramStart"/>
      <w:r>
        <w:rPr>
          <w:rFonts w:ascii="Arial" w:hAnsi="Arial"/>
          <w:sz w:val="22"/>
          <w:szCs w:val="20"/>
        </w:rPr>
        <w:t>case, and</w:t>
      </w:r>
      <w:proofErr w:type="gramEnd"/>
      <w:r>
        <w:rPr>
          <w:rFonts w:ascii="Arial" w:hAnsi="Arial"/>
          <w:sz w:val="22"/>
          <w:szCs w:val="20"/>
        </w:rPr>
        <w:t xml:space="preserve"> are set to ensure accurate solutions by the numerical solver in the tested software within an objective numerical tolerance. When the software is shown through the testing to meet these criteria, it will be considered to have passed the test.</w:t>
      </w:r>
    </w:p>
    <w:p w14:paraId="2971287B" w14:textId="77777777" w:rsidR="00544AEA" w:rsidRDefault="00544AEA" w:rsidP="00544AEA">
      <w:pPr>
        <w:spacing w:after="240"/>
        <w:ind w:left="1440"/>
        <w:rPr>
          <w:rFonts w:ascii="Arial" w:hAnsi="Arial" w:cs="Arial"/>
          <w:sz w:val="22"/>
          <w:szCs w:val="20"/>
        </w:rPr>
      </w:pPr>
    </w:p>
    <w:p w14:paraId="752ACD4C" w14:textId="77777777" w:rsidR="009B704C" w:rsidRDefault="009B704C" w:rsidP="009B704C">
      <w:pPr>
        <w:pStyle w:val="Heading2"/>
        <w:spacing w:before="240"/>
      </w:pPr>
      <w:bookmarkStart w:id="8" w:name="_Ref239754187"/>
      <w:r>
        <w:t xml:space="preserve">Test </w:t>
      </w:r>
      <w:commentRangeStart w:id="9"/>
      <w:r>
        <w:t>Cases</w:t>
      </w:r>
      <w:bookmarkEnd w:id="8"/>
      <w:commentRangeEnd w:id="9"/>
      <w:r w:rsidR="00427E19">
        <w:rPr>
          <w:rStyle w:val="CommentReference"/>
          <w:rFonts w:ascii="Times New Roman" w:hAnsi="Times New Roman" w:cs="Times New Roman"/>
          <w:b w:val="0"/>
          <w:iCs w:val="0"/>
          <w:kern w:val="0"/>
        </w:rPr>
        <w:commentReference w:id="9"/>
      </w:r>
    </w:p>
    <w:p w14:paraId="0612DBEB" w14:textId="6138BD09" w:rsidR="009B704C" w:rsidRDefault="009B704C" w:rsidP="009B704C">
      <w:pPr>
        <w:pStyle w:val="H2bodytext"/>
      </w:pPr>
      <w:r>
        <w:t>Four acceptance test cases and four installation test cases are detailed below with acceptance criteria and expected results for each. The tests are applicable to both MODPATH and MODPATH3DU; testing for each will be conducted and documented separately.</w:t>
      </w:r>
      <w:r w:rsidR="00782EFB">
        <w:t xml:space="preserve"> Each of these test cases calculated the particle tracks over a flow field calculated using [either] MODFLOW [or MODFLOW3DU]. The input files for each of these tests [including for 3du?] was assembled using a python script, which utilized the [plug-ins] </w:t>
      </w:r>
      <w:proofErr w:type="spellStart"/>
      <w:r w:rsidR="00782EFB">
        <w:t>FloPy</w:t>
      </w:r>
      <w:proofErr w:type="spellEnd"/>
      <w:r w:rsidR="00782EFB">
        <w:t xml:space="preserve">, matplotlib, </w:t>
      </w:r>
      <w:proofErr w:type="spellStart"/>
      <w:r w:rsidR="00782EFB">
        <w:t>numpy</w:t>
      </w:r>
      <w:proofErr w:type="spellEnd"/>
      <w:r w:rsidR="00782EFB">
        <w:t>, [and anything else?].</w:t>
      </w:r>
    </w:p>
    <w:p w14:paraId="1C8B6ADD" w14:textId="6CD989EE" w:rsidR="00544AEA" w:rsidRPr="000F1148" w:rsidRDefault="000F1148" w:rsidP="002752C1">
      <w:pPr>
        <w:pStyle w:val="H2bodytext"/>
        <w:rPr>
          <w:b/>
          <w:i/>
        </w:rPr>
      </w:pPr>
      <w:r w:rsidRPr="000F1148">
        <w:rPr>
          <w:b/>
          <w:i/>
        </w:rPr>
        <w:t>MP-ATC-1: Forward Particle Tracking from an Injection Well</w:t>
      </w:r>
    </w:p>
    <w:p w14:paraId="708D4EB1" w14:textId="148FF745" w:rsidR="000F1148" w:rsidRDefault="000F1148" w:rsidP="002752C1">
      <w:pPr>
        <w:pStyle w:val="H2bodytext"/>
        <w:rPr>
          <w:rFonts w:cstheme="minorHAnsi"/>
        </w:rPr>
      </w:pPr>
      <w:r>
        <w:t>The first test concerns forward particle tracking in a steady-state system with an injection well. This test is repeated from and compared against</w:t>
      </w:r>
      <w:r w:rsidR="00A13C86">
        <w:t xml:space="preserve"> a test in</w:t>
      </w:r>
      <w:r>
        <w:t xml:space="preserve"> Pollock, 1988, </w:t>
      </w:r>
      <w:proofErr w:type="spellStart"/>
      <w:r>
        <w:rPr>
          <w:i/>
        </w:rPr>
        <w:t>Semianalytical</w:t>
      </w:r>
      <w:proofErr w:type="spellEnd"/>
      <w:r>
        <w:rPr>
          <w:i/>
        </w:rPr>
        <w:t xml:space="preserve"> Computation of Path Lines for Finite-Difference Models</w:t>
      </w:r>
      <w:r>
        <w:t>. The injection well pumps at a constant rate of 160,00 ft</w:t>
      </w:r>
      <w:r>
        <w:rPr>
          <w:vertAlign w:val="superscript"/>
        </w:rPr>
        <w:t>3</w:t>
      </w:r>
      <w:r>
        <w:t>/day into a confined aquifer with a thickness of 100 ft, hydraulic conductivity of 10 ft/day</w:t>
      </w:r>
      <w:r>
        <w:rPr>
          <w:rFonts w:cstheme="minorHAnsi"/>
        </w:rPr>
        <w:t xml:space="preserve"> (</w:t>
      </w:r>
      <w:r>
        <w:rPr>
          <w:rFonts w:cstheme="minorHAnsi"/>
        </w:rPr>
        <w:fldChar w:fldCharType="begin"/>
      </w:r>
      <w:r>
        <w:rPr>
          <w:rFonts w:cstheme="minorHAnsi"/>
        </w:rPr>
        <w:instrText xml:space="preserve"> REF _Ref520126361 \h </w:instrText>
      </w:r>
      <w:r>
        <w:rPr>
          <w:rFonts w:cstheme="minorHAnsi"/>
        </w:rPr>
      </w:r>
      <w:r>
        <w:rPr>
          <w:rFonts w:cstheme="minorHAnsi"/>
        </w:rPr>
        <w:fldChar w:fldCharType="separate"/>
      </w:r>
      <w:r w:rsidR="00F01FBC">
        <w:t xml:space="preserve">Figure </w:t>
      </w:r>
      <w:r w:rsidR="00F01FBC">
        <w:rPr>
          <w:noProof/>
        </w:rPr>
        <w:t>2</w:t>
      </w:r>
      <w:r w:rsidR="00F01FBC">
        <w:noBreakHyphen/>
      </w:r>
      <w:r w:rsidR="00F01FBC">
        <w:rPr>
          <w:noProof/>
        </w:rPr>
        <w:t>1</w:t>
      </w:r>
      <w:r>
        <w:rPr>
          <w:rFonts w:cstheme="minorHAnsi"/>
        </w:rPr>
        <w:fldChar w:fldCharType="end"/>
      </w:r>
      <w:r>
        <w:rPr>
          <w:rFonts w:cstheme="minorHAnsi"/>
        </w:rPr>
        <w:t xml:space="preserve">). </w:t>
      </w:r>
      <w:r>
        <w:t xml:space="preserve">The hydraulic head at a radial distance of 4,000 ft from the well is held </w:t>
      </w:r>
      <w:r>
        <w:rPr>
          <w:rFonts w:cstheme="minorHAnsi"/>
        </w:rPr>
        <w:t>constant at 100 ft (</w:t>
      </w:r>
      <w:r>
        <w:rPr>
          <w:rFonts w:cstheme="minorHAnsi"/>
        </w:rPr>
        <w:fldChar w:fldCharType="begin"/>
      </w:r>
      <w:r>
        <w:rPr>
          <w:rFonts w:cstheme="minorHAnsi"/>
        </w:rPr>
        <w:instrText xml:space="preserve"> REF _Ref520126041 \h </w:instrText>
      </w:r>
      <w:r>
        <w:rPr>
          <w:rFonts w:cstheme="minorHAnsi"/>
        </w:rPr>
      </w:r>
      <w:r>
        <w:rPr>
          <w:rFonts w:cstheme="minorHAnsi"/>
        </w:rPr>
        <w:fldChar w:fldCharType="separate"/>
      </w:r>
      <w:r w:rsidR="00F01FBC">
        <w:t xml:space="preserve">Figure </w:t>
      </w:r>
      <w:r w:rsidR="00F01FBC">
        <w:rPr>
          <w:noProof/>
        </w:rPr>
        <w:t>2</w:t>
      </w:r>
      <w:r w:rsidR="00F01FBC">
        <w:noBreakHyphen/>
      </w:r>
      <w:r w:rsidR="00F01FBC">
        <w:rPr>
          <w:noProof/>
        </w:rPr>
        <w:t>2</w:t>
      </w:r>
      <w:r>
        <w:rPr>
          <w:rFonts w:cstheme="minorHAnsi"/>
        </w:rPr>
        <w:fldChar w:fldCharType="end"/>
      </w:r>
      <w:r>
        <w:rPr>
          <w:rFonts w:cstheme="minorHAnsi"/>
        </w:rPr>
        <w:t>).</w:t>
      </w:r>
      <w:r w:rsidRPr="000F1148">
        <w:rPr>
          <w:rFonts w:cstheme="minorHAnsi"/>
        </w:rPr>
        <w:t xml:space="preserve"> </w:t>
      </w:r>
      <w:r>
        <w:rPr>
          <w:rFonts w:cstheme="minorHAnsi"/>
        </w:rPr>
        <w:t xml:space="preserve">The symmetry of the problem allows only one-fourth of the circular flow field be considered. </w:t>
      </w:r>
      <w:r>
        <w:rPr>
          <w:rFonts w:cstheme="minorHAnsi"/>
        </w:rPr>
        <w:fldChar w:fldCharType="begin"/>
      </w:r>
      <w:r>
        <w:rPr>
          <w:rFonts w:cstheme="minorHAnsi"/>
        </w:rPr>
        <w:instrText xml:space="preserve"> REF _Ref520126041 \h </w:instrText>
      </w:r>
      <w:r>
        <w:rPr>
          <w:rFonts w:cstheme="minorHAnsi"/>
        </w:rPr>
      </w:r>
      <w:r>
        <w:rPr>
          <w:rFonts w:cstheme="minorHAnsi"/>
        </w:rPr>
        <w:fldChar w:fldCharType="separate"/>
      </w:r>
      <w:r w:rsidR="00F01FBC">
        <w:t xml:space="preserve">Figure </w:t>
      </w:r>
      <w:r w:rsidR="00F01FBC">
        <w:rPr>
          <w:noProof/>
        </w:rPr>
        <w:t>2</w:t>
      </w:r>
      <w:r w:rsidR="00F01FBC">
        <w:noBreakHyphen/>
      </w:r>
      <w:r w:rsidR="00F01FBC">
        <w:rPr>
          <w:noProof/>
        </w:rPr>
        <w:t>2</w:t>
      </w:r>
      <w:r>
        <w:rPr>
          <w:rFonts w:cstheme="minorHAnsi"/>
        </w:rPr>
        <w:fldChar w:fldCharType="end"/>
      </w:r>
      <w:r>
        <w:rPr>
          <w:rFonts w:cstheme="minorHAnsi"/>
        </w:rPr>
        <w:t xml:space="preserve"> shows the finite-difference grid and boundary conditions used to approximate flow through one-fourth of the system shown in </w:t>
      </w:r>
      <w:r>
        <w:rPr>
          <w:rFonts w:cstheme="minorHAnsi"/>
        </w:rPr>
        <w:fldChar w:fldCharType="begin"/>
      </w:r>
      <w:r>
        <w:rPr>
          <w:rFonts w:cstheme="minorHAnsi"/>
        </w:rPr>
        <w:instrText xml:space="preserve"> REF _Ref520126361 \h </w:instrText>
      </w:r>
      <w:r>
        <w:rPr>
          <w:rFonts w:cstheme="minorHAnsi"/>
        </w:rPr>
      </w:r>
      <w:r>
        <w:rPr>
          <w:rFonts w:cstheme="minorHAnsi"/>
        </w:rPr>
        <w:fldChar w:fldCharType="separate"/>
      </w:r>
      <w:r w:rsidR="00F01FBC">
        <w:t xml:space="preserve">Figure </w:t>
      </w:r>
      <w:r w:rsidR="00F01FBC">
        <w:rPr>
          <w:noProof/>
        </w:rPr>
        <w:t>2</w:t>
      </w:r>
      <w:r w:rsidR="00F01FBC">
        <w:noBreakHyphen/>
      </w:r>
      <w:r w:rsidR="00F01FBC">
        <w:rPr>
          <w:noProof/>
        </w:rPr>
        <w:t>1</w:t>
      </w:r>
      <w:r>
        <w:rPr>
          <w:rFonts w:cstheme="minorHAnsi"/>
        </w:rPr>
        <w:fldChar w:fldCharType="end"/>
      </w:r>
      <w:r>
        <w:rPr>
          <w:rFonts w:cstheme="minorHAnsi"/>
        </w:rPr>
        <w:t>.</w:t>
      </w:r>
    </w:p>
    <w:p w14:paraId="6F903743" w14:textId="77777777" w:rsidR="000F1148" w:rsidRDefault="000F1148" w:rsidP="002752C1">
      <w:pPr>
        <w:pStyle w:val="H2bodytext"/>
      </w:pPr>
    </w:p>
    <w:p w14:paraId="67E6A37F" w14:textId="77777777" w:rsidR="000F1148" w:rsidRDefault="000F1148" w:rsidP="000F1148">
      <w:pPr>
        <w:pStyle w:val="Figure"/>
      </w:pPr>
      <w:r>
        <w:rPr>
          <w:noProof/>
        </w:rPr>
        <w:lastRenderedPageBreak/>
        <w:drawing>
          <wp:inline distT="0" distB="0" distL="0" distR="0" wp14:anchorId="5D9800DE" wp14:editId="2B6625C2">
            <wp:extent cx="3154680" cy="339852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4680" cy="3398520"/>
                    </a:xfrm>
                    <a:prstGeom prst="rect">
                      <a:avLst/>
                    </a:prstGeom>
                    <a:noFill/>
                    <a:ln>
                      <a:noFill/>
                    </a:ln>
                  </pic:spPr>
                </pic:pic>
              </a:graphicData>
            </a:graphic>
          </wp:inline>
        </w:drawing>
      </w:r>
    </w:p>
    <w:p w14:paraId="161B3B72" w14:textId="77777777" w:rsidR="000F1148" w:rsidRDefault="000F1148" w:rsidP="000F1148">
      <w:pPr>
        <w:pStyle w:val="FigureNotes"/>
        <w:jc w:val="center"/>
      </w:pPr>
      <w:r>
        <w:t>Source: Pollock, 1988</w:t>
      </w:r>
    </w:p>
    <w:p w14:paraId="2DC44501" w14:textId="4FB31FFA" w:rsidR="000F1148" w:rsidRDefault="000F1148" w:rsidP="000F1148">
      <w:pPr>
        <w:pStyle w:val="FigureNumberCaption"/>
      </w:pPr>
      <w:bookmarkStart w:id="10" w:name="_Ref520126361"/>
      <w:bookmarkStart w:id="11" w:name="_Toc520215411"/>
      <w:r>
        <w:t xml:space="preserve">Figure </w:t>
      </w:r>
      <w:r w:rsidR="00D4032F">
        <w:rPr>
          <w:noProof/>
        </w:rPr>
        <w:fldChar w:fldCharType="begin"/>
      </w:r>
      <w:r w:rsidR="00D4032F">
        <w:rPr>
          <w:noProof/>
        </w:rPr>
        <w:instrText xml:space="preserve"> STYLEREF 1 \s </w:instrText>
      </w:r>
      <w:r w:rsidR="00D4032F">
        <w:rPr>
          <w:noProof/>
        </w:rPr>
        <w:fldChar w:fldCharType="separate"/>
      </w:r>
      <w:r w:rsidR="00F01FBC">
        <w:rPr>
          <w:noProof/>
        </w:rPr>
        <w:t>2</w:t>
      </w:r>
      <w:r w:rsidR="00D4032F">
        <w:rPr>
          <w:noProof/>
        </w:rPr>
        <w:fldChar w:fldCharType="end"/>
      </w:r>
      <w:r w:rsidR="00F01FBC">
        <w:noBreakHyphen/>
      </w:r>
      <w:r w:rsidR="00D4032F">
        <w:rPr>
          <w:noProof/>
        </w:rPr>
        <w:fldChar w:fldCharType="begin"/>
      </w:r>
      <w:r w:rsidR="00D4032F">
        <w:rPr>
          <w:noProof/>
        </w:rPr>
        <w:instrText xml:space="preserve"> SEQ Figure \* ARABIC \s 1 </w:instrText>
      </w:r>
      <w:r w:rsidR="00D4032F">
        <w:rPr>
          <w:noProof/>
        </w:rPr>
        <w:fldChar w:fldCharType="separate"/>
      </w:r>
      <w:r w:rsidR="00F01FBC">
        <w:rPr>
          <w:noProof/>
        </w:rPr>
        <w:t>1</w:t>
      </w:r>
      <w:r w:rsidR="00D4032F">
        <w:rPr>
          <w:noProof/>
        </w:rPr>
        <w:fldChar w:fldCharType="end"/>
      </w:r>
      <w:bookmarkEnd w:id="10"/>
      <w:r>
        <w:t xml:space="preserve">. </w:t>
      </w:r>
      <w:r w:rsidRPr="00FE18CA">
        <w:t xml:space="preserve">Test </w:t>
      </w:r>
      <w:r>
        <w:t>C</w:t>
      </w:r>
      <w:r w:rsidRPr="00FE18CA">
        <w:t xml:space="preserve">ase 1 </w:t>
      </w:r>
      <w:r>
        <w:t>L</w:t>
      </w:r>
      <w:r w:rsidRPr="00FE18CA">
        <w:t>ayout</w:t>
      </w:r>
      <w:bookmarkEnd w:id="11"/>
    </w:p>
    <w:p w14:paraId="775F6182" w14:textId="77777777" w:rsidR="000F1148" w:rsidRDefault="000F1148" w:rsidP="000F1148">
      <w:pPr>
        <w:pStyle w:val="Figure"/>
        <w:keepNext/>
      </w:pPr>
      <w:r>
        <w:rPr>
          <w:noProof/>
        </w:rPr>
        <w:drawing>
          <wp:inline distT="0" distB="0" distL="0" distR="0" wp14:anchorId="0B1283CB" wp14:editId="6056BE2A">
            <wp:extent cx="3611245" cy="3817620"/>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stretch>
                      <a:fillRect/>
                    </a:stretch>
                  </pic:blipFill>
                  <pic:spPr>
                    <a:xfrm>
                      <a:off x="0" y="0"/>
                      <a:ext cx="3611245" cy="3817620"/>
                    </a:xfrm>
                    <a:prstGeom prst="rect">
                      <a:avLst/>
                    </a:prstGeom>
                  </pic:spPr>
                </pic:pic>
              </a:graphicData>
            </a:graphic>
          </wp:inline>
        </w:drawing>
      </w:r>
    </w:p>
    <w:p w14:paraId="212CA626" w14:textId="77777777" w:rsidR="000F1148" w:rsidRDefault="000F1148" w:rsidP="000F1148">
      <w:pPr>
        <w:pStyle w:val="FigureNotes"/>
        <w:jc w:val="center"/>
      </w:pPr>
      <w:r>
        <w:t>Source: Pollock, 1988</w:t>
      </w:r>
    </w:p>
    <w:p w14:paraId="48EEC543" w14:textId="2411FE42" w:rsidR="000F1148" w:rsidRPr="00DF1D57" w:rsidRDefault="000F1148" w:rsidP="000F1148">
      <w:pPr>
        <w:pStyle w:val="FigureNumberCaption"/>
      </w:pPr>
      <w:bookmarkStart w:id="12" w:name="_Ref520126041"/>
      <w:bookmarkStart w:id="13" w:name="_Toc520215412"/>
      <w:r>
        <w:lastRenderedPageBreak/>
        <w:t xml:space="preserve">Figure </w:t>
      </w:r>
      <w:r w:rsidR="00D4032F">
        <w:rPr>
          <w:noProof/>
        </w:rPr>
        <w:fldChar w:fldCharType="begin"/>
      </w:r>
      <w:r w:rsidR="00D4032F">
        <w:rPr>
          <w:noProof/>
        </w:rPr>
        <w:instrText xml:space="preserve"> STYLEREF 1 \s </w:instrText>
      </w:r>
      <w:r w:rsidR="00D4032F">
        <w:rPr>
          <w:noProof/>
        </w:rPr>
        <w:fldChar w:fldCharType="separate"/>
      </w:r>
      <w:r w:rsidR="00F01FBC">
        <w:rPr>
          <w:noProof/>
        </w:rPr>
        <w:t>2</w:t>
      </w:r>
      <w:r w:rsidR="00D4032F">
        <w:rPr>
          <w:noProof/>
        </w:rPr>
        <w:fldChar w:fldCharType="end"/>
      </w:r>
      <w:r w:rsidR="00F01FBC">
        <w:noBreakHyphen/>
      </w:r>
      <w:r w:rsidR="00D4032F">
        <w:rPr>
          <w:noProof/>
        </w:rPr>
        <w:fldChar w:fldCharType="begin"/>
      </w:r>
      <w:r w:rsidR="00D4032F">
        <w:rPr>
          <w:noProof/>
        </w:rPr>
        <w:instrText xml:space="preserve"> SEQ Figure \* ARABIC \s 1 </w:instrText>
      </w:r>
      <w:r w:rsidR="00D4032F">
        <w:rPr>
          <w:noProof/>
        </w:rPr>
        <w:fldChar w:fldCharType="separate"/>
      </w:r>
      <w:r w:rsidR="00F01FBC">
        <w:rPr>
          <w:noProof/>
        </w:rPr>
        <w:t>2</w:t>
      </w:r>
      <w:r w:rsidR="00D4032F">
        <w:rPr>
          <w:noProof/>
        </w:rPr>
        <w:fldChar w:fldCharType="end"/>
      </w:r>
      <w:bookmarkEnd w:id="12"/>
      <w:r>
        <w:t xml:space="preserve">. </w:t>
      </w:r>
      <w:r w:rsidRPr="005B034E">
        <w:t xml:space="preserve">Test </w:t>
      </w:r>
      <w:r>
        <w:t>C</w:t>
      </w:r>
      <w:r w:rsidRPr="005B034E">
        <w:t xml:space="preserve">ase 1 </w:t>
      </w:r>
      <w:r>
        <w:t>MODFLOW</w:t>
      </w:r>
      <w:r w:rsidRPr="005B034E">
        <w:t xml:space="preserve"> </w:t>
      </w:r>
      <w:r>
        <w:t>S</w:t>
      </w:r>
      <w:r w:rsidRPr="005B034E">
        <w:t>etup</w:t>
      </w:r>
      <w:bookmarkEnd w:id="13"/>
    </w:p>
    <w:p w14:paraId="58A36CB3" w14:textId="2C7396D8" w:rsidR="000F1148" w:rsidRDefault="000F1148" w:rsidP="000F1148">
      <w:pPr>
        <w:pStyle w:val="H2bodytext"/>
      </w:pPr>
      <w:r w:rsidRPr="000F1148">
        <w:t xml:space="preserve">Ten particles were placed at a radial distance of 150 ft from the center of the well. </w:t>
      </w:r>
      <w:r w:rsidR="00F01FBC">
        <w:fldChar w:fldCharType="begin"/>
      </w:r>
      <w:r w:rsidR="00F01FBC">
        <w:instrText xml:space="preserve"> REF _Ref520126021 \h </w:instrText>
      </w:r>
      <w:r w:rsidR="00F01FBC">
        <w:fldChar w:fldCharType="separate"/>
      </w:r>
      <w:r w:rsidR="00F01FBC">
        <w:t xml:space="preserve">Figure </w:t>
      </w:r>
      <w:r w:rsidR="00F01FBC">
        <w:rPr>
          <w:noProof/>
        </w:rPr>
        <w:t>2</w:t>
      </w:r>
      <w:r w:rsidR="00F01FBC">
        <w:noBreakHyphen/>
      </w:r>
      <w:r w:rsidR="00F01FBC">
        <w:rPr>
          <w:noProof/>
        </w:rPr>
        <w:t>3</w:t>
      </w:r>
      <w:r w:rsidR="00F01FBC">
        <w:fldChar w:fldCharType="end"/>
      </w:r>
      <w:r w:rsidRPr="000F1148">
        <w:t xml:space="preserve"> shows the positions of the particles after 2,500, 5,000, and 7,500 days, as calculated in Pollock, 1988. This figure was digitized and used as a guide for checking the model.</w:t>
      </w:r>
    </w:p>
    <w:p w14:paraId="0108E357" w14:textId="77777777" w:rsidR="000F1148" w:rsidRPr="00DF1D57" w:rsidRDefault="000F1148" w:rsidP="000F1148">
      <w:pPr>
        <w:pStyle w:val="Figure"/>
        <w:keepNext/>
        <w:rPr>
          <w:rFonts w:ascii="Arial Narrow" w:hAnsi="Arial Narrow"/>
          <w:sz w:val="20"/>
        </w:rPr>
      </w:pPr>
      <w:r>
        <w:rPr>
          <w:noProof/>
        </w:rPr>
        <w:drawing>
          <wp:inline distT="0" distB="0" distL="0" distR="0" wp14:anchorId="5A501522" wp14:editId="4D4797D6">
            <wp:extent cx="3627120" cy="345186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3627120" cy="3451860"/>
                    </a:xfrm>
                    <a:prstGeom prst="rect">
                      <a:avLst/>
                    </a:prstGeom>
                  </pic:spPr>
                </pic:pic>
              </a:graphicData>
            </a:graphic>
          </wp:inline>
        </w:drawing>
      </w:r>
    </w:p>
    <w:p w14:paraId="4D062997" w14:textId="77777777" w:rsidR="000F1148" w:rsidRDefault="000F1148" w:rsidP="000F1148">
      <w:pPr>
        <w:pStyle w:val="FigureNotes"/>
        <w:jc w:val="center"/>
      </w:pPr>
      <w:r>
        <w:t>Source: Pollock, 1988</w:t>
      </w:r>
    </w:p>
    <w:p w14:paraId="00766D69" w14:textId="2D2F06A4" w:rsidR="000F1148" w:rsidRDefault="000F1148" w:rsidP="000F1148">
      <w:pPr>
        <w:pStyle w:val="FigureNumberCaption"/>
        <w:rPr>
          <w:rFonts w:cstheme="minorBidi"/>
          <w:sz w:val="20"/>
        </w:rPr>
      </w:pPr>
      <w:bookmarkStart w:id="14" w:name="_Ref520126021"/>
      <w:bookmarkStart w:id="15" w:name="_Toc520215413"/>
      <w:r>
        <w:t xml:space="preserve">Figure </w:t>
      </w:r>
      <w:r w:rsidR="00D4032F">
        <w:rPr>
          <w:noProof/>
        </w:rPr>
        <w:fldChar w:fldCharType="begin"/>
      </w:r>
      <w:r w:rsidR="00D4032F">
        <w:rPr>
          <w:noProof/>
        </w:rPr>
        <w:instrText xml:space="preserve"> STYLEREF 1 \s </w:instrText>
      </w:r>
      <w:r w:rsidR="00D4032F">
        <w:rPr>
          <w:noProof/>
        </w:rPr>
        <w:fldChar w:fldCharType="separate"/>
      </w:r>
      <w:r w:rsidR="00F01FBC">
        <w:rPr>
          <w:noProof/>
        </w:rPr>
        <w:t>2</w:t>
      </w:r>
      <w:r w:rsidR="00D4032F">
        <w:rPr>
          <w:noProof/>
        </w:rPr>
        <w:fldChar w:fldCharType="end"/>
      </w:r>
      <w:r w:rsidR="00F01FBC">
        <w:noBreakHyphen/>
      </w:r>
      <w:r w:rsidR="00D4032F">
        <w:rPr>
          <w:noProof/>
        </w:rPr>
        <w:fldChar w:fldCharType="begin"/>
      </w:r>
      <w:r w:rsidR="00D4032F">
        <w:rPr>
          <w:noProof/>
        </w:rPr>
        <w:instrText xml:space="preserve"> SEQ Figure \* ARABIC \s 1 </w:instrText>
      </w:r>
      <w:r w:rsidR="00D4032F">
        <w:rPr>
          <w:noProof/>
        </w:rPr>
        <w:fldChar w:fldCharType="separate"/>
      </w:r>
      <w:r w:rsidR="00F01FBC">
        <w:rPr>
          <w:noProof/>
        </w:rPr>
        <w:t>3</w:t>
      </w:r>
      <w:r w:rsidR="00D4032F">
        <w:rPr>
          <w:noProof/>
        </w:rPr>
        <w:fldChar w:fldCharType="end"/>
      </w:r>
      <w:bookmarkEnd w:id="14"/>
      <w:r>
        <w:t xml:space="preserve">. </w:t>
      </w:r>
      <w:r w:rsidRPr="002B674F">
        <w:t xml:space="preserve">Particle </w:t>
      </w:r>
      <w:r>
        <w:t>L</w:t>
      </w:r>
      <w:r w:rsidRPr="002B674F">
        <w:t xml:space="preserve">ocation </w:t>
      </w:r>
      <w:r>
        <w:t>O</w:t>
      </w:r>
      <w:r w:rsidRPr="002B674F">
        <w:t xml:space="preserve">ver </w:t>
      </w:r>
      <w:r>
        <w:t>T</w:t>
      </w:r>
      <w:r w:rsidRPr="002B674F">
        <w:t xml:space="preserve">ime in </w:t>
      </w:r>
      <w:r>
        <w:t>T</w:t>
      </w:r>
      <w:r w:rsidRPr="002B674F">
        <w:t xml:space="preserve">est </w:t>
      </w:r>
      <w:r>
        <w:t>C</w:t>
      </w:r>
      <w:r w:rsidRPr="002B674F">
        <w:t>ase 1</w:t>
      </w:r>
      <w:bookmarkEnd w:id="15"/>
    </w:p>
    <w:p w14:paraId="064713FC" w14:textId="49662872" w:rsidR="00782EFB" w:rsidRDefault="00782EFB" w:rsidP="00782EFB">
      <w:pPr>
        <w:pStyle w:val="H2bodytext"/>
      </w:pPr>
      <w:bookmarkStart w:id="16" w:name="_Hlk522548901"/>
      <w:r w:rsidRPr="00782EFB">
        <w:t xml:space="preserve">Model inputs are </w:t>
      </w:r>
      <w:bookmarkEnd w:id="16"/>
      <w:r w:rsidRPr="00782EFB">
        <w:t xml:space="preserve">seen in </w:t>
      </w:r>
      <w:r w:rsidRPr="00782EFB">
        <w:fldChar w:fldCharType="begin"/>
      </w:r>
      <w:r w:rsidRPr="00782EFB">
        <w:instrText xml:space="preserve"> REF _Ref520184038 \h </w:instrText>
      </w:r>
      <w:r w:rsidRPr="00782EFB">
        <w:fldChar w:fldCharType="separate"/>
      </w:r>
      <w:r w:rsidRPr="00782EFB">
        <w:t>Table 2</w:t>
      </w:r>
      <w:r w:rsidRPr="00782EFB">
        <w:noBreakHyphen/>
        <w:t>1</w:t>
      </w:r>
      <w:r w:rsidRPr="00782EFB">
        <w:fldChar w:fldCharType="end"/>
      </w:r>
      <w:r w:rsidRPr="00782EFB">
        <w:t xml:space="preserve">. Constant head cell locations are seen in </w:t>
      </w:r>
      <w:r w:rsidRPr="00782EFB">
        <w:fldChar w:fldCharType="begin"/>
      </w:r>
      <w:r w:rsidRPr="00782EFB">
        <w:instrText xml:space="preserve"> REF _Ref520199035 \h </w:instrText>
      </w:r>
      <w:r w:rsidRPr="00782EFB">
        <w:fldChar w:fldCharType="separate"/>
      </w:r>
      <w:r w:rsidRPr="00782EFB">
        <w:t>Table 2</w:t>
      </w:r>
      <w:r w:rsidRPr="00782EFB">
        <w:noBreakHyphen/>
        <w:t>2</w:t>
      </w:r>
      <w:r w:rsidRPr="00782EFB">
        <w:fldChar w:fldCharType="end"/>
      </w:r>
      <w:r w:rsidRPr="00782EFB">
        <w:t>.</w:t>
      </w:r>
      <w:r>
        <w:t xml:space="preserve"> </w:t>
      </w:r>
      <w:r w:rsidRPr="00782EFB">
        <w:t xml:space="preserve">The model has a single layer and has 40 rows and 40 columns each with a length and width of 100 ft. The thickness of the model is set to a uniform 100 ft. Constant head cells were assigned in the pattern shown in </w:t>
      </w:r>
      <w:r w:rsidRPr="00782EFB">
        <w:fldChar w:fldCharType="begin"/>
      </w:r>
      <w:r w:rsidRPr="00782EFB">
        <w:instrText xml:space="preserve"> REF _Ref520126041 \h </w:instrText>
      </w:r>
      <w:r w:rsidRPr="00782EFB">
        <w:fldChar w:fldCharType="separate"/>
      </w:r>
      <w:r w:rsidRPr="00782EFB">
        <w:t>Figure 2</w:t>
      </w:r>
      <w:r w:rsidRPr="00782EFB">
        <w:noBreakHyphen/>
        <w:t>2</w:t>
      </w:r>
      <w:r w:rsidRPr="00782EFB">
        <w:fldChar w:fldCharType="end"/>
      </w:r>
      <w:r w:rsidRPr="00782EFB">
        <w:t>, and have a constant head of 100 ft. An injection</w:t>
      </w:r>
      <w:r>
        <w:t xml:space="preserve"> well</w:t>
      </w:r>
      <w:r w:rsidRPr="00782EFB">
        <w:t xml:space="preserve"> is located in the bottom left corner (row 40, column 1) and pumps at a rate of 40,000 ft</w:t>
      </w:r>
      <w:r w:rsidRPr="00782EFB">
        <w:rPr>
          <w:vertAlign w:val="superscript"/>
        </w:rPr>
        <w:t>3</w:t>
      </w:r>
      <w:r w:rsidRPr="00782EFB">
        <w:t xml:space="preserve">/day, representing a quarter of the pumping rate of the full-size model. The center of the well is located in the center of the cell. </w:t>
      </w:r>
      <w:r w:rsidR="008B3D26">
        <w:t>Starting head locations were placed in a 150-foot radius around the center of the cell in the lower left corner.</w:t>
      </w:r>
    </w:p>
    <w:p w14:paraId="758CCBAC" w14:textId="353A4210" w:rsidR="00782EFB" w:rsidRDefault="00782EFB" w:rsidP="00782EFB">
      <w:pPr>
        <w:pStyle w:val="H2bodytext"/>
      </w:pPr>
      <w:r>
        <w:t>The python script which made the MODFLOW</w:t>
      </w:r>
      <w:r w:rsidR="00F056A7">
        <w:t xml:space="preserve"> and MODPATH</w:t>
      </w:r>
      <w:r>
        <w:t xml:space="preserve"> inputs and executed the MODFLOW</w:t>
      </w:r>
      <w:r w:rsidR="00F056A7">
        <w:t xml:space="preserve"> and MODPATH</w:t>
      </w:r>
      <w:r>
        <w:t xml:space="preserve"> simulation</w:t>
      </w:r>
      <w:r w:rsidR="00F056A7">
        <w:t>s</w:t>
      </w:r>
      <w:r>
        <w:t xml:space="preserve"> is “build_pollock_88.py”. Starting particle locations were calculated in “Write_starting_locations.py”. Constant head cell locations are listed in “chb_t1.csv”. </w:t>
      </w:r>
    </w:p>
    <w:p w14:paraId="71F28C9A" w14:textId="77777777" w:rsidR="000F1148" w:rsidRDefault="000F1148" w:rsidP="000F1148">
      <w:pPr>
        <w:pStyle w:val="H2bodytext"/>
      </w:pPr>
    </w:p>
    <w:tbl>
      <w:tblPr>
        <w:tblW w:w="9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1573"/>
        <w:gridCol w:w="1665"/>
        <w:gridCol w:w="3843"/>
      </w:tblGrid>
      <w:tr w:rsidR="00E94CC5" w:rsidRPr="00F278DB" w14:paraId="1F5470EE" w14:textId="77777777" w:rsidTr="00F01FBC">
        <w:trPr>
          <w:trHeight w:val="291"/>
          <w:tblHeader/>
          <w:jc w:val="center"/>
        </w:trPr>
        <w:tc>
          <w:tcPr>
            <w:tcW w:w="9204" w:type="dxa"/>
            <w:gridSpan w:val="4"/>
            <w:tcBorders>
              <w:top w:val="nil"/>
              <w:left w:val="nil"/>
              <w:bottom w:val="single" w:sz="4" w:space="0" w:color="auto"/>
              <w:right w:val="nil"/>
            </w:tcBorders>
            <w:shd w:val="clear" w:color="auto" w:fill="auto"/>
            <w:noWrap/>
            <w:vAlign w:val="bottom"/>
          </w:tcPr>
          <w:p w14:paraId="5E63377C" w14:textId="299E90A6" w:rsidR="00E94CC5" w:rsidRPr="00F278DB" w:rsidRDefault="00E94CC5" w:rsidP="00F01FBC">
            <w:pPr>
              <w:pStyle w:val="TableNumberCaption"/>
              <w:rPr>
                <w:rFonts w:ascii="Calibri" w:hAnsi="Calibri" w:cs="Calibri"/>
                <w:color w:val="000000"/>
                <w:szCs w:val="22"/>
              </w:rPr>
            </w:pPr>
            <w:bookmarkStart w:id="17" w:name="_Ref520184038"/>
            <w:bookmarkStart w:id="18" w:name="_Toc520215893"/>
            <w:r>
              <w:lastRenderedPageBreak/>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bookmarkEnd w:id="17"/>
            <w:r>
              <w:t xml:space="preserve">. Model </w:t>
            </w:r>
            <w:r w:rsidR="004B3081">
              <w:t>Parameter Values</w:t>
            </w:r>
            <w:r>
              <w:t xml:space="preserve"> for Test Case 1</w:t>
            </w:r>
            <w:bookmarkEnd w:id="18"/>
          </w:p>
        </w:tc>
      </w:tr>
      <w:tr w:rsidR="00E94CC5" w:rsidRPr="00F278DB" w14:paraId="0D1B415E" w14:textId="77777777" w:rsidTr="00F01FBC">
        <w:trPr>
          <w:trHeight w:val="291"/>
          <w:tblHeader/>
          <w:jc w:val="center"/>
        </w:trPr>
        <w:tc>
          <w:tcPr>
            <w:tcW w:w="2123" w:type="dxa"/>
            <w:tcBorders>
              <w:top w:val="single" w:sz="4" w:space="0" w:color="auto"/>
            </w:tcBorders>
            <w:shd w:val="clear" w:color="auto" w:fill="D9D9D9" w:themeFill="background1" w:themeFillShade="D9"/>
            <w:noWrap/>
            <w:vAlign w:val="bottom"/>
          </w:tcPr>
          <w:p w14:paraId="057D2EFC" w14:textId="77777777" w:rsidR="00E94CC5" w:rsidRPr="00F278DB" w:rsidRDefault="00E94CC5" w:rsidP="00F01FBC">
            <w:pPr>
              <w:pStyle w:val="TableHead"/>
            </w:pPr>
            <w:r w:rsidRPr="00F278DB">
              <w:t>Variable name</w:t>
            </w:r>
          </w:p>
        </w:tc>
        <w:tc>
          <w:tcPr>
            <w:tcW w:w="1573" w:type="dxa"/>
            <w:tcBorders>
              <w:top w:val="single" w:sz="4" w:space="0" w:color="auto"/>
            </w:tcBorders>
            <w:shd w:val="clear" w:color="auto" w:fill="D9D9D9" w:themeFill="background1" w:themeFillShade="D9"/>
            <w:noWrap/>
            <w:vAlign w:val="bottom"/>
          </w:tcPr>
          <w:p w14:paraId="2E8028D4" w14:textId="77777777" w:rsidR="00E94CC5" w:rsidRPr="00F278DB" w:rsidRDefault="00E94CC5" w:rsidP="00F01FBC">
            <w:pPr>
              <w:pStyle w:val="TableHead"/>
            </w:pPr>
            <w:r w:rsidRPr="00F278DB">
              <w:t xml:space="preserve">Variable </w:t>
            </w:r>
            <w:r>
              <w:t>V</w:t>
            </w:r>
            <w:r w:rsidRPr="00F278DB">
              <w:t>alue</w:t>
            </w:r>
          </w:p>
        </w:tc>
        <w:tc>
          <w:tcPr>
            <w:tcW w:w="1665" w:type="dxa"/>
            <w:tcBorders>
              <w:top w:val="single" w:sz="4" w:space="0" w:color="auto"/>
            </w:tcBorders>
            <w:shd w:val="clear" w:color="auto" w:fill="D9D9D9" w:themeFill="background1" w:themeFillShade="D9"/>
            <w:noWrap/>
            <w:vAlign w:val="bottom"/>
          </w:tcPr>
          <w:p w14:paraId="05AB1819" w14:textId="77777777" w:rsidR="00E94CC5" w:rsidRPr="00F278DB" w:rsidRDefault="00E94CC5" w:rsidP="00F01FBC">
            <w:pPr>
              <w:pStyle w:val="TableHead"/>
            </w:pPr>
            <w:r w:rsidRPr="00F278DB">
              <w:t>Units</w:t>
            </w:r>
          </w:p>
        </w:tc>
        <w:tc>
          <w:tcPr>
            <w:tcW w:w="3843" w:type="dxa"/>
            <w:tcBorders>
              <w:top w:val="single" w:sz="4" w:space="0" w:color="auto"/>
            </w:tcBorders>
            <w:shd w:val="clear" w:color="auto" w:fill="D9D9D9" w:themeFill="background1" w:themeFillShade="D9"/>
            <w:noWrap/>
            <w:vAlign w:val="bottom"/>
          </w:tcPr>
          <w:p w14:paraId="0FC82AB6" w14:textId="77777777" w:rsidR="00E94CC5" w:rsidRPr="00F278DB" w:rsidRDefault="00E94CC5" w:rsidP="00F01FBC">
            <w:pPr>
              <w:pStyle w:val="TableHead"/>
            </w:pPr>
            <w:r w:rsidRPr="00F278DB">
              <w:t>Source</w:t>
            </w:r>
          </w:p>
        </w:tc>
      </w:tr>
      <w:tr w:rsidR="00E94CC5" w:rsidRPr="00F278DB" w14:paraId="5F67E085" w14:textId="77777777" w:rsidTr="00F01FBC">
        <w:trPr>
          <w:trHeight w:val="291"/>
          <w:jc w:val="center"/>
        </w:trPr>
        <w:tc>
          <w:tcPr>
            <w:tcW w:w="2123" w:type="dxa"/>
            <w:shd w:val="clear" w:color="auto" w:fill="auto"/>
            <w:noWrap/>
            <w:vAlign w:val="bottom"/>
            <w:hideMark/>
          </w:tcPr>
          <w:p w14:paraId="69A75DEE" w14:textId="77777777" w:rsidR="00E94CC5" w:rsidRPr="00F278DB" w:rsidRDefault="00E94CC5" w:rsidP="00F01FBC">
            <w:pPr>
              <w:pStyle w:val="TableBody"/>
            </w:pPr>
            <w:r w:rsidRPr="00F278DB">
              <w:t>Number of rows</w:t>
            </w:r>
          </w:p>
        </w:tc>
        <w:tc>
          <w:tcPr>
            <w:tcW w:w="1573" w:type="dxa"/>
            <w:shd w:val="clear" w:color="auto" w:fill="auto"/>
            <w:noWrap/>
            <w:vAlign w:val="bottom"/>
            <w:hideMark/>
          </w:tcPr>
          <w:p w14:paraId="54CB68CC" w14:textId="77777777" w:rsidR="00E94CC5" w:rsidRPr="00F278DB" w:rsidRDefault="00E94CC5" w:rsidP="00F01FBC">
            <w:pPr>
              <w:pStyle w:val="TableBody"/>
              <w:jc w:val="center"/>
            </w:pPr>
            <w:r w:rsidRPr="00F278DB">
              <w:t>40</w:t>
            </w:r>
          </w:p>
        </w:tc>
        <w:tc>
          <w:tcPr>
            <w:tcW w:w="1665" w:type="dxa"/>
            <w:shd w:val="clear" w:color="auto" w:fill="auto"/>
            <w:noWrap/>
            <w:vAlign w:val="bottom"/>
            <w:hideMark/>
          </w:tcPr>
          <w:p w14:paraId="1A80452F" w14:textId="77777777" w:rsidR="00E94CC5" w:rsidRPr="00F278DB" w:rsidRDefault="00E94CC5" w:rsidP="00F01FBC">
            <w:pPr>
              <w:pStyle w:val="TableBody"/>
              <w:jc w:val="center"/>
            </w:pPr>
            <w:r w:rsidRPr="00F278DB">
              <w:t>N/A</w:t>
            </w:r>
          </w:p>
        </w:tc>
        <w:tc>
          <w:tcPr>
            <w:tcW w:w="3843" w:type="dxa"/>
            <w:shd w:val="clear" w:color="auto" w:fill="auto"/>
            <w:noWrap/>
            <w:vAlign w:val="bottom"/>
            <w:hideMark/>
          </w:tcPr>
          <w:p w14:paraId="45EAE534" w14:textId="77777777" w:rsidR="00E94CC5" w:rsidRPr="00F278DB" w:rsidRDefault="00E94CC5" w:rsidP="00F01FBC">
            <w:pPr>
              <w:pStyle w:val="TableBody"/>
            </w:pPr>
            <w:r w:rsidRPr="00F278DB">
              <w:t>Pollock, 1988, Figure 6</w:t>
            </w:r>
          </w:p>
        </w:tc>
      </w:tr>
      <w:tr w:rsidR="00E94CC5" w:rsidRPr="00F278DB" w14:paraId="6B11C9A7" w14:textId="77777777" w:rsidTr="00F01FBC">
        <w:trPr>
          <w:trHeight w:val="291"/>
          <w:jc w:val="center"/>
        </w:trPr>
        <w:tc>
          <w:tcPr>
            <w:tcW w:w="2123" w:type="dxa"/>
            <w:shd w:val="clear" w:color="auto" w:fill="auto"/>
            <w:noWrap/>
            <w:vAlign w:val="bottom"/>
            <w:hideMark/>
          </w:tcPr>
          <w:p w14:paraId="2F1D25FC" w14:textId="77777777" w:rsidR="00E94CC5" w:rsidRPr="00F278DB" w:rsidRDefault="00E94CC5" w:rsidP="00F01FBC">
            <w:pPr>
              <w:pStyle w:val="TableBody"/>
            </w:pPr>
            <w:r w:rsidRPr="00F278DB">
              <w:t>Number of columns</w:t>
            </w:r>
          </w:p>
        </w:tc>
        <w:tc>
          <w:tcPr>
            <w:tcW w:w="1573" w:type="dxa"/>
            <w:shd w:val="clear" w:color="auto" w:fill="auto"/>
            <w:noWrap/>
            <w:vAlign w:val="bottom"/>
            <w:hideMark/>
          </w:tcPr>
          <w:p w14:paraId="0C46FBF5" w14:textId="77777777" w:rsidR="00E94CC5" w:rsidRPr="00F278DB" w:rsidRDefault="00E94CC5" w:rsidP="00F01FBC">
            <w:pPr>
              <w:pStyle w:val="TableBody"/>
              <w:jc w:val="center"/>
            </w:pPr>
            <w:r w:rsidRPr="00F278DB">
              <w:t>40</w:t>
            </w:r>
          </w:p>
        </w:tc>
        <w:tc>
          <w:tcPr>
            <w:tcW w:w="1665" w:type="dxa"/>
            <w:shd w:val="clear" w:color="auto" w:fill="auto"/>
            <w:noWrap/>
            <w:vAlign w:val="bottom"/>
            <w:hideMark/>
          </w:tcPr>
          <w:p w14:paraId="1A3C9D74" w14:textId="77777777" w:rsidR="00E94CC5" w:rsidRPr="00F278DB" w:rsidRDefault="00E94CC5" w:rsidP="00F01FBC">
            <w:pPr>
              <w:pStyle w:val="TableBody"/>
              <w:jc w:val="center"/>
            </w:pPr>
            <w:r w:rsidRPr="00F278DB">
              <w:t>N/A</w:t>
            </w:r>
          </w:p>
        </w:tc>
        <w:tc>
          <w:tcPr>
            <w:tcW w:w="3843" w:type="dxa"/>
            <w:shd w:val="clear" w:color="auto" w:fill="auto"/>
            <w:noWrap/>
            <w:vAlign w:val="bottom"/>
            <w:hideMark/>
          </w:tcPr>
          <w:p w14:paraId="22712E81" w14:textId="77777777" w:rsidR="00E94CC5" w:rsidRPr="00F278DB" w:rsidRDefault="00E94CC5" w:rsidP="00F01FBC">
            <w:pPr>
              <w:pStyle w:val="TableBody"/>
            </w:pPr>
            <w:r w:rsidRPr="00F278DB">
              <w:t>Pollock, 1988, Figure 6</w:t>
            </w:r>
          </w:p>
        </w:tc>
      </w:tr>
      <w:tr w:rsidR="00E94CC5" w:rsidRPr="00F278DB" w14:paraId="3250D6A0" w14:textId="77777777" w:rsidTr="00F01FBC">
        <w:trPr>
          <w:trHeight w:val="291"/>
          <w:jc w:val="center"/>
        </w:trPr>
        <w:tc>
          <w:tcPr>
            <w:tcW w:w="2123" w:type="dxa"/>
            <w:shd w:val="clear" w:color="auto" w:fill="auto"/>
            <w:noWrap/>
            <w:vAlign w:val="bottom"/>
            <w:hideMark/>
          </w:tcPr>
          <w:p w14:paraId="2471EDC0" w14:textId="77777777" w:rsidR="00E94CC5" w:rsidRPr="00F278DB" w:rsidRDefault="00E94CC5" w:rsidP="00F01FBC">
            <w:pPr>
              <w:pStyle w:val="TableBody"/>
            </w:pPr>
            <w:r w:rsidRPr="00F278DB">
              <w:t>Height of rows</w:t>
            </w:r>
          </w:p>
        </w:tc>
        <w:tc>
          <w:tcPr>
            <w:tcW w:w="1573" w:type="dxa"/>
            <w:shd w:val="clear" w:color="auto" w:fill="auto"/>
            <w:noWrap/>
            <w:vAlign w:val="bottom"/>
            <w:hideMark/>
          </w:tcPr>
          <w:p w14:paraId="41BAAFBF" w14:textId="77777777" w:rsidR="00E94CC5" w:rsidRPr="00F278DB" w:rsidRDefault="00E94CC5" w:rsidP="00F01FBC">
            <w:pPr>
              <w:pStyle w:val="TableBody"/>
              <w:jc w:val="center"/>
            </w:pPr>
            <w:r w:rsidRPr="00F278DB">
              <w:t>100</w:t>
            </w:r>
          </w:p>
        </w:tc>
        <w:tc>
          <w:tcPr>
            <w:tcW w:w="1665" w:type="dxa"/>
            <w:shd w:val="clear" w:color="auto" w:fill="auto"/>
            <w:noWrap/>
            <w:vAlign w:val="bottom"/>
            <w:hideMark/>
          </w:tcPr>
          <w:p w14:paraId="31F519CA" w14:textId="77777777" w:rsidR="00E94CC5" w:rsidRPr="00F278DB" w:rsidRDefault="00E94CC5" w:rsidP="00F01FBC">
            <w:pPr>
              <w:pStyle w:val="TableBody"/>
              <w:jc w:val="center"/>
            </w:pPr>
            <w:r>
              <w:t>ft</w:t>
            </w:r>
          </w:p>
        </w:tc>
        <w:tc>
          <w:tcPr>
            <w:tcW w:w="3843" w:type="dxa"/>
            <w:shd w:val="clear" w:color="auto" w:fill="auto"/>
            <w:noWrap/>
            <w:vAlign w:val="bottom"/>
            <w:hideMark/>
          </w:tcPr>
          <w:p w14:paraId="22EB2756" w14:textId="77777777" w:rsidR="00E94CC5" w:rsidRPr="00F278DB" w:rsidRDefault="00E94CC5" w:rsidP="00F01FBC">
            <w:pPr>
              <w:pStyle w:val="TableBody"/>
            </w:pPr>
            <w:r w:rsidRPr="00F278DB">
              <w:t xml:space="preserve">Pollock, 1988, number of rows divided by radial distance of 4,000 </w:t>
            </w:r>
            <w:r>
              <w:t>ft</w:t>
            </w:r>
          </w:p>
        </w:tc>
      </w:tr>
      <w:tr w:rsidR="00E94CC5" w:rsidRPr="00F278DB" w14:paraId="0AE55740" w14:textId="77777777" w:rsidTr="00F01FBC">
        <w:trPr>
          <w:trHeight w:val="291"/>
          <w:jc w:val="center"/>
        </w:trPr>
        <w:tc>
          <w:tcPr>
            <w:tcW w:w="2123" w:type="dxa"/>
            <w:shd w:val="clear" w:color="auto" w:fill="auto"/>
            <w:noWrap/>
            <w:vAlign w:val="bottom"/>
            <w:hideMark/>
          </w:tcPr>
          <w:p w14:paraId="62467D6F" w14:textId="77777777" w:rsidR="00E94CC5" w:rsidRPr="00F278DB" w:rsidRDefault="00E94CC5" w:rsidP="00F01FBC">
            <w:pPr>
              <w:pStyle w:val="TableBody"/>
            </w:pPr>
            <w:r w:rsidRPr="00F278DB">
              <w:t>Width of columns</w:t>
            </w:r>
          </w:p>
        </w:tc>
        <w:tc>
          <w:tcPr>
            <w:tcW w:w="1573" w:type="dxa"/>
            <w:shd w:val="clear" w:color="auto" w:fill="auto"/>
            <w:noWrap/>
            <w:vAlign w:val="bottom"/>
            <w:hideMark/>
          </w:tcPr>
          <w:p w14:paraId="4546E5D6" w14:textId="77777777" w:rsidR="00E94CC5" w:rsidRPr="00F278DB" w:rsidRDefault="00E94CC5" w:rsidP="00F01FBC">
            <w:pPr>
              <w:pStyle w:val="TableBody"/>
              <w:jc w:val="center"/>
            </w:pPr>
            <w:r w:rsidRPr="00F278DB">
              <w:t>100</w:t>
            </w:r>
          </w:p>
        </w:tc>
        <w:tc>
          <w:tcPr>
            <w:tcW w:w="1665" w:type="dxa"/>
            <w:shd w:val="clear" w:color="auto" w:fill="auto"/>
            <w:noWrap/>
            <w:vAlign w:val="bottom"/>
            <w:hideMark/>
          </w:tcPr>
          <w:p w14:paraId="4BEC2CC4" w14:textId="77777777" w:rsidR="00E94CC5" w:rsidRPr="00F278DB" w:rsidRDefault="00E94CC5" w:rsidP="00F01FBC">
            <w:pPr>
              <w:pStyle w:val="TableBody"/>
              <w:jc w:val="center"/>
            </w:pPr>
            <w:r>
              <w:t>ft</w:t>
            </w:r>
          </w:p>
        </w:tc>
        <w:tc>
          <w:tcPr>
            <w:tcW w:w="3843" w:type="dxa"/>
            <w:shd w:val="clear" w:color="auto" w:fill="auto"/>
            <w:noWrap/>
            <w:vAlign w:val="bottom"/>
            <w:hideMark/>
          </w:tcPr>
          <w:p w14:paraId="3E7E35DE" w14:textId="77777777" w:rsidR="00E94CC5" w:rsidRPr="00F278DB" w:rsidRDefault="00E94CC5" w:rsidP="00F01FBC">
            <w:pPr>
              <w:pStyle w:val="TableBody"/>
            </w:pPr>
            <w:r w:rsidRPr="00F278DB">
              <w:t xml:space="preserve">Pollock, 1988, number of rows divided by radial distance of 4,000 </w:t>
            </w:r>
            <w:r>
              <w:t>ft</w:t>
            </w:r>
          </w:p>
        </w:tc>
      </w:tr>
      <w:tr w:rsidR="00E94CC5" w:rsidRPr="00F278DB" w14:paraId="6DDA6804" w14:textId="77777777" w:rsidTr="00F01FBC">
        <w:trPr>
          <w:trHeight w:val="291"/>
          <w:jc w:val="center"/>
        </w:trPr>
        <w:tc>
          <w:tcPr>
            <w:tcW w:w="2123" w:type="dxa"/>
            <w:shd w:val="clear" w:color="auto" w:fill="auto"/>
            <w:noWrap/>
            <w:vAlign w:val="bottom"/>
            <w:hideMark/>
          </w:tcPr>
          <w:p w14:paraId="1B50DE4F" w14:textId="77777777" w:rsidR="00E94CC5" w:rsidRPr="00F278DB" w:rsidRDefault="00E94CC5" w:rsidP="00F01FBC">
            <w:pPr>
              <w:pStyle w:val="TableBody"/>
            </w:pPr>
            <w:r w:rsidRPr="00F278DB">
              <w:t>Number of layers</w:t>
            </w:r>
          </w:p>
        </w:tc>
        <w:tc>
          <w:tcPr>
            <w:tcW w:w="1573" w:type="dxa"/>
            <w:shd w:val="clear" w:color="auto" w:fill="auto"/>
            <w:noWrap/>
            <w:vAlign w:val="bottom"/>
            <w:hideMark/>
          </w:tcPr>
          <w:p w14:paraId="086D4F0D" w14:textId="77777777" w:rsidR="00E94CC5" w:rsidRPr="00F278DB" w:rsidRDefault="00E94CC5" w:rsidP="00F01FBC">
            <w:pPr>
              <w:pStyle w:val="TableBody"/>
              <w:jc w:val="center"/>
            </w:pPr>
            <w:r w:rsidRPr="00F278DB">
              <w:t>1</w:t>
            </w:r>
          </w:p>
        </w:tc>
        <w:tc>
          <w:tcPr>
            <w:tcW w:w="1665" w:type="dxa"/>
            <w:shd w:val="clear" w:color="auto" w:fill="auto"/>
            <w:noWrap/>
            <w:vAlign w:val="bottom"/>
            <w:hideMark/>
          </w:tcPr>
          <w:p w14:paraId="647E4ABC" w14:textId="77777777" w:rsidR="00E94CC5" w:rsidRPr="00F278DB" w:rsidRDefault="00E94CC5" w:rsidP="00F01FBC">
            <w:pPr>
              <w:pStyle w:val="TableBody"/>
              <w:jc w:val="center"/>
            </w:pPr>
            <w:r w:rsidRPr="00F278DB">
              <w:t>N/A</w:t>
            </w:r>
          </w:p>
        </w:tc>
        <w:tc>
          <w:tcPr>
            <w:tcW w:w="3843" w:type="dxa"/>
            <w:shd w:val="clear" w:color="auto" w:fill="auto"/>
            <w:noWrap/>
            <w:vAlign w:val="bottom"/>
            <w:hideMark/>
          </w:tcPr>
          <w:p w14:paraId="5C060428" w14:textId="77777777" w:rsidR="00E94CC5" w:rsidRPr="00F278DB" w:rsidRDefault="00E94CC5" w:rsidP="00F01FBC">
            <w:pPr>
              <w:pStyle w:val="TableBody"/>
            </w:pPr>
            <w:r w:rsidRPr="00F278DB">
              <w:t>Pollock, 1988</w:t>
            </w:r>
          </w:p>
        </w:tc>
      </w:tr>
      <w:tr w:rsidR="00E94CC5" w:rsidRPr="00F278DB" w14:paraId="35159786" w14:textId="77777777" w:rsidTr="00F01FBC">
        <w:trPr>
          <w:trHeight w:val="291"/>
          <w:jc w:val="center"/>
        </w:trPr>
        <w:tc>
          <w:tcPr>
            <w:tcW w:w="2123" w:type="dxa"/>
            <w:shd w:val="clear" w:color="auto" w:fill="auto"/>
            <w:noWrap/>
            <w:vAlign w:val="bottom"/>
            <w:hideMark/>
          </w:tcPr>
          <w:p w14:paraId="6ED55A76" w14:textId="77777777" w:rsidR="00E94CC5" w:rsidRPr="00F278DB" w:rsidRDefault="00E94CC5" w:rsidP="00F01FBC">
            <w:pPr>
              <w:pStyle w:val="TableBody"/>
            </w:pPr>
            <w:r w:rsidRPr="00F278DB">
              <w:t>Thickness of layer</w:t>
            </w:r>
          </w:p>
        </w:tc>
        <w:tc>
          <w:tcPr>
            <w:tcW w:w="1573" w:type="dxa"/>
            <w:shd w:val="clear" w:color="auto" w:fill="auto"/>
            <w:noWrap/>
            <w:vAlign w:val="bottom"/>
            <w:hideMark/>
          </w:tcPr>
          <w:p w14:paraId="09FC4832" w14:textId="77777777" w:rsidR="00E94CC5" w:rsidRPr="00F278DB" w:rsidRDefault="00E94CC5" w:rsidP="00F01FBC">
            <w:pPr>
              <w:pStyle w:val="TableBody"/>
              <w:jc w:val="center"/>
            </w:pPr>
            <w:r w:rsidRPr="00F278DB">
              <w:t>100</w:t>
            </w:r>
          </w:p>
        </w:tc>
        <w:tc>
          <w:tcPr>
            <w:tcW w:w="1665" w:type="dxa"/>
            <w:shd w:val="clear" w:color="auto" w:fill="auto"/>
            <w:noWrap/>
            <w:vAlign w:val="bottom"/>
            <w:hideMark/>
          </w:tcPr>
          <w:p w14:paraId="2E6A6C39" w14:textId="77777777" w:rsidR="00E94CC5" w:rsidRPr="00F278DB" w:rsidRDefault="00E94CC5" w:rsidP="00F01FBC">
            <w:pPr>
              <w:pStyle w:val="TableBody"/>
              <w:jc w:val="center"/>
            </w:pPr>
            <w:r>
              <w:t>ft</w:t>
            </w:r>
          </w:p>
        </w:tc>
        <w:tc>
          <w:tcPr>
            <w:tcW w:w="3843" w:type="dxa"/>
            <w:shd w:val="clear" w:color="auto" w:fill="auto"/>
            <w:noWrap/>
            <w:vAlign w:val="bottom"/>
            <w:hideMark/>
          </w:tcPr>
          <w:p w14:paraId="43C69A2D" w14:textId="77777777" w:rsidR="00E94CC5" w:rsidRPr="00F278DB" w:rsidRDefault="00E94CC5" w:rsidP="00F01FBC">
            <w:pPr>
              <w:pStyle w:val="TableBody"/>
            </w:pPr>
            <w:r w:rsidRPr="00F278DB">
              <w:t>Pollock, 1988</w:t>
            </w:r>
          </w:p>
        </w:tc>
      </w:tr>
      <w:tr w:rsidR="00E94CC5" w:rsidRPr="00F278DB" w14:paraId="4782A8CA" w14:textId="77777777" w:rsidTr="00F01FBC">
        <w:trPr>
          <w:trHeight w:val="291"/>
          <w:jc w:val="center"/>
        </w:trPr>
        <w:tc>
          <w:tcPr>
            <w:tcW w:w="2123" w:type="dxa"/>
            <w:shd w:val="clear" w:color="auto" w:fill="auto"/>
            <w:noWrap/>
            <w:vAlign w:val="bottom"/>
            <w:hideMark/>
          </w:tcPr>
          <w:p w14:paraId="1862CE18" w14:textId="77777777" w:rsidR="00E94CC5" w:rsidRPr="00F278DB" w:rsidRDefault="00E94CC5" w:rsidP="00F01FBC">
            <w:pPr>
              <w:pStyle w:val="TableBody"/>
            </w:pPr>
            <w:r w:rsidRPr="00F278DB">
              <w:t>Injection rate</w:t>
            </w:r>
          </w:p>
        </w:tc>
        <w:tc>
          <w:tcPr>
            <w:tcW w:w="1573" w:type="dxa"/>
            <w:shd w:val="clear" w:color="auto" w:fill="auto"/>
            <w:noWrap/>
            <w:vAlign w:val="bottom"/>
            <w:hideMark/>
          </w:tcPr>
          <w:p w14:paraId="21891D1A" w14:textId="77777777" w:rsidR="00E94CC5" w:rsidRPr="00F278DB" w:rsidRDefault="00E94CC5" w:rsidP="00F01FBC">
            <w:pPr>
              <w:pStyle w:val="TableBody"/>
              <w:jc w:val="center"/>
            </w:pPr>
            <w:r w:rsidRPr="00F278DB">
              <w:t>40</w:t>
            </w:r>
            <w:r>
              <w:t>,</w:t>
            </w:r>
            <w:r w:rsidRPr="00F278DB">
              <w:t>000</w:t>
            </w:r>
          </w:p>
        </w:tc>
        <w:tc>
          <w:tcPr>
            <w:tcW w:w="1665" w:type="dxa"/>
            <w:shd w:val="clear" w:color="auto" w:fill="auto"/>
            <w:noWrap/>
            <w:vAlign w:val="bottom"/>
            <w:hideMark/>
          </w:tcPr>
          <w:p w14:paraId="242E32A2" w14:textId="77777777" w:rsidR="00E94CC5" w:rsidRPr="00F278DB" w:rsidRDefault="00E94CC5" w:rsidP="00F01FBC">
            <w:pPr>
              <w:pStyle w:val="TableBody"/>
              <w:jc w:val="center"/>
            </w:pPr>
            <w:r>
              <w:t>ft</w:t>
            </w:r>
            <w:r>
              <w:rPr>
                <w:vertAlign w:val="superscript"/>
              </w:rPr>
              <w:t>3</w:t>
            </w:r>
            <w:r>
              <w:t>/day</w:t>
            </w:r>
          </w:p>
        </w:tc>
        <w:tc>
          <w:tcPr>
            <w:tcW w:w="3843" w:type="dxa"/>
            <w:shd w:val="clear" w:color="auto" w:fill="auto"/>
            <w:noWrap/>
            <w:vAlign w:val="bottom"/>
            <w:hideMark/>
          </w:tcPr>
          <w:p w14:paraId="1B592F92" w14:textId="77777777" w:rsidR="00E94CC5" w:rsidRPr="00F278DB" w:rsidRDefault="00E94CC5" w:rsidP="00F01FBC">
            <w:pPr>
              <w:pStyle w:val="TableBody"/>
            </w:pPr>
            <w:r w:rsidRPr="00F278DB">
              <w:t>Pollock, 1988</w:t>
            </w:r>
          </w:p>
        </w:tc>
      </w:tr>
      <w:tr w:rsidR="00E94CC5" w:rsidRPr="00F278DB" w14:paraId="0F653F67" w14:textId="77777777" w:rsidTr="00F01FBC">
        <w:trPr>
          <w:trHeight w:val="291"/>
          <w:jc w:val="center"/>
        </w:trPr>
        <w:tc>
          <w:tcPr>
            <w:tcW w:w="2123" w:type="dxa"/>
            <w:shd w:val="clear" w:color="auto" w:fill="auto"/>
            <w:noWrap/>
            <w:vAlign w:val="bottom"/>
            <w:hideMark/>
          </w:tcPr>
          <w:p w14:paraId="7A92226C" w14:textId="4736BF12" w:rsidR="00E94CC5" w:rsidRPr="00F278DB" w:rsidRDefault="00E94CC5" w:rsidP="00F01FBC">
            <w:pPr>
              <w:pStyle w:val="TableBody"/>
            </w:pPr>
            <w:r w:rsidRPr="00F278DB">
              <w:t>Hydraulic conductivity</w:t>
            </w:r>
            <w:r w:rsidR="00E33B1F">
              <w:t xml:space="preserve"> (</w:t>
            </w:r>
            <w:proofErr w:type="spellStart"/>
            <w:r w:rsidR="00E33B1F">
              <w:t>hk</w:t>
            </w:r>
            <w:proofErr w:type="spellEnd"/>
            <w:r w:rsidR="00E33B1F">
              <w:t xml:space="preserve"> and </w:t>
            </w:r>
            <w:proofErr w:type="spellStart"/>
            <w:r w:rsidR="00E33B1F">
              <w:t>vka</w:t>
            </w:r>
            <w:proofErr w:type="spellEnd"/>
            <w:r w:rsidR="00E33B1F">
              <w:t>)</w:t>
            </w:r>
          </w:p>
        </w:tc>
        <w:tc>
          <w:tcPr>
            <w:tcW w:w="1573" w:type="dxa"/>
            <w:shd w:val="clear" w:color="auto" w:fill="auto"/>
            <w:noWrap/>
            <w:vAlign w:val="bottom"/>
            <w:hideMark/>
          </w:tcPr>
          <w:p w14:paraId="533F8FA8" w14:textId="77777777" w:rsidR="00E94CC5" w:rsidRPr="00F278DB" w:rsidRDefault="00E94CC5" w:rsidP="00F01FBC">
            <w:pPr>
              <w:pStyle w:val="TableBody"/>
              <w:jc w:val="center"/>
            </w:pPr>
            <w:r w:rsidRPr="00F278DB">
              <w:t>10</w:t>
            </w:r>
          </w:p>
        </w:tc>
        <w:tc>
          <w:tcPr>
            <w:tcW w:w="1665" w:type="dxa"/>
            <w:shd w:val="clear" w:color="auto" w:fill="auto"/>
            <w:noWrap/>
            <w:vAlign w:val="bottom"/>
            <w:hideMark/>
          </w:tcPr>
          <w:p w14:paraId="4876F4C6" w14:textId="77777777" w:rsidR="00E94CC5" w:rsidRPr="00F278DB" w:rsidRDefault="00E94CC5" w:rsidP="00F01FBC">
            <w:pPr>
              <w:pStyle w:val="TableBody"/>
              <w:jc w:val="center"/>
            </w:pPr>
            <w:r>
              <w:t>ft/day</w:t>
            </w:r>
          </w:p>
        </w:tc>
        <w:tc>
          <w:tcPr>
            <w:tcW w:w="3843" w:type="dxa"/>
            <w:shd w:val="clear" w:color="auto" w:fill="auto"/>
            <w:noWrap/>
            <w:vAlign w:val="bottom"/>
            <w:hideMark/>
          </w:tcPr>
          <w:p w14:paraId="16993A7B" w14:textId="7B4E5B55" w:rsidR="00E94CC5" w:rsidRPr="00F278DB" w:rsidRDefault="00E94CC5" w:rsidP="00F01FBC">
            <w:pPr>
              <w:pStyle w:val="TableBody"/>
            </w:pPr>
            <w:r w:rsidRPr="00F278DB">
              <w:t>Pollock, 1988</w:t>
            </w:r>
            <w:r w:rsidR="0099278E">
              <w:t xml:space="preserve"> for </w:t>
            </w:r>
            <w:proofErr w:type="spellStart"/>
            <w:r w:rsidR="0099278E">
              <w:t>hk</w:t>
            </w:r>
            <w:proofErr w:type="spellEnd"/>
            <w:r w:rsidR="0099278E">
              <w:t xml:space="preserve">, </w:t>
            </w:r>
            <w:proofErr w:type="spellStart"/>
            <w:r w:rsidR="0099278E">
              <w:t>vka</w:t>
            </w:r>
            <w:proofErr w:type="spellEnd"/>
            <w:r w:rsidR="0099278E">
              <w:t xml:space="preserve"> assumed</w:t>
            </w:r>
          </w:p>
        </w:tc>
      </w:tr>
      <w:tr w:rsidR="00E94CC5" w:rsidRPr="00F278DB" w14:paraId="392A4EAB" w14:textId="77777777" w:rsidTr="00F01FBC">
        <w:trPr>
          <w:trHeight w:val="291"/>
          <w:jc w:val="center"/>
        </w:trPr>
        <w:tc>
          <w:tcPr>
            <w:tcW w:w="2123" w:type="dxa"/>
            <w:shd w:val="clear" w:color="auto" w:fill="auto"/>
            <w:noWrap/>
            <w:vAlign w:val="bottom"/>
            <w:hideMark/>
          </w:tcPr>
          <w:p w14:paraId="3A3E072B" w14:textId="77777777" w:rsidR="00E94CC5" w:rsidRPr="00F278DB" w:rsidRDefault="00E94CC5" w:rsidP="00F01FBC">
            <w:pPr>
              <w:pStyle w:val="TableBody"/>
            </w:pPr>
            <w:r w:rsidRPr="00F278DB">
              <w:t>Porosity</w:t>
            </w:r>
          </w:p>
        </w:tc>
        <w:tc>
          <w:tcPr>
            <w:tcW w:w="1573" w:type="dxa"/>
            <w:shd w:val="clear" w:color="auto" w:fill="auto"/>
            <w:noWrap/>
            <w:vAlign w:val="bottom"/>
            <w:hideMark/>
          </w:tcPr>
          <w:p w14:paraId="78A5D1A9" w14:textId="77777777" w:rsidR="00E94CC5" w:rsidRPr="00F278DB" w:rsidRDefault="00E94CC5" w:rsidP="00F01FBC">
            <w:pPr>
              <w:pStyle w:val="TableBody"/>
              <w:jc w:val="center"/>
            </w:pPr>
            <w:r w:rsidRPr="00F278DB">
              <w:t>0.3</w:t>
            </w:r>
          </w:p>
        </w:tc>
        <w:tc>
          <w:tcPr>
            <w:tcW w:w="1665" w:type="dxa"/>
            <w:shd w:val="clear" w:color="auto" w:fill="auto"/>
            <w:noWrap/>
            <w:vAlign w:val="bottom"/>
            <w:hideMark/>
          </w:tcPr>
          <w:p w14:paraId="0C6946D2" w14:textId="77777777" w:rsidR="00E94CC5" w:rsidRPr="00F278DB" w:rsidRDefault="00E94CC5" w:rsidP="00F01FBC">
            <w:pPr>
              <w:pStyle w:val="TableBody"/>
              <w:jc w:val="center"/>
            </w:pPr>
            <w:r w:rsidRPr="00F278DB">
              <w:t>N/A</w:t>
            </w:r>
          </w:p>
        </w:tc>
        <w:tc>
          <w:tcPr>
            <w:tcW w:w="3843" w:type="dxa"/>
            <w:shd w:val="clear" w:color="auto" w:fill="auto"/>
            <w:noWrap/>
            <w:vAlign w:val="bottom"/>
            <w:hideMark/>
          </w:tcPr>
          <w:p w14:paraId="3DCE94AC" w14:textId="77777777" w:rsidR="00E94CC5" w:rsidRPr="00F278DB" w:rsidRDefault="00E94CC5" w:rsidP="00F01FBC">
            <w:pPr>
              <w:pStyle w:val="TableBody"/>
            </w:pPr>
            <w:r w:rsidRPr="00F278DB">
              <w:t>Pollock, 1988</w:t>
            </w:r>
          </w:p>
        </w:tc>
      </w:tr>
      <w:tr w:rsidR="00E94CC5" w:rsidRPr="00F278DB" w14:paraId="69EBCC76" w14:textId="77777777" w:rsidTr="00F01FBC">
        <w:trPr>
          <w:trHeight w:val="291"/>
          <w:jc w:val="center"/>
        </w:trPr>
        <w:tc>
          <w:tcPr>
            <w:tcW w:w="2123" w:type="dxa"/>
            <w:shd w:val="clear" w:color="auto" w:fill="auto"/>
            <w:noWrap/>
            <w:vAlign w:val="bottom"/>
            <w:hideMark/>
          </w:tcPr>
          <w:p w14:paraId="7175A179" w14:textId="77777777" w:rsidR="00E94CC5" w:rsidRPr="00F278DB" w:rsidRDefault="00E94CC5" w:rsidP="00F01FBC">
            <w:pPr>
              <w:pStyle w:val="TableBody"/>
            </w:pPr>
            <w:r w:rsidRPr="00F278DB">
              <w:t>Constant head</w:t>
            </w:r>
          </w:p>
        </w:tc>
        <w:tc>
          <w:tcPr>
            <w:tcW w:w="1573" w:type="dxa"/>
            <w:shd w:val="clear" w:color="auto" w:fill="auto"/>
            <w:noWrap/>
            <w:vAlign w:val="bottom"/>
            <w:hideMark/>
          </w:tcPr>
          <w:p w14:paraId="48C088AE" w14:textId="77777777" w:rsidR="00E94CC5" w:rsidRPr="00F278DB" w:rsidRDefault="00E94CC5" w:rsidP="00F01FBC">
            <w:pPr>
              <w:pStyle w:val="TableBody"/>
              <w:jc w:val="center"/>
            </w:pPr>
            <w:r w:rsidRPr="00F278DB">
              <w:t>100</w:t>
            </w:r>
          </w:p>
        </w:tc>
        <w:tc>
          <w:tcPr>
            <w:tcW w:w="1665" w:type="dxa"/>
            <w:shd w:val="clear" w:color="auto" w:fill="auto"/>
            <w:noWrap/>
            <w:vAlign w:val="bottom"/>
            <w:hideMark/>
          </w:tcPr>
          <w:p w14:paraId="1D486071" w14:textId="77777777" w:rsidR="00E94CC5" w:rsidRPr="00F278DB" w:rsidRDefault="00E94CC5" w:rsidP="00F01FBC">
            <w:pPr>
              <w:pStyle w:val="TableBody"/>
              <w:jc w:val="center"/>
            </w:pPr>
            <w:r>
              <w:t>ft</w:t>
            </w:r>
          </w:p>
        </w:tc>
        <w:tc>
          <w:tcPr>
            <w:tcW w:w="3843" w:type="dxa"/>
            <w:shd w:val="clear" w:color="auto" w:fill="auto"/>
            <w:noWrap/>
            <w:vAlign w:val="bottom"/>
            <w:hideMark/>
          </w:tcPr>
          <w:p w14:paraId="7CA891BC" w14:textId="77777777" w:rsidR="00E94CC5" w:rsidRPr="00F278DB" w:rsidRDefault="00E94CC5" w:rsidP="00F01FBC">
            <w:pPr>
              <w:pStyle w:val="TableBody"/>
            </w:pPr>
            <w:r w:rsidRPr="00F278DB">
              <w:t>Pollock, 1988. Shape of the CHB was copied from Figure 6</w:t>
            </w:r>
          </w:p>
        </w:tc>
      </w:tr>
      <w:tr w:rsidR="00E94CC5" w:rsidRPr="00F278DB" w14:paraId="46908E06" w14:textId="77777777" w:rsidTr="00F01FBC">
        <w:trPr>
          <w:trHeight w:val="291"/>
          <w:jc w:val="center"/>
        </w:trPr>
        <w:tc>
          <w:tcPr>
            <w:tcW w:w="2123" w:type="dxa"/>
            <w:shd w:val="clear" w:color="auto" w:fill="auto"/>
            <w:noWrap/>
            <w:vAlign w:val="bottom"/>
            <w:hideMark/>
          </w:tcPr>
          <w:p w14:paraId="160FABC1" w14:textId="77777777" w:rsidR="00E94CC5" w:rsidRPr="00F278DB" w:rsidRDefault="00E94CC5" w:rsidP="00F01FBC">
            <w:pPr>
              <w:pStyle w:val="TableBody"/>
            </w:pPr>
            <w:r w:rsidRPr="00F278DB">
              <w:t>Starting head</w:t>
            </w:r>
          </w:p>
        </w:tc>
        <w:tc>
          <w:tcPr>
            <w:tcW w:w="1573" w:type="dxa"/>
            <w:shd w:val="clear" w:color="auto" w:fill="auto"/>
            <w:noWrap/>
            <w:vAlign w:val="bottom"/>
            <w:hideMark/>
          </w:tcPr>
          <w:p w14:paraId="723CB944" w14:textId="77777777" w:rsidR="00E94CC5" w:rsidRPr="00F278DB" w:rsidRDefault="00E94CC5" w:rsidP="00F01FBC">
            <w:pPr>
              <w:pStyle w:val="TableBody"/>
              <w:jc w:val="center"/>
            </w:pPr>
            <w:r w:rsidRPr="00F278DB">
              <w:t>100</w:t>
            </w:r>
          </w:p>
        </w:tc>
        <w:tc>
          <w:tcPr>
            <w:tcW w:w="1665" w:type="dxa"/>
            <w:shd w:val="clear" w:color="auto" w:fill="auto"/>
            <w:noWrap/>
            <w:vAlign w:val="bottom"/>
            <w:hideMark/>
          </w:tcPr>
          <w:p w14:paraId="1E9C61B6" w14:textId="77777777" w:rsidR="00E94CC5" w:rsidRPr="00F278DB" w:rsidRDefault="00E94CC5" w:rsidP="00F01FBC">
            <w:pPr>
              <w:pStyle w:val="TableBody"/>
              <w:jc w:val="center"/>
            </w:pPr>
            <w:r>
              <w:t>ft</w:t>
            </w:r>
          </w:p>
        </w:tc>
        <w:tc>
          <w:tcPr>
            <w:tcW w:w="3843" w:type="dxa"/>
            <w:shd w:val="clear" w:color="auto" w:fill="auto"/>
            <w:noWrap/>
            <w:vAlign w:val="bottom"/>
            <w:hideMark/>
          </w:tcPr>
          <w:p w14:paraId="705D4E45" w14:textId="77777777" w:rsidR="00E94CC5" w:rsidRPr="00F278DB" w:rsidRDefault="00E94CC5" w:rsidP="00F01FBC">
            <w:pPr>
              <w:pStyle w:val="TableBody"/>
            </w:pPr>
            <w:r w:rsidRPr="00F278DB">
              <w:t>Assumed</w:t>
            </w:r>
          </w:p>
        </w:tc>
      </w:tr>
      <w:tr w:rsidR="00E94CC5" w:rsidRPr="00F278DB" w14:paraId="591FBCA2" w14:textId="77777777" w:rsidTr="00F01FBC">
        <w:trPr>
          <w:trHeight w:val="291"/>
          <w:jc w:val="center"/>
        </w:trPr>
        <w:tc>
          <w:tcPr>
            <w:tcW w:w="2123" w:type="dxa"/>
            <w:shd w:val="clear" w:color="auto" w:fill="auto"/>
            <w:noWrap/>
            <w:vAlign w:val="bottom"/>
            <w:hideMark/>
          </w:tcPr>
          <w:p w14:paraId="32A557D1" w14:textId="77777777" w:rsidR="00E94CC5" w:rsidRPr="00F278DB" w:rsidRDefault="00E94CC5" w:rsidP="00F01FBC">
            <w:pPr>
              <w:pStyle w:val="TableBody"/>
            </w:pPr>
            <w:r w:rsidRPr="00F278DB">
              <w:t>Number of particles</w:t>
            </w:r>
          </w:p>
        </w:tc>
        <w:tc>
          <w:tcPr>
            <w:tcW w:w="1573" w:type="dxa"/>
            <w:shd w:val="clear" w:color="auto" w:fill="auto"/>
            <w:noWrap/>
            <w:vAlign w:val="bottom"/>
            <w:hideMark/>
          </w:tcPr>
          <w:p w14:paraId="0C26CC63" w14:textId="77777777" w:rsidR="00E94CC5" w:rsidRPr="00F278DB" w:rsidRDefault="00E94CC5" w:rsidP="00F01FBC">
            <w:pPr>
              <w:pStyle w:val="TableBody"/>
              <w:jc w:val="center"/>
            </w:pPr>
            <w:r w:rsidRPr="00F278DB">
              <w:t>10</w:t>
            </w:r>
          </w:p>
        </w:tc>
        <w:tc>
          <w:tcPr>
            <w:tcW w:w="1665" w:type="dxa"/>
            <w:shd w:val="clear" w:color="auto" w:fill="auto"/>
            <w:noWrap/>
            <w:vAlign w:val="bottom"/>
            <w:hideMark/>
          </w:tcPr>
          <w:p w14:paraId="477BB52D" w14:textId="77777777" w:rsidR="00E94CC5" w:rsidRPr="00F278DB" w:rsidRDefault="00E94CC5" w:rsidP="00F01FBC">
            <w:pPr>
              <w:pStyle w:val="TableBody"/>
              <w:jc w:val="center"/>
            </w:pPr>
            <w:r w:rsidRPr="00F278DB">
              <w:t>N/A</w:t>
            </w:r>
          </w:p>
        </w:tc>
        <w:tc>
          <w:tcPr>
            <w:tcW w:w="3843" w:type="dxa"/>
            <w:shd w:val="clear" w:color="auto" w:fill="auto"/>
            <w:noWrap/>
            <w:vAlign w:val="bottom"/>
            <w:hideMark/>
          </w:tcPr>
          <w:p w14:paraId="6FE25690" w14:textId="77777777" w:rsidR="00E94CC5" w:rsidRPr="00F278DB" w:rsidRDefault="00E94CC5" w:rsidP="00F01FBC">
            <w:pPr>
              <w:pStyle w:val="TableBody"/>
            </w:pPr>
            <w:r w:rsidRPr="00F278DB">
              <w:t>Pollock, 1988</w:t>
            </w:r>
          </w:p>
        </w:tc>
      </w:tr>
      <w:tr w:rsidR="00E94CC5" w:rsidRPr="00F278DB" w14:paraId="4A1F4FE5" w14:textId="77777777" w:rsidTr="00F01FBC">
        <w:trPr>
          <w:trHeight w:val="291"/>
          <w:jc w:val="center"/>
        </w:trPr>
        <w:tc>
          <w:tcPr>
            <w:tcW w:w="2123" w:type="dxa"/>
            <w:shd w:val="clear" w:color="auto" w:fill="auto"/>
            <w:noWrap/>
            <w:vAlign w:val="bottom"/>
            <w:hideMark/>
          </w:tcPr>
          <w:p w14:paraId="31948977" w14:textId="77777777" w:rsidR="00E94CC5" w:rsidRPr="00F278DB" w:rsidRDefault="00E94CC5" w:rsidP="00F01FBC">
            <w:pPr>
              <w:pStyle w:val="TableBody"/>
            </w:pPr>
            <w:r w:rsidRPr="00F278DB">
              <w:t>Parti</w:t>
            </w:r>
            <w:r>
              <w:t>c</w:t>
            </w:r>
            <w:r w:rsidRPr="00F278DB">
              <w:t>l</w:t>
            </w:r>
            <w:r>
              <w:t>e</w:t>
            </w:r>
            <w:r w:rsidRPr="00F278DB">
              <w:t xml:space="preserve"> radial distance from center of the injection well</w:t>
            </w:r>
          </w:p>
        </w:tc>
        <w:tc>
          <w:tcPr>
            <w:tcW w:w="1573" w:type="dxa"/>
            <w:shd w:val="clear" w:color="auto" w:fill="auto"/>
            <w:noWrap/>
            <w:vAlign w:val="bottom"/>
            <w:hideMark/>
          </w:tcPr>
          <w:p w14:paraId="2A6A6250" w14:textId="77777777" w:rsidR="00E94CC5" w:rsidRPr="00F278DB" w:rsidRDefault="00E94CC5" w:rsidP="00F01FBC">
            <w:pPr>
              <w:pStyle w:val="TableBody"/>
              <w:jc w:val="center"/>
            </w:pPr>
            <w:r w:rsidRPr="00F278DB">
              <w:t>150</w:t>
            </w:r>
          </w:p>
        </w:tc>
        <w:tc>
          <w:tcPr>
            <w:tcW w:w="1665" w:type="dxa"/>
            <w:shd w:val="clear" w:color="auto" w:fill="auto"/>
            <w:noWrap/>
            <w:vAlign w:val="bottom"/>
            <w:hideMark/>
          </w:tcPr>
          <w:p w14:paraId="4E4A66DC" w14:textId="77777777" w:rsidR="00E94CC5" w:rsidRPr="00F278DB" w:rsidRDefault="00E94CC5" w:rsidP="00F01FBC">
            <w:pPr>
              <w:pStyle w:val="TableBody"/>
              <w:jc w:val="center"/>
            </w:pPr>
            <w:r>
              <w:t>ft</w:t>
            </w:r>
          </w:p>
        </w:tc>
        <w:tc>
          <w:tcPr>
            <w:tcW w:w="3843" w:type="dxa"/>
            <w:shd w:val="clear" w:color="auto" w:fill="auto"/>
            <w:noWrap/>
            <w:vAlign w:val="bottom"/>
            <w:hideMark/>
          </w:tcPr>
          <w:p w14:paraId="1758F0EC" w14:textId="77777777" w:rsidR="00E94CC5" w:rsidRPr="00F278DB" w:rsidRDefault="00E94CC5" w:rsidP="00F01FBC">
            <w:pPr>
              <w:pStyle w:val="TableBody"/>
            </w:pPr>
            <w:r w:rsidRPr="00F278DB">
              <w:t>Pollock, 1988</w:t>
            </w:r>
          </w:p>
        </w:tc>
      </w:tr>
      <w:tr w:rsidR="00E94CC5" w:rsidRPr="00F278DB" w14:paraId="672E35A9" w14:textId="77777777" w:rsidTr="00F01FBC">
        <w:trPr>
          <w:trHeight w:val="291"/>
          <w:jc w:val="center"/>
        </w:trPr>
        <w:tc>
          <w:tcPr>
            <w:tcW w:w="2123" w:type="dxa"/>
            <w:shd w:val="clear" w:color="auto" w:fill="auto"/>
            <w:noWrap/>
            <w:vAlign w:val="bottom"/>
            <w:hideMark/>
          </w:tcPr>
          <w:p w14:paraId="2E48ECF1" w14:textId="77777777" w:rsidR="00E94CC5" w:rsidRPr="00F278DB" w:rsidRDefault="00E94CC5" w:rsidP="00F01FBC">
            <w:pPr>
              <w:pStyle w:val="TableBody"/>
            </w:pPr>
            <w:r w:rsidRPr="00F278DB">
              <w:t>Number of stress periods</w:t>
            </w:r>
          </w:p>
        </w:tc>
        <w:tc>
          <w:tcPr>
            <w:tcW w:w="1573" w:type="dxa"/>
            <w:shd w:val="clear" w:color="auto" w:fill="auto"/>
            <w:noWrap/>
            <w:vAlign w:val="bottom"/>
            <w:hideMark/>
          </w:tcPr>
          <w:p w14:paraId="3EB6B0D8" w14:textId="77777777" w:rsidR="00E94CC5" w:rsidRPr="00F278DB" w:rsidRDefault="00E94CC5" w:rsidP="00F01FBC">
            <w:pPr>
              <w:pStyle w:val="TableBody"/>
              <w:jc w:val="center"/>
            </w:pPr>
            <w:r w:rsidRPr="00F278DB">
              <w:t>15</w:t>
            </w:r>
          </w:p>
        </w:tc>
        <w:tc>
          <w:tcPr>
            <w:tcW w:w="1665" w:type="dxa"/>
            <w:shd w:val="clear" w:color="auto" w:fill="auto"/>
            <w:noWrap/>
            <w:vAlign w:val="bottom"/>
            <w:hideMark/>
          </w:tcPr>
          <w:p w14:paraId="01AB1967" w14:textId="77777777" w:rsidR="00E94CC5" w:rsidRPr="00F278DB" w:rsidRDefault="00E94CC5" w:rsidP="00F01FBC">
            <w:pPr>
              <w:pStyle w:val="TableBody"/>
              <w:jc w:val="center"/>
            </w:pPr>
            <w:r w:rsidRPr="00F278DB">
              <w:t>N/A</w:t>
            </w:r>
          </w:p>
        </w:tc>
        <w:tc>
          <w:tcPr>
            <w:tcW w:w="3843" w:type="dxa"/>
            <w:shd w:val="clear" w:color="auto" w:fill="auto"/>
            <w:noWrap/>
            <w:vAlign w:val="bottom"/>
            <w:hideMark/>
          </w:tcPr>
          <w:p w14:paraId="1BFA2A1C" w14:textId="77777777" w:rsidR="00E94CC5" w:rsidRPr="00F278DB" w:rsidRDefault="00E94CC5" w:rsidP="00F01FBC">
            <w:pPr>
              <w:pStyle w:val="TableBody"/>
            </w:pPr>
            <w:r w:rsidRPr="00F278DB">
              <w:t>Assumed</w:t>
            </w:r>
          </w:p>
        </w:tc>
      </w:tr>
      <w:tr w:rsidR="00E94CC5" w:rsidRPr="00F278DB" w14:paraId="24E4215D" w14:textId="77777777" w:rsidTr="00F01FBC">
        <w:trPr>
          <w:trHeight w:val="291"/>
          <w:jc w:val="center"/>
        </w:trPr>
        <w:tc>
          <w:tcPr>
            <w:tcW w:w="2123" w:type="dxa"/>
            <w:tcBorders>
              <w:bottom w:val="single" w:sz="4" w:space="0" w:color="auto"/>
            </w:tcBorders>
            <w:shd w:val="clear" w:color="auto" w:fill="auto"/>
            <w:noWrap/>
            <w:vAlign w:val="bottom"/>
            <w:hideMark/>
          </w:tcPr>
          <w:p w14:paraId="72CD7BCB" w14:textId="77777777" w:rsidR="00E94CC5" w:rsidRPr="00F278DB" w:rsidRDefault="00E94CC5" w:rsidP="00F01FBC">
            <w:pPr>
              <w:pStyle w:val="TableBody"/>
            </w:pPr>
            <w:r w:rsidRPr="00F278DB">
              <w:t>Stress period length</w:t>
            </w:r>
          </w:p>
        </w:tc>
        <w:tc>
          <w:tcPr>
            <w:tcW w:w="1573" w:type="dxa"/>
            <w:tcBorders>
              <w:bottom w:val="single" w:sz="4" w:space="0" w:color="auto"/>
            </w:tcBorders>
            <w:shd w:val="clear" w:color="auto" w:fill="auto"/>
            <w:noWrap/>
            <w:vAlign w:val="bottom"/>
            <w:hideMark/>
          </w:tcPr>
          <w:p w14:paraId="50130E0F" w14:textId="77777777" w:rsidR="00E94CC5" w:rsidRPr="00F278DB" w:rsidRDefault="00E94CC5" w:rsidP="00F01FBC">
            <w:pPr>
              <w:pStyle w:val="TableBody"/>
              <w:jc w:val="center"/>
            </w:pPr>
            <w:r w:rsidRPr="00F278DB">
              <w:t>500</w:t>
            </w:r>
          </w:p>
        </w:tc>
        <w:tc>
          <w:tcPr>
            <w:tcW w:w="1665" w:type="dxa"/>
            <w:tcBorders>
              <w:bottom w:val="single" w:sz="4" w:space="0" w:color="auto"/>
            </w:tcBorders>
            <w:shd w:val="clear" w:color="auto" w:fill="auto"/>
            <w:noWrap/>
            <w:vAlign w:val="bottom"/>
            <w:hideMark/>
          </w:tcPr>
          <w:p w14:paraId="060F4446" w14:textId="77777777" w:rsidR="00E94CC5" w:rsidRPr="00F278DB" w:rsidRDefault="00E94CC5" w:rsidP="00F01FBC">
            <w:pPr>
              <w:pStyle w:val="TableBody"/>
              <w:jc w:val="center"/>
            </w:pPr>
            <w:r w:rsidRPr="00F278DB">
              <w:t>days</w:t>
            </w:r>
          </w:p>
        </w:tc>
        <w:tc>
          <w:tcPr>
            <w:tcW w:w="3843" w:type="dxa"/>
            <w:tcBorders>
              <w:bottom w:val="single" w:sz="4" w:space="0" w:color="auto"/>
            </w:tcBorders>
            <w:shd w:val="clear" w:color="auto" w:fill="auto"/>
            <w:noWrap/>
            <w:vAlign w:val="bottom"/>
            <w:hideMark/>
          </w:tcPr>
          <w:p w14:paraId="12BAD759" w14:textId="77777777" w:rsidR="00E94CC5" w:rsidRPr="00F278DB" w:rsidRDefault="00E94CC5" w:rsidP="00F01FBC">
            <w:pPr>
              <w:pStyle w:val="TableBody"/>
            </w:pPr>
            <w:r w:rsidRPr="00F278DB">
              <w:t>Assumed</w:t>
            </w:r>
          </w:p>
        </w:tc>
      </w:tr>
      <w:tr w:rsidR="00E94CC5" w:rsidRPr="00F278DB" w14:paraId="6CEC3F6E" w14:textId="77777777" w:rsidTr="00F01FBC">
        <w:trPr>
          <w:trHeight w:val="291"/>
          <w:jc w:val="center"/>
        </w:trPr>
        <w:tc>
          <w:tcPr>
            <w:tcW w:w="9204" w:type="dxa"/>
            <w:gridSpan w:val="4"/>
            <w:tcBorders>
              <w:top w:val="single" w:sz="4" w:space="0" w:color="auto"/>
              <w:left w:val="nil"/>
              <w:bottom w:val="nil"/>
              <w:right w:val="nil"/>
            </w:tcBorders>
            <w:shd w:val="clear" w:color="auto" w:fill="auto"/>
            <w:noWrap/>
            <w:vAlign w:val="bottom"/>
          </w:tcPr>
          <w:p w14:paraId="5EE0B0D2" w14:textId="6201450B" w:rsidR="00E94CC5" w:rsidRPr="00F278DB" w:rsidRDefault="00E94CC5" w:rsidP="00F01FBC">
            <w:pPr>
              <w:pStyle w:val="TableBody"/>
            </w:pPr>
          </w:p>
        </w:tc>
      </w:tr>
    </w:tbl>
    <w:p w14:paraId="2B8F655F" w14:textId="5B41507E" w:rsidR="00B009FC" w:rsidRDefault="00B009FC"/>
    <w:p w14:paraId="73B9C744" w14:textId="77777777" w:rsidR="00B009FC" w:rsidRDefault="00B009FC">
      <w:pPr>
        <w:spacing w:after="160" w:line="259" w:lineRule="auto"/>
      </w:pPr>
      <w:r>
        <w:br w:type="page"/>
      </w:r>
    </w:p>
    <w:p w14:paraId="2BC5B86F" w14:textId="77777777" w:rsidR="00C7406B" w:rsidRDefault="00C7406B"/>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1290"/>
        <w:gridCol w:w="270"/>
        <w:gridCol w:w="1080"/>
        <w:gridCol w:w="1350"/>
      </w:tblGrid>
      <w:tr w:rsidR="004B3081" w:rsidRPr="004657EE" w14:paraId="08138578" w14:textId="56491E75" w:rsidTr="00B009FC">
        <w:trPr>
          <w:trHeight w:val="288"/>
          <w:tblHeader/>
          <w:jc w:val="center"/>
        </w:trPr>
        <w:tc>
          <w:tcPr>
            <w:tcW w:w="5040" w:type="dxa"/>
            <w:gridSpan w:val="5"/>
            <w:tcBorders>
              <w:top w:val="nil"/>
              <w:left w:val="nil"/>
              <w:bottom w:val="nil"/>
              <w:right w:val="nil"/>
            </w:tcBorders>
            <w:shd w:val="clear" w:color="auto" w:fill="auto"/>
            <w:noWrap/>
            <w:vAlign w:val="bottom"/>
            <w:hideMark/>
          </w:tcPr>
          <w:p w14:paraId="4E225947" w14:textId="32B479AB" w:rsidR="004B3081" w:rsidRPr="004657EE" w:rsidRDefault="004B3081" w:rsidP="00F01FBC">
            <w:pPr>
              <w:pStyle w:val="TableNumberCaption"/>
            </w:pPr>
            <w:r w:rsidRPr="004657EE">
              <w:t> </w:t>
            </w:r>
            <w:bookmarkStart w:id="19" w:name="_Ref520199035"/>
            <w:bookmarkStart w:id="20" w:name="_Toc520215894"/>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bookmarkEnd w:id="19"/>
            <w:r>
              <w:t>. Constant Head Boundary Cell Locations</w:t>
            </w:r>
            <w:bookmarkEnd w:id="20"/>
          </w:p>
        </w:tc>
      </w:tr>
      <w:tr w:rsidR="00B009FC" w:rsidRPr="004657EE" w14:paraId="7ECD630B" w14:textId="16C7CC6A" w:rsidTr="00B009FC">
        <w:trPr>
          <w:trHeight w:val="288"/>
          <w:tblHeader/>
          <w:jc w:val="center"/>
        </w:trPr>
        <w:tc>
          <w:tcPr>
            <w:tcW w:w="2340" w:type="dxa"/>
            <w:gridSpan w:val="2"/>
            <w:tcBorders>
              <w:top w:val="single" w:sz="4" w:space="0" w:color="auto"/>
            </w:tcBorders>
            <w:shd w:val="clear" w:color="auto" w:fill="D9D9D9" w:themeFill="background1" w:themeFillShade="D9"/>
            <w:noWrap/>
            <w:vAlign w:val="bottom"/>
            <w:hideMark/>
          </w:tcPr>
          <w:p w14:paraId="6FF400BE" w14:textId="77777777" w:rsidR="00B009FC" w:rsidRPr="004657EE" w:rsidRDefault="00B009FC" w:rsidP="00F01FBC">
            <w:pPr>
              <w:pStyle w:val="TableHead"/>
            </w:pPr>
            <w:r w:rsidRPr="004657EE">
              <w:t>Constant Head Boundary Cells</w:t>
            </w:r>
          </w:p>
        </w:tc>
        <w:tc>
          <w:tcPr>
            <w:tcW w:w="270" w:type="dxa"/>
            <w:tcBorders>
              <w:top w:val="nil"/>
              <w:bottom w:val="nil"/>
            </w:tcBorders>
            <w:shd w:val="clear" w:color="auto" w:fill="auto"/>
          </w:tcPr>
          <w:p w14:paraId="71126448" w14:textId="77777777" w:rsidR="00B009FC" w:rsidRPr="004657EE" w:rsidRDefault="00B009FC" w:rsidP="00F01FBC">
            <w:pPr>
              <w:pStyle w:val="TableHead"/>
            </w:pPr>
          </w:p>
        </w:tc>
        <w:tc>
          <w:tcPr>
            <w:tcW w:w="2430" w:type="dxa"/>
            <w:gridSpan w:val="2"/>
            <w:tcBorders>
              <w:top w:val="single" w:sz="4" w:space="0" w:color="auto"/>
            </w:tcBorders>
            <w:shd w:val="clear" w:color="auto" w:fill="D9D9D9" w:themeFill="background1" w:themeFillShade="D9"/>
          </w:tcPr>
          <w:p w14:paraId="09F9CD43" w14:textId="16980B59" w:rsidR="00B009FC" w:rsidRPr="004657EE" w:rsidRDefault="00B009FC" w:rsidP="00F01FBC">
            <w:pPr>
              <w:pStyle w:val="TableHead"/>
            </w:pPr>
            <w:r>
              <w:t>Constant Head Boundary Cells</w:t>
            </w:r>
          </w:p>
        </w:tc>
      </w:tr>
      <w:tr w:rsidR="004B3081" w:rsidRPr="004657EE" w14:paraId="17C0777A" w14:textId="4F443325" w:rsidTr="00B009FC">
        <w:trPr>
          <w:trHeight w:val="288"/>
          <w:tblHeader/>
          <w:jc w:val="center"/>
        </w:trPr>
        <w:tc>
          <w:tcPr>
            <w:tcW w:w="1050" w:type="dxa"/>
            <w:shd w:val="clear" w:color="auto" w:fill="D9D9D9" w:themeFill="background1" w:themeFillShade="D9"/>
            <w:noWrap/>
            <w:vAlign w:val="bottom"/>
            <w:hideMark/>
          </w:tcPr>
          <w:p w14:paraId="285D9E19" w14:textId="77777777" w:rsidR="004B3081" w:rsidRPr="004657EE" w:rsidRDefault="004B3081" w:rsidP="00F01FBC">
            <w:pPr>
              <w:pStyle w:val="TableHead"/>
            </w:pPr>
            <w:r w:rsidRPr="004657EE">
              <w:t>Row</w:t>
            </w:r>
          </w:p>
        </w:tc>
        <w:tc>
          <w:tcPr>
            <w:tcW w:w="1290" w:type="dxa"/>
            <w:shd w:val="clear" w:color="auto" w:fill="D9D9D9" w:themeFill="background1" w:themeFillShade="D9"/>
            <w:noWrap/>
            <w:vAlign w:val="bottom"/>
            <w:hideMark/>
          </w:tcPr>
          <w:p w14:paraId="2A86FDB9" w14:textId="77777777" w:rsidR="004B3081" w:rsidRPr="004657EE" w:rsidRDefault="004B3081" w:rsidP="00F01FBC">
            <w:pPr>
              <w:pStyle w:val="TableHead"/>
            </w:pPr>
            <w:r w:rsidRPr="004657EE">
              <w:t>Column</w:t>
            </w:r>
          </w:p>
        </w:tc>
        <w:tc>
          <w:tcPr>
            <w:tcW w:w="270" w:type="dxa"/>
            <w:tcBorders>
              <w:top w:val="nil"/>
              <w:bottom w:val="nil"/>
            </w:tcBorders>
            <w:shd w:val="clear" w:color="auto" w:fill="auto"/>
          </w:tcPr>
          <w:p w14:paraId="72361EC9" w14:textId="77777777" w:rsidR="004B3081" w:rsidRPr="004657EE" w:rsidRDefault="004B3081" w:rsidP="00F01FBC">
            <w:pPr>
              <w:pStyle w:val="TableHead"/>
            </w:pPr>
          </w:p>
        </w:tc>
        <w:tc>
          <w:tcPr>
            <w:tcW w:w="1080" w:type="dxa"/>
            <w:shd w:val="clear" w:color="auto" w:fill="D9D9D9" w:themeFill="background1" w:themeFillShade="D9"/>
          </w:tcPr>
          <w:p w14:paraId="16A9D7ED" w14:textId="35EE94D6" w:rsidR="004B3081" w:rsidRPr="004657EE" w:rsidRDefault="00B009FC" w:rsidP="00F01FBC">
            <w:pPr>
              <w:pStyle w:val="TableHead"/>
            </w:pPr>
            <w:r>
              <w:t>Row</w:t>
            </w:r>
          </w:p>
        </w:tc>
        <w:tc>
          <w:tcPr>
            <w:tcW w:w="1350" w:type="dxa"/>
            <w:shd w:val="clear" w:color="auto" w:fill="D9D9D9" w:themeFill="background1" w:themeFillShade="D9"/>
          </w:tcPr>
          <w:p w14:paraId="066AE7F0" w14:textId="022E4556" w:rsidR="004B3081" w:rsidRPr="004657EE" w:rsidRDefault="00B009FC" w:rsidP="00F01FBC">
            <w:pPr>
              <w:pStyle w:val="TableHead"/>
            </w:pPr>
            <w:r>
              <w:t>Column</w:t>
            </w:r>
          </w:p>
        </w:tc>
      </w:tr>
      <w:tr w:rsidR="00B009FC" w:rsidRPr="004657EE" w14:paraId="328DEB78" w14:textId="4E509F54" w:rsidTr="00B009FC">
        <w:trPr>
          <w:trHeight w:val="288"/>
          <w:jc w:val="center"/>
        </w:trPr>
        <w:tc>
          <w:tcPr>
            <w:tcW w:w="1050" w:type="dxa"/>
            <w:shd w:val="clear" w:color="auto" w:fill="auto"/>
            <w:noWrap/>
            <w:vAlign w:val="bottom"/>
            <w:hideMark/>
          </w:tcPr>
          <w:p w14:paraId="4DB451EB"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19B792F8" w14:textId="77777777" w:rsidR="00B009FC" w:rsidRPr="004657EE" w:rsidRDefault="00B009FC" w:rsidP="00B009FC">
            <w:pPr>
              <w:pStyle w:val="TableBody"/>
              <w:jc w:val="center"/>
            </w:pPr>
            <w:r w:rsidRPr="004657EE">
              <w:t>1</w:t>
            </w:r>
          </w:p>
        </w:tc>
        <w:tc>
          <w:tcPr>
            <w:tcW w:w="270" w:type="dxa"/>
            <w:tcBorders>
              <w:top w:val="nil"/>
              <w:bottom w:val="nil"/>
            </w:tcBorders>
          </w:tcPr>
          <w:p w14:paraId="5F067B2E" w14:textId="77777777" w:rsidR="00B009FC" w:rsidRPr="004657EE" w:rsidRDefault="00B009FC" w:rsidP="00B009FC">
            <w:pPr>
              <w:pStyle w:val="TableBody"/>
              <w:jc w:val="center"/>
            </w:pPr>
          </w:p>
        </w:tc>
        <w:tc>
          <w:tcPr>
            <w:tcW w:w="1080" w:type="dxa"/>
            <w:vAlign w:val="bottom"/>
          </w:tcPr>
          <w:p w14:paraId="3B0B2CE7" w14:textId="4179DB16" w:rsidR="00B009FC" w:rsidRPr="004657EE" w:rsidRDefault="00B009FC" w:rsidP="00B009FC">
            <w:pPr>
              <w:pStyle w:val="TableBody"/>
              <w:jc w:val="center"/>
            </w:pPr>
            <w:r w:rsidRPr="004657EE">
              <w:t>13</w:t>
            </w:r>
          </w:p>
        </w:tc>
        <w:tc>
          <w:tcPr>
            <w:tcW w:w="1350" w:type="dxa"/>
            <w:vAlign w:val="bottom"/>
          </w:tcPr>
          <w:p w14:paraId="05FD3BC0" w14:textId="7AD6BD25" w:rsidR="00B009FC" w:rsidRPr="004657EE" w:rsidRDefault="00B009FC" w:rsidP="00B009FC">
            <w:pPr>
              <w:pStyle w:val="TableBody"/>
              <w:jc w:val="center"/>
            </w:pPr>
            <w:r w:rsidRPr="004657EE">
              <w:t>29</w:t>
            </w:r>
          </w:p>
        </w:tc>
      </w:tr>
      <w:tr w:rsidR="00B009FC" w:rsidRPr="004657EE" w14:paraId="10B31C00" w14:textId="5EE9ED3F" w:rsidTr="00B009FC">
        <w:trPr>
          <w:trHeight w:val="288"/>
          <w:jc w:val="center"/>
        </w:trPr>
        <w:tc>
          <w:tcPr>
            <w:tcW w:w="1050" w:type="dxa"/>
            <w:shd w:val="clear" w:color="auto" w:fill="auto"/>
            <w:noWrap/>
            <w:vAlign w:val="bottom"/>
            <w:hideMark/>
          </w:tcPr>
          <w:p w14:paraId="098F16FD"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5171AAD2" w14:textId="77777777" w:rsidR="00B009FC" w:rsidRPr="004657EE" w:rsidRDefault="00B009FC" w:rsidP="00B009FC">
            <w:pPr>
              <w:pStyle w:val="TableBody"/>
              <w:jc w:val="center"/>
            </w:pPr>
            <w:r w:rsidRPr="004657EE">
              <w:t>2</w:t>
            </w:r>
          </w:p>
        </w:tc>
        <w:tc>
          <w:tcPr>
            <w:tcW w:w="270" w:type="dxa"/>
            <w:tcBorders>
              <w:top w:val="nil"/>
              <w:bottom w:val="nil"/>
            </w:tcBorders>
          </w:tcPr>
          <w:p w14:paraId="0AF719EC" w14:textId="77777777" w:rsidR="00B009FC" w:rsidRPr="004657EE" w:rsidRDefault="00B009FC" w:rsidP="00B009FC">
            <w:pPr>
              <w:pStyle w:val="TableBody"/>
              <w:jc w:val="center"/>
            </w:pPr>
          </w:p>
        </w:tc>
        <w:tc>
          <w:tcPr>
            <w:tcW w:w="1080" w:type="dxa"/>
            <w:vAlign w:val="bottom"/>
          </w:tcPr>
          <w:p w14:paraId="7733E10F" w14:textId="1B2332B3" w:rsidR="00B009FC" w:rsidRPr="004657EE" w:rsidRDefault="00B009FC" w:rsidP="00B009FC">
            <w:pPr>
              <w:pStyle w:val="TableBody"/>
              <w:jc w:val="center"/>
            </w:pPr>
            <w:r w:rsidRPr="004657EE">
              <w:t>14</w:t>
            </w:r>
          </w:p>
        </w:tc>
        <w:tc>
          <w:tcPr>
            <w:tcW w:w="1350" w:type="dxa"/>
            <w:vAlign w:val="bottom"/>
          </w:tcPr>
          <w:p w14:paraId="4F3F6214" w14:textId="305CB30D" w:rsidR="00B009FC" w:rsidRPr="004657EE" w:rsidRDefault="00B009FC" w:rsidP="00B009FC">
            <w:pPr>
              <w:pStyle w:val="TableBody"/>
              <w:jc w:val="center"/>
            </w:pPr>
            <w:r w:rsidRPr="004657EE">
              <w:t>30</w:t>
            </w:r>
          </w:p>
        </w:tc>
      </w:tr>
      <w:tr w:rsidR="00B009FC" w:rsidRPr="004657EE" w14:paraId="0EE64D8A" w14:textId="4DA26B16" w:rsidTr="00B009FC">
        <w:trPr>
          <w:trHeight w:val="288"/>
          <w:jc w:val="center"/>
        </w:trPr>
        <w:tc>
          <w:tcPr>
            <w:tcW w:w="1050" w:type="dxa"/>
            <w:shd w:val="clear" w:color="auto" w:fill="auto"/>
            <w:noWrap/>
            <w:vAlign w:val="bottom"/>
            <w:hideMark/>
          </w:tcPr>
          <w:p w14:paraId="4245DA15"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0CCC264F" w14:textId="77777777" w:rsidR="00B009FC" w:rsidRPr="004657EE" w:rsidRDefault="00B009FC" w:rsidP="00B009FC">
            <w:pPr>
              <w:pStyle w:val="TableBody"/>
              <w:jc w:val="center"/>
            </w:pPr>
            <w:r w:rsidRPr="004657EE">
              <w:t>3</w:t>
            </w:r>
          </w:p>
        </w:tc>
        <w:tc>
          <w:tcPr>
            <w:tcW w:w="270" w:type="dxa"/>
            <w:tcBorders>
              <w:top w:val="nil"/>
              <w:bottom w:val="nil"/>
            </w:tcBorders>
          </w:tcPr>
          <w:p w14:paraId="4EDC138A" w14:textId="77777777" w:rsidR="00B009FC" w:rsidRPr="004657EE" w:rsidRDefault="00B009FC" w:rsidP="00B009FC">
            <w:pPr>
              <w:pStyle w:val="TableBody"/>
              <w:jc w:val="center"/>
            </w:pPr>
          </w:p>
        </w:tc>
        <w:tc>
          <w:tcPr>
            <w:tcW w:w="1080" w:type="dxa"/>
            <w:vAlign w:val="bottom"/>
          </w:tcPr>
          <w:p w14:paraId="74A37E47" w14:textId="6F4DD223" w:rsidR="00B009FC" w:rsidRPr="004657EE" w:rsidRDefault="00B009FC" w:rsidP="00B009FC">
            <w:pPr>
              <w:pStyle w:val="TableBody"/>
              <w:jc w:val="center"/>
            </w:pPr>
            <w:r w:rsidRPr="004657EE">
              <w:t>15</w:t>
            </w:r>
          </w:p>
        </w:tc>
        <w:tc>
          <w:tcPr>
            <w:tcW w:w="1350" w:type="dxa"/>
            <w:vAlign w:val="bottom"/>
          </w:tcPr>
          <w:p w14:paraId="6AF31251" w14:textId="17836F72" w:rsidR="00B009FC" w:rsidRPr="004657EE" w:rsidRDefault="00B009FC" w:rsidP="00B009FC">
            <w:pPr>
              <w:pStyle w:val="TableBody"/>
              <w:jc w:val="center"/>
            </w:pPr>
            <w:r w:rsidRPr="004657EE">
              <w:t>31</w:t>
            </w:r>
          </w:p>
        </w:tc>
      </w:tr>
      <w:tr w:rsidR="00B009FC" w:rsidRPr="004657EE" w14:paraId="0A529FB1" w14:textId="0A1299C7" w:rsidTr="00B009FC">
        <w:trPr>
          <w:trHeight w:val="288"/>
          <w:jc w:val="center"/>
        </w:trPr>
        <w:tc>
          <w:tcPr>
            <w:tcW w:w="1050" w:type="dxa"/>
            <w:shd w:val="clear" w:color="auto" w:fill="auto"/>
            <w:noWrap/>
            <w:vAlign w:val="bottom"/>
            <w:hideMark/>
          </w:tcPr>
          <w:p w14:paraId="34395A63"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174D44BC" w14:textId="77777777" w:rsidR="00B009FC" w:rsidRPr="004657EE" w:rsidRDefault="00B009FC" w:rsidP="00B009FC">
            <w:pPr>
              <w:pStyle w:val="TableBody"/>
              <w:jc w:val="center"/>
            </w:pPr>
            <w:r w:rsidRPr="004657EE">
              <w:t>4</w:t>
            </w:r>
          </w:p>
        </w:tc>
        <w:tc>
          <w:tcPr>
            <w:tcW w:w="270" w:type="dxa"/>
            <w:tcBorders>
              <w:top w:val="nil"/>
              <w:bottom w:val="nil"/>
            </w:tcBorders>
          </w:tcPr>
          <w:p w14:paraId="0181408A" w14:textId="77777777" w:rsidR="00B009FC" w:rsidRPr="004657EE" w:rsidRDefault="00B009FC" w:rsidP="00B009FC">
            <w:pPr>
              <w:pStyle w:val="TableBody"/>
              <w:jc w:val="center"/>
            </w:pPr>
          </w:p>
        </w:tc>
        <w:tc>
          <w:tcPr>
            <w:tcW w:w="1080" w:type="dxa"/>
            <w:vAlign w:val="bottom"/>
          </w:tcPr>
          <w:p w14:paraId="3D626459" w14:textId="28571D17" w:rsidR="00B009FC" w:rsidRPr="004657EE" w:rsidRDefault="00B009FC" w:rsidP="00B009FC">
            <w:pPr>
              <w:pStyle w:val="TableBody"/>
              <w:jc w:val="center"/>
            </w:pPr>
            <w:r w:rsidRPr="004657EE">
              <w:t>16</w:t>
            </w:r>
          </w:p>
        </w:tc>
        <w:tc>
          <w:tcPr>
            <w:tcW w:w="1350" w:type="dxa"/>
            <w:vAlign w:val="bottom"/>
          </w:tcPr>
          <w:p w14:paraId="06A20D96" w14:textId="3103C96F" w:rsidR="00B009FC" w:rsidRPr="004657EE" w:rsidRDefault="00B009FC" w:rsidP="00B009FC">
            <w:pPr>
              <w:pStyle w:val="TableBody"/>
              <w:jc w:val="center"/>
            </w:pPr>
            <w:r w:rsidRPr="004657EE">
              <w:t>32</w:t>
            </w:r>
          </w:p>
        </w:tc>
      </w:tr>
      <w:tr w:rsidR="00B009FC" w:rsidRPr="004657EE" w14:paraId="2DD49EB5" w14:textId="11EFE001" w:rsidTr="00B009FC">
        <w:trPr>
          <w:trHeight w:val="288"/>
          <w:jc w:val="center"/>
        </w:trPr>
        <w:tc>
          <w:tcPr>
            <w:tcW w:w="1050" w:type="dxa"/>
            <w:shd w:val="clear" w:color="auto" w:fill="auto"/>
            <w:noWrap/>
            <w:vAlign w:val="bottom"/>
            <w:hideMark/>
          </w:tcPr>
          <w:p w14:paraId="1EC4F00B"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043985F4" w14:textId="77777777" w:rsidR="00B009FC" w:rsidRPr="004657EE" w:rsidRDefault="00B009FC" w:rsidP="00B009FC">
            <w:pPr>
              <w:pStyle w:val="TableBody"/>
              <w:jc w:val="center"/>
            </w:pPr>
            <w:r w:rsidRPr="004657EE">
              <w:t>5</w:t>
            </w:r>
          </w:p>
        </w:tc>
        <w:tc>
          <w:tcPr>
            <w:tcW w:w="270" w:type="dxa"/>
            <w:tcBorders>
              <w:top w:val="nil"/>
              <w:bottom w:val="nil"/>
            </w:tcBorders>
          </w:tcPr>
          <w:p w14:paraId="453D7128" w14:textId="77777777" w:rsidR="00B009FC" w:rsidRPr="004657EE" w:rsidRDefault="00B009FC" w:rsidP="00B009FC">
            <w:pPr>
              <w:pStyle w:val="TableBody"/>
              <w:jc w:val="center"/>
            </w:pPr>
          </w:p>
        </w:tc>
        <w:tc>
          <w:tcPr>
            <w:tcW w:w="1080" w:type="dxa"/>
            <w:vAlign w:val="bottom"/>
          </w:tcPr>
          <w:p w14:paraId="4AE4E579" w14:textId="79536523" w:rsidR="00B009FC" w:rsidRPr="004657EE" w:rsidRDefault="00B009FC" w:rsidP="00B009FC">
            <w:pPr>
              <w:pStyle w:val="TableBody"/>
              <w:jc w:val="center"/>
            </w:pPr>
            <w:r w:rsidRPr="004657EE">
              <w:t>17</w:t>
            </w:r>
          </w:p>
        </w:tc>
        <w:tc>
          <w:tcPr>
            <w:tcW w:w="1350" w:type="dxa"/>
            <w:vAlign w:val="bottom"/>
          </w:tcPr>
          <w:p w14:paraId="3A7135CB" w14:textId="0F5BEA4D" w:rsidR="00B009FC" w:rsidRPr="004657EE" w:rsidRDefault="00B009FC" w:rsidP="00B009FC">
            <w:pPr>
              <w:pStyle w:val="TableBody"/>
              <w:jc w:val="center"/>
            </w:pPr>
            <w:r w:rsidRPr="004657EE">
              <w:t>33</w:t>
            </w:r>
          </w:p>
        </w:tc>
      </w:tr>
      <w:tr w:rsidR="00B009FC" w:rsidRPr="004657EE" w14:paraId="45B5AF24" w14:textId="242985C3" w:rsidTr="00B009FC">
        <w:trPr>
          <w:trHeight w:val="288"/>
          <w:jc w:val="center"/>
        </w:trPr>
        <w:tc>
          <w:tcPr>
            <w:tcW w:w="1050" w:type="dxa"/>
            <w:shd w:val="clear" w:color="auto" w:fill="auto"/>
            <w:noWrap/>
            <w:vAlign w:val="bottom"/>
            <w:hideMark/>
          </w:tcPr>
          <w:p w14:paraId="50D96104"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3E6BB96F" w14:textId="77777777" w:rsidR="00B009FC" w:rsidRPr="004657EE" w:rsidRDefault="00B009FC" w:rsidP="00B009FC">
            <w:pPr>
              <w:pStyle w:val="TableBody"/>
              <w:jc w:val="center"/>
            </w:pPr>
            <w:r w:rsidRPr="004657EE">
              <w:t>6</w:t>
            </w:r>
          </w:p>
        </w:tc>
        <w:tc>
          <w:tcPr>
            <w:tcW w:w="270" w:type="dxa"/>
            <w:tcBorders>
              <w:top w:val="nil"/>
              <w:bottom w:val="nil"/>
            </w:tcBorders>
          </w:tcPr>
          <w:p w14:paraId="447AAD05" w14:textId="77777777" w:rsidR="00B009FC" w:rsidRPr="004657EE" w:rsidRDefault="00B009FC" w:rsidP="00B009FC">
            <w:pPr>
              <w:pStyle w:val="TableBody"/>
              <w:jc w:val="center"/>
            </w:pPr>
          </w:p>
        </w:tc>
        <w:tc>
          <w:tcPr>
            <w:tcW w:w="1080" w:type="dxa"/>
            <w:vAlign w:val="bottom"/>
          </w:tcPr>
          <w:p w14:paraId="33E4DD62" w14:textId="543845BE" w:rsidR="00B009FC" w:rsidRPr="004657EE" w:rsidRDefault="00B009FC" w:rsidP="00B009FC">
            <w:pPr>
              <w:pStyle w:val="TableBody"/>
              <w:jc w:val="center"/>
            </w:pPr>
            <w:r w:rsidRPr="004657EE">
              <w:t>18</w:t>
            </w:r>
          </w:p>
        </w:tc>
        <w:tc>
          <w:tcPr>
            <w:tcW w:w="1350" w:type="dxa"/>
            <w:vAlign w:val="bottom"/>
          </w:tcPr>
          <w:p w14:paraId="67FD5B96" w14:textId="0DD86597" w:rsidR="00B009FC" w:rsidRPr="004657EE" w:rsidRDefault="00B009FC" w:rsidP="00B009FC">
            <w:pPr>
              <w:pStyle w:val="TableBody"/>
              <w:jc w:val="center"/>
            </w:pPr>
            <w:r w:rsidRPr="004657EE">
              <w:t>33</w:t>
            </w:r>
          </w:p>
        </w:tc>
      </w:tr>
      <w:tr w:rsidR="00B009FC" w:rsidRPr="004657EE" w14:paraId="49B40BF2" w14:textId="7DAF69D9" w:rsidTr="00B009FC">
        <w:trPr>
          <w:trHeight w:val="288"/>
          <w:jc w:val="center"/>
        </w:trPr>
        <w:tc>
          <w:tcPr>
            <w:tcW w:w="1050" w:type="dxa"/>
            <w:shd w:val="clear" w:color="auto" w:fill="auto"/>
            <w:noWrap/>
            <w:vAlign w:val="bottom"/>
            <w:hideMark/>
          </w:tcPr>
          <w:p w14:paraId="660CCD6B"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14317DCE" w14:textId="77777777" w:rsidR="00B009FC" w:rsidRPr="004657EE" w:rsidRDefault="00B009FC" w:rsidP="00B009FC">
            <w:pPr>
              <w:pStyle w:val="TableBody"/>
              <w:jc w:val="center"/>
            </w:pPr>
            <w:r w:rsidRPr="004657EE">
              <w:t>7</w:t>
            </w:r>
          </w:p>
        </w:tc>
        <w:tc>
          <w:tcPr>
            <w:tcW w:w="270" w:type="dxa"/>
            <w:tcBorders>
              <w:top w:val="nil"/>
              <w:bottom w:val="nil"/>
            </w:tcBorders>
          </w:tcPr>
          <w:p w14:paraId="5F9D68C2" w14:textId="77777777" w:rsidR="00B009FC" w:rsidRPr="004657EE" w:rsidRDefault="00B009FC" w:rsidP="00B009FC">
            <w:pPr>
              <w:pStyle w:val="TableBody"/>
              <w:jc w:val="center"/>
            </w:pPr>
          </w:p>
        </w:tc>
        <w:tc>
          <w:tcPr>
            <w:tcW w:w="1080" w:type="dxa"/>
            <w:vAlign w:val="bottom"/>
          </w:tcPr>
          <w:p w14:paraId="1EE27DAE" w14:textId="41BE03FC" w:rsidR="00B009FC" w:rsidRPr="004657EE" w:rsidRDefault="00B009FC" w:rsidP="00B009FC">
            <w:pPr>
              <w:pStyle w:val="TableBody"/>
              <w:jc w:val="center"/>
            </w:pPr>
            <w:r w:rsidRPr="004657EE">
              <w:t>19</w:t>
            </w:r>
          </w:p>
        </w:tc>
        <w:tc>
          <w:tcPr>
            <w:tcW w:w="1350" w:type="dxa"/>
            <w:vAlign w:val="bottom"/>
          </w:tcPr>
          <w:p w14:paraId="4D7C9A4D" w14:textId="31ABA1E1" w:rsidR="00B009FC" w:rsidRPr="004657EE" w:rsidRDefault="00B009FC" w:rsidP="00B009FC">
            <w:pPr>
              <w:pStyle w:val="TableBody"/>
              <w:jc w:val="center"/>
            </w:pPr>
            <w:r w:rsidRPr="004657EE">
              <w:t>34</w:t>
            </w:r>
          </w:p>
        </w:tc>
      </w:tr>
      <w:tr w:rsidR="00B009FC" w:rsidRPr="004657EE" w14:paraId="2225312E" w14:textId="4038482D" w:rsidTr="00B009FC">
        <w:trPr>
          <w:trHeight w:val="288"/>
          <w:jc w:val="center"/>
        </w:trPr>
        <w:tc>
          <w:tcPr>
            <w:tcW w:w="1050" w:type="dxa"/>
            <w:shd w:val="clear" w:color="auto" w:fill="auto"/>
            <w:noWrap/>
            <w:vAlign w:val="bottom"/>
            <w:hideMark/>
          </w:tcPr>
          <w:p w14:paraId="1B3B2107"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466EC26A" w14:textId="77777777" w:rsidR="00B009FC" w:rsidRPr="004657EE" w:rsidRDefault="00B009FC" w:rsidP="00B009FC">
            <w:pPr>
              <w:pStyle w:val="TableBody"/>
              <w:jc w:val="center"/>
            </w:pPr>
            <w:r w:rsidRPr="004657EE">
              <w:t>8</w:t>
            </w:r>
          </w:p>
        </w:tc>
        <w:tc>
          <w:tcPr>
            <w:tcW w:w="270" w:type="dxa"/>
            <w:tcBorders>
              <w:top w:val="nil"/>
              <w:bottom w:val="nil"/>
            </w:tcBorders>
          </w:tcPr>
          <w:p w14:paraId="15581AF8" w14:textId="77777777" w:rsidR="00B009FC" w:rsidRPr="004657EE" w:rsidRDefault="00B009FC" w:rsidP="00B009FC">
            <w:pPr>
              <w:pStyle w:val="TableBody"/>
              <w:jc w:val="center"/>
            </w:pPr>
          </w:p>
        </w:tc>
        <w:tc>
          <w:tcPr>
            <w:tcW w:w="1080" w:type="dxa"/>
            <w:vAlign w:val="bottom"/>
          </w:tcPr>
          <w:p w14:paraId="748A2FEA" w14:textId="206E0B95" w:rsidR="00B009FC" w:rsidRPr="004657EE" w:rsidRDefault="00B009FC" w:rsidP="00B009FC">
            <w:pPr>
              <w:pStyle w:val="TableBody"/>
              <w:jc w:val="center"/>
            </w:pPr>
            <w:r w:rsidRPr="004657EE">
              <w:t>20</w:t>
            </w:r>
          </w:p>
        </w:tc>
        <w:tc>
          <w:tcPr>
            <w:tcW w:w="1350" w:type="dxa"/>
            <w:vAlign w:val="bottom"/>
          </w:tcPr>
          <w:p w14:paraId="4A35B5C5" w14:textId="38BF1A9C" w:rsidR="00B009FC" w:rsidRPr="004657EE" w:rsidRDefault="00B009FC" w:rsidP="00B009FC">
            <w:pPr>
              <w:pStyle w:val="TableBody"/>
              <w:jc w:val="center"/>
            </w:pPr>
            <w:r w:rsidRPr="004657EE">
              <w:t>34</w:t>
            </w:r>
          </w:p>
        </w:tc>
      </w:tr>
      <w:tr w:rsidR="00B009FC" w:rsidRPr="004657EE" w14:paraId="27263559" w14:textId="098B3517" w:rsidTr="00B009FC">
        <w:trPr>
          <w:trHeight w:val="288"/>
          <w:jc w:val="center"/>
        </w:trPr>
        <w:tc>
          <w:tcPr>
            <w:tcW w:w="1050" w:type="dxa"/>
            <w:shd w:val="clear" w:color="auto" w:fill="auto"/>
            <w:noWrap/>
            <w:vAlign w:val="bottom"/>
            <w:hideMark/>
          </w:tcPr>
          <w:p w14:paraId="07DC6EEE" w14:textId="77777777" w:rsidR="00B009FC" w:rsidRPr="004657EE" w:rsidRDefault="00B009FC" w:rsidP="00B009FC">
            <w:pPr>
              <w:pStyle w:val="TableBody"/>
              <w:jc w:val="center"/>
            </w:pPr>
            <w:r w:rsidRPr="004657EE">
              <w:t>2</w:t>
            </w:r>
          </w:p>
        </w:tc>
        <w:tc>
          <w:tcPr>
            <w:tcW w:w="1290" w:type="dxa"/>
            <w:shd w:val="clear" w:color="auto" w:fill="auto"/>
            <w:noWrap/>
            <w:vAlign w:val="bottom"/>
            <w:hideMark/>
          </w:tcPr>
          <w:p w14:paraId="2E98634C" w14:textId="77777777" w:rsidR="00B009FC" w:rsidRPr="004657EE" w:rsidRDefault="00B009FC" w:rsidP="00B009FC">
            <w:pPr>
              <w:pStyle w:val="TableBody"/>
              <w:jc w:val="center"/>
            </w:pPr>
            <w:r w:rsidRPr="004657EE">
              <w:t>9</w:t>
            </w:r>
          </w:p>
        </w:tc>
        <w:tc>
          <w:tcPr>
            <w:tcW w:w="270" w:type="dxa"/>
            <w:tcBorders>
              <w:top w:val="nil"/>
              <w:bottom w:val="nil"/>
            </w:tcBorders>
          </w:tcPr>
          <w:p w14:paraId="1630086E" w14:textId="77777777" w:rsidR="00B009FC" w:rsidRPr="004657EE" w:rsidRDefault="00B009FC" w:rsidP="00B009FC">
            <w:pPr>
              <w:pStyle w:val="TableBody"/>
              <w:jc w:val="center"/>
            </w:pPr>
          </w:p>
        </w:tc>
        <w:tc>
          <w:tcPr>
            <w:tcW w:w="1080" w:type="dxa"/>
            <w:vAlign w:val="bottom"/>
          </w:tcPr>
          <w:p w14:paraId="33238A4C" w14:textId="166CB774" w:rsidR="00B009FC" w:rsidRPr="004657EE" w:rsidRDefault="00B009FC" w:rsidP="00B009FC">
            <w:pPr>
              <w:pStyle w:val="TableBody"/>
              <w:jc w:val="center"/>
            </w:pPr>
            <w:r w:rsidRPr="004657EE">
              <w:t>21</w:t>
            </w:r>
          </w:p>
        </w:tc>
        <w:tc>
          <w:tcPr>
            <w:tcW w:w="1350" w:type="dxa"/>
            <w:vAlign w:val="bottom"/>
          </w:tcPr>
          <w:p w14:paraId="3C8063C2" w14:textId="63C69C61" w:rsidR="00B009FC" w:rsidRPr="004657EE" w:rsidRDefault="00B009FC" w:rsidP="00B009FC">
            <w:pPr>
              <w:pStyle w:val="TableBody"/>
              <w:jc w:val="center"/>
            </w:pPr>
            <w:r w:rsidRPr="004657EE">
              <w:t>35</w:t>
            </w:r>
          </w:p>
        </w:tc>
      </w:tr>
      <w:tr w:rsidR="00B009FC" w:rsidRPr="004657EE" w14:paraId="3942DC5B" w14:textId="247FF05B" w:rsidTr="00B009FC">
        <w:trPr>
          <w:trHeight w:val="288"/>
          <w:jc w:val="center"/>
        </w:trPr>
        <w:tc>
          <w:tcPr>
            <w:tcW w:w="1050" w:type="dxa"/>
            <w:shd w:val="clear" w:color="auto" w:fill="auto"/>
            <w:noWrap/>
            <w:vAlign w:val="bottom"/>
            <w:hideMark/>
          </w:tcPr>
          <w:p w14:paraId="7FD96FE5" w14:textId="77777777" w:rsidR="00B009FC" w:rsidRPr="004657EE" w:rsidRDefault="00B009FC" w:rsidP="00B009FC">
            <w:pPr>
              <w:pStyle w:val="TableBody"/>
              <w:jc w:val="center"/>
            </w:pPr>
            <w:r w:rsidRPr="004657EE">
              <w:t>2</w:t>
            </w:r>
          </w:p>
        </w:tc>
        <w:tc>
          <w:tcPr>
            <w:tcW w:w="1290" w:type="dxa"/>
            <w:shd w:val="clear" w:color="auto" w:fill="auto"/>
            <w:noWrap/>
            <w:vAlign w:val="bottom"/>
            <w:hideMark/>
          </w:tcPr>
          <w:p w14:paraId="53A698DB" w14:textId="77777777" w:rsidR="00B009FC" w:rsidRPr="004657EE" w:rsidRDefault="00B009FC" w:rsidP="00B009FC">
            <w:pPr>
              <w:pStyle w:val="TableBody"/>
              <w:jc w:val="center"/>
            </w:pPr>
            <w:r w:rsidRPr="004657EE">
              <w:t>10</w:t>
            </w:r>
          </w:p>
        </w:tc>
        <w:tc>
          <w:tcPr>
            <w:tcW w:w="270" w:type="dxa"/>
            <w:tcBorders>
              <w:top w:val="nil"/>
              <w:bottom w:val="nil"/>
            </w:tcBorders>
          </w:tcPr>
          <w:p w14:paraId="24BA2511" w14:textId="77777777" w:rsidR="00B009FC" w:rsidRPr="004657EE" w:rsidRDefault="00B009FC" w:rsidP="00B009FC">
            <w:pPr>
              <w:pStyle w:val="TableBody"/>
              <w:jc w:val="center"/>
            </w:pPr>
          </w:p>
        </w:tc>
        <w:tc>
          <w:tcPr>
            <w:tcW w:w="1080" w:type="dxa"/>
            <w:vAlign w:val="bottom"/>
          </w:tcPr>
          <w:p w14:paraId="65451623" w14:textId="556A1AC4" w:rsidR="00B009FC" w:rsidRPr="004657EE" w:rsidRDefault="00B009FC" w:rsidP="00B009FC">
            <w:pPr>
              <w:pStyle w:val="TableBody"/>
              <w:jc w:val="center"/>
            </w:pPr>
            <w:r w:rsidRPr="004657EE">
              <w:t>22</w:t>
            </w:r>
          </w:p>
        </w:tc>
        <w:tc>
          <w:tcPr>
            <w:tcW w:w="1350" w:type="dxa"/>
            <w:vAlign w:val="bottom"/>
          </w:tcPr>
          <w:p w14:paraId="5B349598" w14:textId="6291AFC3" w:rsidR="00B009FC" w:rsidRPr="004657EE" w:rsidRDefault="00B009FC" w:rsidP="00B009FC">
            <w:pPr>
              <w:pStyle w:val="TableBody"/>
              <w:jc w:val="center"/>
            </w:pPr>
            <w:r w:rsidRPr="004657EE">
              <w:t>36</w:t>
            </w:r>
          </w:p>
        </w:tc>
      </w:tr>
      <w:tr w:rsidR="00B009FC" w:rsidRPr="004657EE" w14:paraId="352FE989" w14:textId="0B5BCD73" w:rsidTr="00B009FC">
        <w:trPr>
          <w:trHeight w:val="288"/>
          <w:jc w:val="center"/>
        </w:trPr>
        <w:tc>
          <w:tcPr>
            <w:tcW w:w="1050" w:type="dxa"/>
            <w:shd w:val="clear" w:color="auto" w:fill="auto"/>
            <w:noWrap/>
            <w:vAlign w:val="bottom"/>
            <w:hideMark/>
          </w:tcPr>
          <w:p w14:paraId="550C5DE2" w14:textId="77777777" w:rsidR="00B009FC" w:rsidRPr="004657EE" w:rsidRDefault="00B009FC" w:rsidP="00B009FC">
            <w:pPr>
              <w:pStyle w:val="TableBody"/>
              <w:jc w:val="center"/>
            </w:pPr>
            <w:r w:rsidRPr="004657EE">
              <w:t>2</w:t>
            </w:r>
          </w:p>
        </w:tc>
        <w:tc>
          <w:tcPr>
            <w:tcW w:w="1290" w:type="dxa"/>
            <w:shd w:val="clear" w:color="auto" w:fill="auto"/>
            <w:noWrap/>
            <w:vAlign w:val="bottom"/>
            <w:hideMark/>
          </w:tcPr>
          <w:p w14:paraId="567A843D" w14:textId="77777777" w:rsidR="00B009FC" w:rsidRPr="004657EE" w:rsidRDefault="00B009FC" w:rsidP="00B009FC">
            <w:pPr>
              <w:pStyle w:val="TableBody"/>
              <w:jc w:val="center"/>
            </w:pPr>
            <w:r w:rsidRPr="004657EE">
              <w:t>11</w:t>
            </w:r>
          </w:p>
        </w:tc>
        <w:tc>
          <w:tcPr>
            <w:tcW w:w="270" w:type="dxa"/>
            <w:tcBorders>
              <w:top w:val="nil"/>
              <w:bottom w:val="nil"/>
            </w:tcBorders>
          </w:tcPr>
          <w:p w14:paraId="141CAA57" w14:textId="77777777" w:rsidR="00B009FC" w:rsidRPr="004657EE" w:rsidRDefault="00B009FC" w:rsidP="00B009FC">
            <w:pPr>
              <w:pStyle w:val="TableBody"/>
              <w:jc w:val="center"/>
            </w:pPr>
          </w:p>
        </w:tc>
        <w:tc>
          <w:tcPr>
            <w:tcW w:w="1080" w:type="dxa"/>
            <w:vAlign w:val="bottom"/>
          </w:tcPr>
          <w:p w14:paraId="12E2E7AB" w14:textId="0A10AE86" w:rsidR="00B009FC" w:rsidRPr="004657EE" w:rsidRDefault="00B009FC" w:rsidP="00B009FC">
            <w:pPr>
              <w:pStyle w:val="TableBody"/>
              <w:jc w:val="center"/>
            </w:pPr>
            <w:r w:rsidRPr="004657EE">
              <w:t>23</w:t>
            </w:r>
          </w:p>
        </w:tc>
        <w:tc>
          <w:tcPr>
            <w:tcW w:w="1350" w:type="dxa"/>
            <w:vAlign w:val="bottom"/>
          </w:tcPr>
          <w:p w14:paraId="5BE57776" w14:textId="3D04069F" w:rsidR="00B009FC" w:rsidRPr="004657EE" w:rsidRDefault="00B009FC" w:rsidP="00B009FC">
            <w:pPr>
              <w:pStyle w:val="TableBody"/>
              <w:jc w:val="center"/>
            </w:pPr>
            <w:r w:rsidRPr="004657EE">
              <w:t>36</w:t>
            </w:r>
          </w:p>
        </w:tc>
      </w:tr>
      <w:tr w:rsidR="00B009FC" w:rsidRPr="004657EE" w14:paraId="567D8EB0" w14:textId="0D24DD09" w:rsidTr="00B009FC">
        <w:trPr>
          <w:trHeight w:val="336"/>
          <w:jc w:val="center"/>
        </w:trPr>
        <w:tc>
          <w:tcPr>
            <w:tcW w:w="1050" w:type="dxa"/>
            <w:shd w:val="clear" w:color="auto" w:fill="auto"/>
            <w:noWrap/>
            <w:vAlign w:val="bottom"/>
            <w:hideMark/>
          </w:tcPr>
          <w:p w14:paraId="0A1EEA4A" w14:textId="77777777" w:rsidR="00B009FC" w:rsidRPr="004657EE" w:rsidRDefault="00B009FC" w:rsidP="00B009FC">
            <w:pPr>
              <w:pStyle w:val="TableBody"/>
              <w:jc w:val="center"/>
            </w:pPr>
            <w:r w:rsidRPr="004657EE">
              <w:t>2</w:t>
            </w:r>
          </w:p>
        </w:tc>
        <w:tc>
          <w:tcPr>
            <w:tcW w:w="1290" w:type="dxa"/>
            <w:shd w:val="clear" w:color="auto" w:fill="auto"/>
            <w:noWrap/>
            <w:vAlign w:val="bottom"/>
            <w:hideMark/>
          </w:tcPr>
          <w:p w14:paraId="5F0ED13A" w14:textId="77777777" w:rsidR="00B009FC" w:rsidRPr="004657EE" w:rsidRDefault="00B009FC" w:rsidP="00B009FC">
            <w:pPr>
              <w:pStyle w:val="TableBody"/>
              <w:jc w:val="center"/>
            </w:pPr>
            <w:r w:rsidRPr="004657EE">
              <w:t>12</w:t>
            </w:r>
          </w:p>
        </w:tc>
        <w:tc>
          <w:tcPr>
            <w:tcW w:w="270" w:type="dxa"/>
            <w:tcBorders>
              <w:top w:val="nil"/>
              <w:bottom w:val="nil"/>
            </w:tcBorders>
          </w:tcPr>
          <w:p w14:paraId="0FDCD5E8" w14:textId="77777777" w:rsidR="00B009FC" w:rsidRPr="004657EE" w:rsidRDefault="00B009FC" w:rsidP="00B009FC">
            <w:pPr>
              <w:pStyle w:val="TableBody"/>
              <w:jc w:val="center"/>
            </w:pPr>
          </w:p>
        </w:tc>
        <w:tc>
          <w:tcPr>
            <w:tcW w:w="1080" w:type="dxa"/>
            <w:vAlign w:val="bottom"/>
          </w:tcPr>
          <w:p w14:paraId="5CB4E6FD" w14:textId="5E7EE796" w:rsidR="00B009FC" w:rsidRPr="004657EE" w:rsidRDefault="00B009FC" w:rsidP="00B009FC">
            <w:pPr>
              <w:pStyle w:val="TableBody"/>
              <w:jc w:val="center"/>
            </w:pPr>
            <w:r w:rsidRPr="004657EE">
              <w:t>24</w:t>
            </w:r>
          </w:p>
        </w:tc>
        <w:tc>
          <w:tcPr>
            <w:tcW w:w="1350" w:type="dxa"/>
            <w:vAlign w:val="bottom"/>
          </w:tcPr>
          <w:p w14:paraId="5A405CB6" w14:textId="45875FED" w:rsidR="00B009FC" w:rsidRPr="004657EE" w:rsidRDefault="00B009FC" w:rsidP="00B009FC">
            <w:pPr>
              <w:pStyle w:val="TableBody"/>
              <w:jc w:val="center"/>
            </w:pPr>
            <w:r w:rsidRPr="004657EE">
              <w:t>37</w:t>
            </w:r>
          </w:p>
        </w:tc>
      </w:tr>
      <w:tr w:rsidR="00B009FC" w:rsidRPr="004657EE" w14:paraId="37F8D8CB" w14:textId="7231A607" w:rsidTr="00B009FC">
        <w:trPr>
          <w:trHeight w:val="288"/>
          <w:jc w:val="center"/>
        </w:trPr>
        <w:tc>
          <w:tcPr>
            <w:tcW w:w="1050" w:type="dxa"/>
            <w:shd w:val="clear" w:color="auto" w:fill="auto"/>
            <w:noWrap/>
            <w:vAlign w:val="bottom"/>
            <w:hideMark/>
          </w:tcPr>
          <w:p w14:paraId="29D7D001" w14:textId="77777777" w:rsidR="00B009FC" w:rsidRPr="004657EE" w:rsidRDefault="00B009FC" w:rsidP="00B009FC">
            <w:pPr>
              <w:pStyle w:val="TableBody"/>
              <w:jc w:val="center"/>
            </w:pPr>
            <w:r w:rsidRPr="004657EE">
              <w:t>3</w:t>
            </w:r>
          </w:p>
        </w:tc>
        <w:tc>
          <w:tcPr>
            <w:tcW w:w="1290" w:type="dxa"/>
            <w:shd w:val="clear" w:color="auto" w:fill="auto"/>
            <w:noWrap/>
            <w:vAlign w:val="bottom"/>
            <w:hideMark/>
          </w:tcPr>
          <w:p w14:paraId="57537693" w14:textId="77777777" w:rsidR="00B009FC" w:rsidRPr="004657EE" w:rsidRDefault="00B009FC" w:rsidP="00B009FC">
            <w:pPr>
              <w:pStyle w:val="TableBody"/>
              <w:jc w:val="center"/>
            </w:pPr>
            <w:r w:rsidRPr="004657EE">
              <w:t>13</w:t>
            </w:r>
          </w:p>
        </w:tc>
        <w:tc>
          <w:tcPr>
            <w:tcW w:w="270" w:type="dxa"/>
            <w:tcBorders>
              <w:top w:val="nil"/>
              <w:bottom w:val="nil"/>
            </w:tcBorders>
          </w:tcPr>
          <w:p w14:paraId="71A4C5E7" w14:textId="77777777" w:rsidR="00B009FC" w:rsidRPr="004657EE" w:rsidRDefault="00B009FC" w:rsidP="00B009FC">
            <w:pPr>
              <w:pStyle w:val="TableBody"/>
              <w:jc w:val="center"/>
            </w:pPr>
          </w:p>
        </w:tc>
        <w:tc>
          <w:tcPr>
            <w:tcW w:w="1080" w:type="dxa"/>
            <w:vAlign w:val="bottom"/>
          </w:tcPr>
          <w:p w14:paraId="7C484C08" w14:textId="7577D94B" w:rsidR="00B009FC" w:rsidRPr="004657EE" w:rsidRDefault="00B009FC" w:rsidP="00B009FC">
            <w:pPr>
              <w:pStyle w:val="TableBody"/>
              <w:jc w:val="center"/>
            </w:pPr>
            <w:r w:rsidRPr="004657EE">
              <w:t>25</w:t>
            </w:r>
          </w:p>
        </w:tc>
        <w:tc>
          <w:tcPr>
            <w:tcW w:w="1350" w:type="dxa"/>
            <w:vAlign w:val="bottom"/>
          </w:tcPr>
          <w:p w14:paraId="75BB5AAB" w14:textId="11D7F60E" w:rsidR="00B009FC" w:rsidRPr="004657EE" w:rsidRDefault="00B009FC" w:rsidP="00B009FC">
            <w:pPr>
              <w:pStyle w:val="TableBody"/>
              <w:jc w:val="center"/>
            </w:pPr>
            <w:r w:rsidRPr="004657EE">
              <w:t>37</w:t>
            </w:r>
          </w:p>
        </w:tc>
      </w:tr>
      <w:tr w:rsidR="00B009FC" w:rsidRPr="004657EE" w14:paraId="30323CF5" w14:textId="2F924357" w:rsidTr="00B009FC">
        <w:trPr>
          <w:trHeight w:val="288"/>
          <w:jc w:val="center"/>
        </w:trPr>
        <w:tc>
          <w:tcPr>
            <w:tcW w:w="1050" w:type="dxa"/>
            <w:shd w:val="clear" w:color="auto" w:fill="auto"/>
            <w:noWrap/>
            <w:vAlign w:val="bottom"/>
            <w:hideMark/>
          </w:tcPr>
          <w:p w14:paraId="60A1B318" w14:textId="77777777" w:rsidR="00B009FC" w:rsidRPr="004657EE" w:rsidRDefault="00B009FC" w:rsidP="00B009FC">
            <w:pPr>
              <w:pStyle w:val="TableBody"/>
              <w:jc w:val="center"/>
            </w:pPr>
            <w:r w:rsidRPr="004657EE">
              <w:t>3</w:t>
            </w:r>
          </w:p>
        </w:tc>
        <w:tc>
          <w:tcPr>
            <w:tcW w:w="1290" w:type="dxa"/>
            <w:shd w:val="clear" w:color="auto" w:fill="auto"/>
            <w:noWrap/>
            <w:vAlign w:val="bottom"/>
            <w:hideMark/>
          </w:tcPr>
          <w:p w14:paraId="36608745" w14:textId="77777777" w:rsidR="00B009FC" w:rsidRPr="004657EE" w:rsidRDefault="00B009FC" w:rsidP="00B009FC">
            <w:pPr>
              <w:pStyle w:val="TableBody"/>
              <w:jc w:val="center"/>
            </w:pPr>
            <w:r w:rsidRPr="004657EE">
              <w:t>14</w:t>
            </w:r>
          </w:p>
        </w:tc>
        <w:tc>
          <w:tcPr>
            <w:tcW w:w="270" w:type="dxa"/>
            <w:tcBorders>
              <w:top w:val="nil"/>
              <w:bottom w:val="nil"/>
            </w:tcBorders>
          </w:tcPr>
          <w:p w14:paraId="64D2EA57" w14:textId="77777777" w:rsidR="00B009FC" w:rsidRPr="004657EE" w:rsidRDefault="00B009FC" w:rsidP="00B009FC">
            <w:pPr>
              <w:pStyle w:val="TableBody"/>
              <w:jc w:val="center"/>
            </w:pPr>
          </w:p>
        </w:tc>
        <w:tc>
          <w:tcPr>
            <w:tcW w:w="1080" w:type="dxa"/>
            <w:vAlign w:val="bottom"/>
          </w:tcPr>
          <w:p w14:paraId="348B6CD5" w14:textId="25072877" w:rsidR="00B009FC" w:rsidRPr="004657EE" w:rsidRDefault="00B009FC" w:rsidP="00B009FC">
            <w:pPr>
              <w:pStyle w:val="TableBody"/>
              <w:jc w:val="center"/>
            </w:pPr>
            <w:r w:rsidRPr="004657EE">
              <w:t>26</w:t>
            </w:r>
          </w:p>
        </w:tc>
        <w:tc>
          <w:tcPr>
            <w:tcW w:w="1350" w:type="dxa"/>
            <w:vAlign w:val="bottom"/>
          </w:tcPr>
          <w:p w14:paraId="192E25C4" w14:textId="1EA82B9C" w:rsidR="00B009FC" w:rsidRPr="004657EE" w:rsidRDefault="00B009FC" w:rsidP="00B009FC">
            <w:pPr>
              <w:pStyle w:val="TableBody"/>
              <w:jc w:val="center"/>
            </w:pPr>
            <w:r w:rsidRPr="004657EE">
              <w:t>38</w:t>
            </w:r>
          </w:p>
        </w:tc>
      </w:tr>
      <w:tr w:rsidR="00B009FC" w:rsidRPr="004657EE" w14:paraId="745A09F8" w14:textId="1A6B9CC8" w:rsidTr="00B009FC">
        <w:trPr>
          <w:trHeight w:val="288"/>
          <w:jc w:val="center"/>
        </w:trPr>
        <w:tc>
          <w:tcPr>
            <w:tcW w:w="1050" w:type="dxa"/>
            <w:shd w:val="clear" w:color="auto" w:fill="auto"/>
            <w:noWrap/>
            <w:vAlign w:val="bottom"/>
            <w:hideMark/>
          </w:tcPr>
          <w:p w14:paraId="12594325" w14:textId="77777777" w:rsidR="00B009FC" w:rsidRPr="004657EE" w:rsidRDefault="00B009FC" w:rsidP="00B009FC">
            <w:pPr>
              <w:pStyle w:val="TableBody"/>
              <w:jc w:val="center"/>
            </w:pPr>
            <w:r w:rsidRPr="004657EE">
              <w:t>3</w:t>
            </w:r>
          </w:p>
        </w:tc>
        <w:tc>
          <w:tcPr>
            <w:tcW w:w="1290" w:type="dxa"/>
            <w:shd w:val="clear" w:color="auto" w:fill="auto"/>
            <w:noWrap/>
            <w:vAlign w:val="bottom"/>
            <w:hideMark/>
          </w:tcPr>
          <w:p w14:paraId="0571A881" w14:textId="77777777" w:rsidR="00B009FC" w:rsidRPr="004657EE" w:rsidRDefault="00B009FC" w:rsidP="00B009FC">
            <w:pPr>
              <w:pStyle w:val="TableBody"/>
              <w:jc w:val="center"/>
            </w:pPr>
            <w:r w:rsidRPr="004657EE">
              <w:t>15</w:t>
            </w:r>
          </w:p>
        </w:tc>
        <w:tc>
          <w:tcPr>
            <w:tcW w:w="270" w:type="dxa"/>
            <w:tcBorders>
              <w:top w:val="nil"/>
              <w:bottom w:val="nil"/>
            </w:tcBorders>
          </w:tcPr>
          <w:p w14:paraId="41B87668" w14:textId="77777777" w:rsidR="00B009FC" w:rsidRPr="004657EE" w:rsidRDefault="00B009FC" w:rsidP="00B009FC">
            <w:pPr>
              <w:pStyle w:val="TableBody"/>
              <w:jc w:val="center"/>
            </w:pPr>
          </w:p>
        </w:tc>
        <w:tc>
          <w:tcPr>
            <w:tcW w:w="1080" w:type="dxa"/>
            <w:vAlign w:val="bottom"/>
          </w:tcPr>
          <w:p w14:paraId="6299E0B9" w14:textId="349DB300" w:rsidR="00B009FC" w:rsidRPr="004657EE" w:rsidRDefault="00B009FC" w:rsidP="00B009FC">
            <w:pPr>
              <w:pStyle w:val="TableBody"/>
              <w:jc w:val="center"/>
            </w:pPr>
            <w:r w:rsidRPr="004657EE">
              <w:t>27</w:t>
            </w:r>
          </w:p>
        </w:tc>
        <w:tc>
          <w:tcPr>
            <w:tcW w:w="1350" w:type="dxa"/>
            <w:vAlign w:val="bottom"/>
          </w:tcPr>
          <w:p w14:paraId="2D6A708F" w14:textId="20E8CABD" w:rsidR="00B009FC" w:rsidRPr="004657EE" w:rsidRDefault="00B009FC" w:rsidP="00B009FC">
            <w:pPr>
              <w:pStyle w:val="TableBody"/>
              <w:jc w:val="center"/>
            </w:pPr>
            <w:r w:rsidRPr="004657EE">
              <w:t>38</w:t>
            </w:r>
          </w:p>
        </w:tc>
      </w:tr>
      <w:tr w:rsidR="00B009FC" w:rsidRPr="004657EE" w14:paraId="6C14C3EF" w14:textId="676CF7DC" w:rsidTr="00B009FC">
        <w:trPr>
          <w:trHeight w:val="288"/>
          <w:jc w:val="center"/>
        </w:trPr>
        <w:tc>
          <w:tcPr>
            <w:tcW w:w="1050" w:type="dxa"/>
            <w:shd w:val="clear" w:color="auto" w:fill="auto"/>
            <w:noWrap/>
            <w:vAlign w:val="bottom"/>
            <w:hideMark/>
          </w:tcPr>
          <w:p w14:paraId="3D3D5645" w14:textId="77777777" w:rsidR="00B009FC" w:rsidRPr="004657EE" w:rsidRDefault="00B009FC" w:rsidP="00B009FC">
            <w:pPr>
              <w:pStyle w:val="TableBody"/>
              <w:jc w:val="center"/>
            </w:pPr>
            <w:r w:rsidRPr="004657EE">
              <w:t>4</w:t>
            </w:r>
          </w:p>
        </w:tc>
        <w:tc>
          <w:tcPr>
            <w:tcW w:w="1290" w:type="dxa"/>
            <w:shd w:val="clear" w:color="auto" w:fill="auto"/>
            <w:noWrap/>
            <w:vAlign w:val="bottom"/>
            <w:hideMark/>
          </w:tcPr>
          <w:p w14:paraId="7523738C" w14:textId="77777777" w:rsidR="00B009FC" w:rsidRPr="004657EE" w:rsidRDefault="00B009FC" w:rsidP="00B009FC">
            <w:pPr>
              <w:pStyle w:val="TableBody"/>
              <w:jc w:val="center"/>
            </w:pPr>
            <w:r w:rsidRPr="004657EE">
              <w:t>16</w:t>
            </w:r>
          </w:p>
        </w:tc>
        <w:tc>
          <w:tcPr>
            <w:tcW w:w="270" w:type="dxa"/>
            <w:tcBorders>
              <w:top w:val="nil"/>
              <w:bottom w:val="nil"/>
            </w:tcBorders>
          </w:tcPr>
          <w:p w14:paraId="7D8CD976" w14:textId="77777777" w:rsidR="00B009FC" w:rsidRPr="004657EE" w:rsidRDefault="00B009FC" w:rsidP="00B009FC">
            <w:pPr>
              <w:pStyle w:val="TableBody"/>
              <w:jc w:val="center"/>
            </w:pPr>
          </w:p>
        </w:tc>
        <w:tc>
          <w:tcPr>
            <w:tcW w:w="1080" w:type="dxa"/>
            <w:vAlign w:val="bottom"/>
          </w:tcPr>
          <w:p w14:paraId="25F6CC34" w14:textId="1DB66FEE" w:rsidR="00B009FC" w:rsidRPr="004657EE" w:rsidRDefault="00B009FC" w:rsidP="00B009FC">
            <w:pPr>
              <w:pStyle w:val="TableBody"/>
              <w:jc w:val="center"/>
            </w:pPr>
            <w:r w:rsidRPr="004657EE">
              <w:t>28</w:t>
            </w:r>
          </w:p>
        </w:tc>
        <w:tc>
          <w:tcPr>
            <w:tcW w:w="1350" w:type="dxa"/>
            <w:vAlign w:val="bottom"/>
          </w:tcPr>
          <w:p w14:paraId="5A6DB1ED" w14:textId="7AF0CAEF" w:rsidR="00B009FC" w:rsidRPr="004657EE" w:rsidRDefault="00B009FC" w:rsidP="00B009FC">
            <w:pPr>
              <w:pStyle w:val="TableBody"/>
              <w:jc w:val="center"/>
            </w:pPr>
            <w:r w:rsidRPr="004657EE">
              <w:t>38</w:t>
            </w:r>
          </w:p>
        </w:tc>
      </w:tr>
      <w:tr w:rsidR="00B009FC" w:rsidRPr="004657EE" w14:paraId="2FD83AEE" w14:textId="3D4FA65E" w:rsidTr="00B009FC">
        <w:trPr>
          <w:trHeight w:val="288"/>
          <w:jc w:val="center"/>
        </w:trPr>
        <w:tc>
          <w:tcPr>
            <w:tcW w:w="1050" w:type="dxa"/>
            <w:shd w:val="clear" w:color="auto" w:fill="auto"/>
            <w:noWrap/>
            <w:vAlign w:val="bottom"/>
            <w:hideMark/>
          </w:tcPr>
          <w:p w14:paraId="73AD8E40" w14:textId="77777777" w:rsidR="00B009FC" w:rsidRPr="004657EE" w:rsidRDefault="00B009FC" w:rsidP="00B009FC">
            <w:pPr>
              <w:pStyle w:val="TableBody"/>
              <w:jc w:val="center"/>
            </w:pPr>
            <w:r w:rsidRPr="004657EE">
              <w:t>4</w:t>
            </w:r>
          </w:p>
        </w:tc>
        <w:tc>
          <w:tcPr>
            <w:tcW w:w="1290" w:type="dxa"/>
            <w:shd w:val="clear" w:color="auto" w:fill="auto"/>
            <w:noWrap/>
            <w:vAlign w:val="bottom"/>
            <w:hideMark/>
          </w:tcPr>
          <w:p w14:paraId="643712C7" w14:textId="77777777" w:rsidR="00B009FC" w:rsidRPr="004657EE" w:rsidRDefault="00B009FC" w:rsidP="00B009FC">
            <w:pPr>
              <w:pStyle w:val="TableBody"/>
              <w:jc w:val="center"/>
            </w:pPr>
            <w:r w:rsidRPr="004657EE">
              <w:t>17</w:t>
            </w:r>
          </w:p>
        </w:tc>
        <w:tc>
          <w:tcPr>
            <w:tcW w:w="270" w:type="dxa"/>
            <w:tcBorders>
              <w:top w:val="nil"/>
              <w:bottom w:val="nil"/>
            </w:tcBorders>
          </w:tcPr>
          <w:p w14:paraId="76C17D53" w14:textId="77777777" w:rsidR="00B009FC" w:rsidRPr="004657EE" w:rsidRDefault="00B009FC" w:rsidP="00B009FC">
            <w:pPr>
              <w:pStyle w:val="TableBody"/>
              <w:jc w:val="center"/>
            </w:pPr>
          </w:p>
        </w:tc>
        <w:tc>
          <w:tcPr>
            <w:tcW w:w="1080" w:type="dxa"/>
            <w:vAlign w:val="bottom"/>
          </w:tcPr>
          <w:p w14:paraId="35B981C4" w14:textId="02A62BFD" w:rsidR="00B009FC" w:rsidRPr="004657EE" w:rsidRDefault="00B009FC" w:rsidP="00B009FC">
            <w:pPr>
              <w:pStyle w:val="TableBody"/>
              <w:jc w:val="center"/>
            </w:pPr>
            <w:r w:rsidRPr="004657EE">
              <w:t>29</w:t>
            </w:r>
          </w:p>
        </w:tc>
        <w:tc>
          <w:tcPr>
            <w:tcW w:w="1350" w:type="dxa"/>
            <w:vAlign w:val="bottom"/>
          </w:tcPr>
          <w:p w14:paraId="33AE32C0" w14:textId="3BF23172" w:rsidR="00B009FC" w:rsidRPr="004657EE" w:rsidRDefault="00B009FC" w:rsidP="00B009FC">
            <w:pPr>
              <w:pStyle w:val="TableBody"/>
              <w:jc w:val="center"/>
            </w:pPr>
            <w:r w:rsidRPr="004657EE">
              <w:t>39</w:t>
            </w:r>
          </w:p>
        </w:tc>
      </w:tr>
      <w:tr w:rsidR="00B009FC" w:rsidRPr="004657EE" w14:paraId="38CAE73E" w14:textId="3CDDB7FB" w:rsidTr="00B009FC">
        <w:trPr>
          <w:trHeight w:val="288"/>
          <w:jc w:val="center"/>
        </w:trPr>
        <w:tc>
          <w:tcPr>
            <w:tcW w:w="1050" w:type="dxa"/>
            <w:shd w:val="clear" w:color="auto" w:fill="auto"/>
            <w:noWrap/>
            <w:vAlign w:val="bottom"/>
            <w:hideMark/>
          </w:tcPr>
          <w:p w14:paraId="15597FC0" w14:textId="77777777" w:rsidR="00B009FC" w:rsidRPr="004657EE" w:rsidRDefault="00B009FC" w:rsidP="00B009FC">
            <w:pPr>
              <w:pStyle w:val="TableBody"/>
              <w:jc w:val="center"/>
            </w:pPr>
            <w:r w:rsidRPr="004657EE">
              <w:t>5</w:t>
            </w:r>
          </w:p>
        </w:tc>
        <w:tc>
          <w:tcPr>
            <w:tcW w:w="1290" w:type="dxa"/>
            <w:shd w:val="clear" w:color="auto" w:fill="auto"/>
            <w:noWrap/>
            <w:vAlign w:val="bottom"/>
            <w:hideMark/>
          </w:tcPr>
          <w:p w14:paraId="2586A093" w14:textId="77777777" w:rsidR="00B009FC" w:rsidRPr="004657EE" w:rsidRDefault="00B009FC" w:rsidP="00B009FC">
            <w:pPr>
              <w:pStyle w:val="TableBody"/>
              <w:jc w:val="center"/>
            </w:pPr>
            <w:r w:rsidRPr="004657EE">
              <w:t>18</w:t>
            </w:r>
          </w:p>
        </w:tc>
        <w:tc>
          <w:tcPr>
            <w:tcW w:w="270" w:type="dxa"/>
            <w:tcBorders>
              <w:top w:val="nil"/>
              <w:bottom w:val="nil"/>
            </w:tcBorders>
          </w:tcPr>
          <w:p w14:paraId="1320F5E9" w14:textId="77777777" w:rsidR="00B009FC" w:rsidRPr="004657EE" w:rsidRDefault="00B009FC" w:rsidP="00B009FC">
            <w:pPr>
              <w:pStyle w:val="TableBody"/>
              <w:jc w:val="center"/>
            </w:pPr>
          </w:p>
        </w:tc>
        <w:tc>
          <w:tcPr>
            <w:tcW w:w="1080" w:type="dxa"/>
            <w:vAlign w:val="bottom"/>
          </w:tcPr>
          <w:p w14:paraId="1FC9F527" w14:textId="555FC685" w:rsidR="00B009FC" w:rsidRPr="004657EE" w:rsidRDefault="00B009FC" w:rsidP="00B009FC">
            <w:pPr>
              <w:pStyle w:val="TableBody"/>
              <w:jc w:val="center"/>
            </w:pPr>
            <w:r w:rsidRPr="004657EE">
              <w:t>30</w:t>
            </w:r>
          </w:p>
        </w:tc>
        <w:tc>
          <w:tcPr>
            <w:tcW w:w="1350" w:type="dxa"/>
            <w:vAlign w:val="bottom"/>
          </w:tcPr>
          <w:p w14:paraId="20E7F5EC" w14:textId="564FC092" w:rsidR="00B009FC" w:rsidRPr="004657EE" w:rsidRDefault="00B009FC" w:rsidP="00B009FC">
            <w:pPr>
              <w:pStyle w:val="TableBody"/>
              <w:jc w:val="center"/>
            </w:pPr>
            <w:r w:rsidRPr="004657EE">
              <w:t>39</w:t>
            </w:r>
          </w:p>
        </w:tc>
      </w:tr>
      <w:tr w:rsidR="00B009FC" w:rsidRPr="004657EE" w14:paraId="00C5FB75" w14:textId="7DD21B20" w:rsidTr="00B009FC">
        <w:trPr>
          <w:trHeight w:val="288"/>
          <w:jc w:val="center"/>
        </w:trPr>
        <w:tc>
          <w:tcPr>
            <w:tcW w:w="1050" w:type="dxa"/>
            <w:shd w:val="clear" w:color="auto" w:fill="auto"/>
            <w:noWrap/>
            <w:vAlign w:val="bottom"/>
            <w:hideMark/>
          </w:tcPr>
          <w:p w14:paraId="5B160612" w14:textId="77777777" w:rsidR="00B009FC" w:rsidRPr="004657EE" w:rsidRDefault="00B009FC" w:rsidP="00B009FC">
            <w:pPr>
              <w:pStyle w:val="TableBody"/>
              <w:jc w:val="center"/>
            </w:pPr>
            <w:r w:rsidRPr="004657EE">
              <w:t>5</w:t>
            </w:r>
          </w:p>
        </w:tc>
        <w:tc>
          <w:tcPr>
            <w:tcW w:w="1290" w:type="dxa"/>
            <w:shd w:val="clear" w:color="auto" w:fill="auto"/>
            <w:noWrap/>
            <w:vAlign w:val="bottom"/>
            <w:hideMark/>
          </w:tcPr>
          <w:p w14:paraId="76F3C47E" w14:textId="77777777" w:rsidR="00B009FC" w:rsidRPr="004657EE" w:rsidRDefault="00B009FC" w:rsidP="00B009FC">
            <w:pPr>
              <w:pStyle w:val="TableBody"/>
              <w:jc w:val="center"/>
            </w:pPr>
            <w:r w:rsidRPr="004657EE">
              <w:t>19</w:t>
            </w:r>
          </w:p>
        </w:tc>
        <w:tc>
          <w:tcPr>
            <w:tcW w:w="270" w:type="dxa"/>
            <w:tcBorders>
              <w:top w:val="nil"/>
              <w:bottom w:val="nil"/>
            </w:tcBorders>
          </w:tcPr>
          <w:p w14:paraId="338D232C" w14:textId="77777777" w:rsidR="00B009FC" w:rsidRPr="004657EE" w:rsidRDefault="00B009FC" w:rsidP="00B009FC">
            <w:pPr>
              <w:pStyle w:val="TableBody"/>
              <w:jc w:val="center"/>
            </w:pPr>
          </w:p>
        </w:tc>
        <w:tc>
          <w:tcPr>
            <w:tcW w:w="1080" w:type="dxa"/>
            <w:vAlign w:val="bottom"/>
          </w:tcPr>
          <w:p w14:paraId="0F2C82A1" w14:textId="4C9B7C3A" w:rsidR="00B009FC" w:rsidRPr="004657EE" w:rsidRDefault="00B009FC" w:rsidP="00B009FC">
            <w:pPr>
              <w:pStyle w:val="TableBody"/>
              <w:jc w:val="center"/>
            </w:pPr>
            <w:r w:rsidRPr="004657EE">
              <w:t>31</w:t>
            </w:r>
          </w:p>
        </w:tc>
        <w:tc>
          <w:tcPr>
            <w:tcW w:w="1350" w:type="dxa"/>
            <w:vAlign w:val="bottom"/>
          </w:tcPr>
          <w:p w14:paraId="006783E7" w14:textId="03F99916" w:rsidR="00B009FC" w:rsidRPr="004657EE" w:rsidRDefault="00B009FC" w:rsidP="00B009FC">
            <w:pPr>
              <w:pStyle w:val="TableBody"/>
              <w:jc w:val="center"/>
            </w:pPr>
            <w:r w:rsidRPr="004657EE">
              <w:t>39</w:t>
            </w:r>
          </w:p>
        </w:tc>
      </w:tr>
      <w:tr w:rsidR="00B009FC" w:rsidRPr="004657EE" w14:paraId="4F04870F" w14:textId="1E3BF057" w:rsidTr="00B009FC">
        <w:trPr>
          <w:trHeight w:val="288"/>
          <w:jc w:val="center"/>
        </w:trPr>
        <w:tc>
          <w:tcPr>
            <w:tcW w:w="1050" w:type="dxa"/>
            <w:shd w:val="clear" w:color="auto" w:fill="auto"/>
            <w:noWrap/>
            <w:vAlign w:val="bottom"/>
            <w:hideMark/>
          </w:tcPr>
          <w:p w14:paraId="464C5759" w14:textId="77777777" w:rsidR="00B009FC" w:rsidRPr="004657EE" w:rsidRDefault="00B009FC" w:rsidP="00B009FC">
            <w:pPr>
              <w:pStyle w:val="TableBody"/>
              <w:jc w:val="center"/>
            </w:pPr>
            <w:r w:rsidRPr="004657EE">
              <w:t>6</w:t>
            </w:r>
          </w:p>
        </w:tc>
        <w:tc>
          <w:tcPr>
            <w:tcW w:w="1290" w:type="dxa"/>
            <w:shd w:val="clear" w:color="auto" w:fill="auto"/>
            <w:noWrap/>
            <w:vAlign w:val="bottom"/>
            <w:hideMark/>
          </w:tcPr>
          <w:p w14:paraId="79BFD2BD" w14:textId="77777777" w:rsidR="00B009FC" w:rsidRPr="004657EE" w:rsidRDefault="00B009FC" w:rsidP="00B009FC">
            <w:pPr>
              <w:pStyle w:val="TableBody"/>
              <w:jc w:val="center"/>
            </w:pPr>
            <w:r w:rsidRPr="004657EE">
              <w:t>20</w:t>
            </w:r>
          </w:p>
        </w:tc>
        <w:tc>
          <w:tcPr>
            <w:tcW w:w="270" w:type="dxa"/>
            <w:tcBorders>
              <w:top w:val="nil"/>
              <w:bottom w:val="nil"/>
            </w:tcBorders>
          </w:tcPr>
          <w:p w14:paraId="1E2872A3" w14:textId="77777777" w:rsidR="00B009FC" w:rsidRPr="004657EE" w:rsidRDefault="00B009FC" w:rsidP="00B009FC">
            <w:pPr>
              <w:pStyle w:val="TableBody"/>
              <w:jc w:val="center"/>
            </w:pPr>
          </w:p>
        </w:tc>
        <w:tc>
          <w:tcPr>
            <w:tcW w:w="1080" w:type="dxa"/>
            <w:vAlign w:val="bottom"/>
          </w:tcPr>
          <w:p w14:paraId="34577CD1" w14:textId="19729692" w:rsidR="00B009FC" w:rsidRPr="004657EE" w:rsidRDefault="00B009FC" w:rsidP="00B009FC">
            <w:pPr>
              <w:pStyle w:val="TableBody"/>
              <w:jc w:val="center"/>
            </w:pPr>
            <w:r w:rsidRPr="004657EE">
              <w:t>32</w:t>
            </w:r>
          </w:p>
        </w:tc>
        <w:tc>
          <w:tcPr>
            <w:tcW w:w="1350" w:type="dxa"/>
            <w:vAlign w:val="bottom"/>
          </w:tcPr>
          <w:p w14:paraId="7C7FEEA7" w14:textId="5C070DA5" w:rsidR="00B009FC" w:rsidRPr="004657EE" w:rsidRDefault="00B009FC" w:rsidP="00B009FC">
            <w:pPr>
              <w:pStyle w:val="TableBody"/>
              <w:jc w:val="center"/>
            </w:pPr>
            <w:r w:rsidRPr="004657EE">
              <w:t>39</w:t>
            </w:r>
          </w:p>
        </w:tc>
      </w:tr>
      <w:tr w:rsidR="00B009FC" w:rsidRPr="004657EE" w14:paraId="6238C90F" w14:textId="52F37BF8" w:rsidTr="00B009FC">
        <w:trPr>
          <w:trHeight w:val="288"/>
          <w:jc w:val="center"/>
        </w:trPr>
        <w:tc>
          <w:tcPr>
            <w:tcW w:w="1050" w:type="dxa"/>
            <w:shd w:val="clear" w:color="auto" w:fill="auto"/>
            <w:noWrap/>
            <w:vAlign w:val="bottom"/>
            <w:hideMark/>
          </w:tcPr>
          <w:p w14:paraId="7BBE2196" w14:textId="77777777" w:rsidR="00B009FC" w:rsidRPr="004657EE" w:rsidRDefault="00B009FC" w:rsidP="00B009FC">
            <w:pPr>
              <w:pStyle w:val="TableBody"/>
              <w:jc w:val="center"/>
            </w:pPr>
            <w:r w:rsidRPr="004657EE">
              <w:t>7</w:t>
            </w:r>
          </w:p>
        </w:tc>
        <w:tc>
          <w:tcPr>
            <w:tcW w:w="1290" w:type="dxa"/>
            <w:shd w:val="clear" w:color="auto" w:fill="auto"/>
            <w:noWrap/>
            <w:vAlign w:val="bottom"/>
            <w:hideMark/>
          </w:tcPr>
          <w:p w14:paraId="481B8136" w14:textId="77777777" w:rsidR="00B009FC" w:rsidRPr="004657EE" w:rsidRDefault="00B009FC" w:rsidP="00B009FC">
            <w:pPr>
              <w:pStyle w:val="TableBody"/>
              <w:jc w:val="center"/>
            </w:pPr>
            <w:r w:rsidRPr="004657EE">
              <w:t>21</w:t>
            </w:r>
          </w:p>
        </w:tc>
        <w:tc>
          <w:tcPr>
            <w:tcW w:w="270" w:type="dxa"/>
            <w:tcBorders>
              <w:top w:val="nil"/>
              <w:bottom w:val="nil"/>
            </w:tcBorders>
          </w:tcPr>
          <w:p w14:paraId="13D0A8A5" w14:textId="77777777" w:rsidR="00B009FC" w:rsidRPr="004657EE" w:rsidRDefault="00B009FC" w:rsidP="00B009FC">
            <w:pPr>
              <w:pStyle w:val="TableBody"/>
              <w:jc w:val="center"/>
            </w:pPr>
          </w:p>
        </w:tc>
        <w:tc>
          <w:tcPr>
            <w:tcW w:w="1080" w:type="dxa"/>
            <w:vAlign w:val="bottom"/>
          </w:tcPr>
          <w:p w14:paraId="38421500" w14:textId="15A34C09" w:rsidR="00B009FC" w:rsidRPr="004657EE" w:rsidRDefault="00B009FC" w:rsidP="00B009FC">
            <w:pPr>
              <w:pStyle w:val="TableBody"/>
              <w:jc w:val="center"/>
            </w:pPr>
            <w:r w:rsidRPr="004657EE">
              <w:t>33</w:t>
            </w:r>
          </w:p>
        </w:tc>
        <w:tc>
          <w:tcPr>
            <w:tcW w:w="1350" w:type="dxa"/>
            <w:vAlign w:val="bottom"/>
          </w:tcPr>
          <w:p w14:paraId="61E7CA4F" w14:textId="34A8A79F" w:rsidR="00B009FC" w:rsidRPr="004657EE" w:rsidRDefault="00B009FC" w:rsidP="00B009FC">
            <w:pPr>
              <w:pStyle w:val="TableBody"/>
              <w:jc w:val="center"/>
            </w:pPr>
            <w:r w:rsidRPr="004657EE">
              <w:t>40</w:t>
            </w:r>
          </w:p>
        </w:tc>
      </w:tr>
      <w:tr w:rsidR="00B009FC" w:rsidRPr="004657EE" w14:paraId="5B8D1D49" w14:textId="14492426" w:rsidTr="00B009FC">
        <w:trPr>
          <w:trHeight w:val="288"/>
          <w:jc w:val="center"/>
        </w:trPr>
        <w:tc>
          <w:tcPr>
            <w:tcW w:w="1050" w:type="dxa"/>
            <w:shd w:val="clear" w:color="auto" w:fill="auto"/>
            <w:noWrap/>
            <w:vAlign w:val="bottom"/>
            <w:hideMark/>
          </w:tcPr>
          <w:p w14:paraId="3786397D" w14:textId="77777777" w:rsidR="00B009FC" w:rsidRPr="004657EE" w:rsidRDefault="00B009FC" w:rsidP="00B009FC">
            <w:pPr>
              <w:pStyle w:val="TableBody"/>
              <w:jc w:val="center"/>
            </w:pPr>
            <w:r w:rsidRPr="004657EE">
              <w:t>7</w:t>
            </w:r>
          </w:p>
        </w:tc>
        <w:tc>
          <w:tcPr>
            <w:tcW w:w="1290" w:type="dxa"/>
            <w:shd w:val="clear" w:color="auto" w:fill="auto"/>
            <w:noWrap/>
            <w:vAlign w:val="bottom"/>
            <w:hideMark/>
          </w:tcPr>
          <w:p w14:paraId="33583F9C" w14:textId="77777777" w:rsidR="00B009FC" w:rsidRPr="004657EE" w:rsidRDefault="00B009FC" w:rsidP="00B009FC">
            <w:pPr>
              <w:pStyle w:val="TableBody"/>
              <w:jc w:val="center"/>
            </w:pPr>
            <w:r w:rsidRPr="004657EE">
              <w:t>22</w:t>
            </w:r>
          </w:p>
        </w:tc>
        <w:tc>
          <w:tcPr>
            <w:tcW w:w="270" w:type="dxa"/>
            <w:tcBorders>
              <w:top w:val="nil"/>
              <w:bottom w:val="nil"/>
            </w:tcBorders>
          </w:tcPr>
          <w:p w14:paraId="7C293439" w14:textId="77777777" w:rsidR="00B009FC" w:rsidRPr="004657EE" w:rsidRDefault="00B009FC" w:rsidP="00B009FC">
            <w:pPr>
              <w:pStyle w:val="TableBody"/>
              <w:jc w:val="center"/>
            </w:pPr>
          </w:p>
        </w:tc>
        <w:tc>
          <w:tcPr>
            <w:tcW w:w="1080" w:type="dxa"/>
            <w:vAlign w:val="bottom"/>
          </w:tcPr>
          <w:p w14:paraId="784BD1F2" w14:textId="45335B00" w:rsidR="00B009FC" w:rsidRPr="004657EE" w:rsidRDefault="00B009FC" w:rsidP="00B009FC">
            <w:pPr>
              <w:pStyle w:val="TableBody"/>
              <w:jc w:val="center"/>
            </w:pPr>
            <w:r w:rsidRPr="004657EE">
              <w:t>34</w:t>
            </w:r>
          </w:p>
        </w:tc>
        <w:tc>
          <w:tcPr>
            <w:tcW w:w="1350" w:type="dxa"/>
            <w:vAlign w:val="bottom"/>
          </w:tcPr>
          <w:p w14:paraId="54FC8B6A" w14:textId="5E36D97A" w:rsidR="00B009FC" w:rsidRPr="004657EE" w:rsidRDefault="00B009FC" w:rsidP="00B009FC">
            <w:pPr>
              <w:pStyle w:val="TableBody"/>
              <w:jc w:val="center"/>
            </w:pPr>
            <w:r w:rsidRPr="004657EE">
              <w:t>40</w:t>
            </w:r>
          </w:p>
        </w:tc>
      </w:tr>
      <w:tr w:rsidR="00B009FC" w:rsidRPr="004657EE" w14:paraId="4C11368D" w14:textId="777D3187" w:rsidTr="00B009FC">
        <w:trPr>
          <w:trHeight w:val="288"/>
          <w:jc w:val="center"/>
        </w:trPr>
        <w:tc>
          <w:tcPr>
            <w:tcW w:w="1050" w:type="dxa"/>
            <w:shd w:val="clear" w:color="auto" w:fill="auto"/>
            <w:noWrap/>
            <w:vAlign w:val="bottom"/>
            <w:hideMark/>
          </w:tcPr>
          <w:p w14:paraId="4FA95CA6" w14:textId="77777777" w:rsidR="00B009FC" w:rsidRPr="004657EE" w:rsidRDefault="00B009FC" w:rsidP="00B009FC">
            <w:pPr>
              <w:pStyle w:val="TableBody"/>
              <w:jc w:val="center"/>
            </w:pPr>
            <w:r w:rsidRPr="004657EE">
              <w:t>8</w:t>
            </w:r>
          </w:p>
        </w:tc>
        <w:tc>
          <w:tcPr>
            <w:tcW w:w="1290" w:type="dxa"/>
            <w:shd w:val="clear" w:color="auto" w:fill="auto"/>
            <w:noWrap/>
            <w:vAlign w:val="bottom"/>
            <w:hideMark/>
          </w:tcPr>
          <w:p w14:paraId="2F54320F" w14:textId="77777777" w:rsidR="00B009FC" w:rsidRPr="004657EE" w:rsidRDefault="00B009FC" w:rsidP="00B009FC">
            <w:pPr>
              <w:pStyle w:val="TableBody"/>
              <w:jc w:val="center"/>
            </w:pPr>
            <w:r w:rsidRPr="004657EE">
              <w:t>23</w:t>
            </w:r>
          </w:p>
        </w:tc>
        <w:tc>
          <w:tcPr>
            <w:tcW w:w="270" w:type="dxa"/>
            <w:tcBorders>
              <w:top w:val="nil"/>
              <w:bottom w:val="nil"/>
            </w:tcBorders>
          </w:tcPr>
          <w:p w14:paraId="5A255C68" w14:textId="77777777" w:rsidR="00B009FC" w:rsidRPr="004657EE" w:rsidRDefault="00B009FC" w:rsidP="00B009FC">
            <w:pPr>
              <w:pStyle w:val="TableBody"/>
              <w:jc w:val="center"/>
            </w:pPr>
          </w:p>
        </w:tc>
        <w:tc>
          <w:tcPr>
            <w:tcW w:w="1080" w:type="dxa"/>
            <w:vAlign w:val="bottom"/>
          </w:tcPr>
          <w:p w14:paraId="26E06949" w14:textId="79420C49" w:rsidR="00B009FC" w:rsidRPr="004657EE" w:rsidRDefault="00B009FC" w:rsidP="00B009FC">
            <w:pPr>
              <w:pStyle w:val="TableBody"/>
              <w:jc w:val="center"/>
            </w:pPr>
            <w:r w:rsidRPr="004657EE">
              <w:t>35</w:t>
            </w:r>
          </w:p>
        </w:tc>
        <w:tc>
          <w:tcPr>
            <w:tcW w:w="1350" w:type="dxa"/>
            <w:vAlign w:val="bottom"/>
          </w:tcPr>
          <w:p w14:paraId="18E207F3" w14:textId="75DE4D18" w:rsidR="00B009FC" w:rsidRPr="004657EE" w:rsidRDefault="00B009FC" w:rsidP="00B009FC">
            <w:pPr>
              <w:pStyle w:val="TableBody"/>
              <w:jc w:val="center"/>
            </w:pPr>
            <w:r w:rsidRPr="004657EE">
              <w:t>40</w:t>
            </w:r>
          </w:p>
        </w:tc>
      </w:tr>
      <w:tr w:rsidR="00B009FC" w:rsidRPr="004657EE" w14:paraId="0C661994" w14:textId="3257AB27" w:rsidTr="00B009FC">
        <w:trPr>
          <w:trHeight w:val="288"/>
          <w:jc w:val="center"/>
        </w:trPr>
        <w:tc>
          <w:tcPr>
            <w:tcW w:w="1050" w:type="dxa"/>
            <w:shd w:val="clear" w:color="auto" w:fill="auto"/>
            <w:noWrap/>
            <w:vAlign w:val="bottom"/>
            <w:hideMark/>
          </w:tcPr>
          <w:p w14:paraId="4B66958A" w14:textId="77777777" w:rsidR="00B009FC" w:rsidRPr="004657EE" w:rsidRDefault="00B009FC" w:rsidP="00B009FC">
            <w:pPr>
              <w:pStyle w:val="TableBody"/>
              <w:jc w:val="center"/>
            </w:pPr>
            <w:r w:rsidRPr="004657EE">
              <w:t>9</w:t>
            </w:r>
          </w:p>
        </w:tc>
        <w:tc>
          <w:tcPr>
            <w:tcW w:w="1290" w:type="dxa"/>
            <w:shd w:val="clear" w:color="auto" w:fill="auto"/>
            <w:noWrap/>
            <w:vAlign w:val="bottom"/>
            <w:hideMark/>
          </w:tcPr>
          <w:p w14:paraId="3983B290" w14:textId="77777777" w:rsidR="00B009FC" w:rsidRPr="004657EE" w:rsidRDefault="00B009FC" w:rsidP="00B009FC">
            <w:pPr>
              <w:pStyle w:val="TableBody"/>
              <w:jc w:val="center"/>
            </w:pPr>
            <w:r w:rsidRPr="004657EE">
              <w:t>24</w:t>
            </w:r>
          </w:p>
        </w:tc>
        <w:tc>
          <w:tcPr>
            <w:tcW w:w="270" w:type="dxa"/>
            <w:tcBorders>
              <w:top w:val="nil"/>
              <w:bottom w:val="nil"/>
            </w:tcBorders>
          </w:tcPr>
          <w:p w14:paraId="2CAD1A83" w14:textId="77777777" w:rsidR="00B009FC" w:rsidRPr="004657EE" w:rsidRDefault="00B009FC" w:rsidP="00B009FC">
            <w:pPr>
              <w:pStyle w:val="TableBody"/>
              <w:jc w:val="center"/>
            </w:pPr>
          </w:p>
        </w:tc>
        <w:tc>
          <w:tcPr>
            <w:tcW w:w="1080" w:type="dxa"/>
            <w:vAlign w:val="bottom"/>
          </w:tcPr>
          <w:p w14:paraId="0483D8D5" w14:textId="6C40863B" w:rsidR="00B009FC" w:rsidRPr="004657EE" w:rsidRDefault="00B009FC" w:rsidP="00B009FC">
            <w:pPr>
              <w:pStyle w:val="TableBody"/>
              <w:jc w:val="center"/>
            </w:pPr>
            <w:r w:rsidRPr="004657EE">
              <w:t>36</w:t>
            </w:r>
          </w:p>
        </w:tc>
        <w:tc>
          <w:tcPr>
            <w:tcW w:w="1350" w:type="dxa"/>
            <w:vAlign w:val="bottom"/>
          </w:tcPr>
          <w:p w14:paraId="684DC1A5" w14:textId="026A70A9" w:rsidR="00B009FC" w:rsidRPr="004657EE" w:rsidRDefault="00B009FC" w:rsidP="00B009FC">
            <w:pPr>
              <w:pStyle w:val="TableBody"/>
              <w:jc w:val="center"/>
            </w:pPr>
            <w:r w:rsidRPr="004657EE">
              <w:t>40</w:t>
            </w:r>
          </w:p>
        </w:tc>
      </w:tr>
      <w:tr w:rsidR="00B009FC" w:rsidRPr="004657EE" w14:paraId="51D92037" w14:textId="0A0AC5EA" w:rsidTr="00B009FC">
        <w:trPr>
          <w:trHeight w:val="288"/>
          <w:jc w:val="center"/>
        </w:trPr>
        <w:tc>
          <w:tcPr>
            <w:tcW w:w="1050" w:type="dxa"/>
            <w:shd w:val="clear" w:color="auto" w:fill="auto"/>
            <w:noWrap/>
            <w:vAlign w:val="bottom"/>
            <w:hideMark/>
          </w:tcPr>
          <w:p w14:paraId="43EFFF62" w14:textId="77777777" w:rsidR="00B009FC" w:rsidRPr="004657EE" w:rsidRDefault="00B009FC" w:rsidP="00B009FC">
            <w:pPr>
              <w:pStyle w:val="TableBody"/>
              <w:jc w:val="center"/>
            </w:pPr>
            <w:r w:rsidRPr="004657EE">
              <w:t>9</w:t>
            </w:r>
          </w:p>
        </w:tc>
        <w:tc>
          <w:tcPr>
            <w:tcW w:w="1290" w:type="dxa"/>
            <w:shd w:val="clear" w:color="auto" w:fill="auto"/>
            <w:noWrap/>
            <w:vAlign w:val="bottom"/>
            <w:hideMark/>
          </w:tcPr>
          <w:p w14:paraId="69252A6A" w14:textId="77777777" w:rsidR="00B009FC" w:rsidRPr="004657EE" w:rsidRDefault="00B009FC" w:rsidP="00B009FC">
            <w:pPr>
              <w:pStyle w:val="TableBody"/>
              <w:jc w:val="center"/>
            </w:pPr>
            <w:r w:rsidRPr="004657EE">
              <w:t>25</w:t>
            </w:r>
          </w:p>
        </w:tc>
        <w:tc>
          <w:tcPr>
            <w:tcW w:w="270" w:type="dxa"/>
            <w:tcBorders>
              <w:top w:val="nil"/>
              <w:bottom w:val="nil"/>
            </w:tcBorders>
          </w:tcPr>
          <w:p w14:paraId="0E7E042E" w14:textId="77777777" w:rsidR="00B009FC" w:rsidRPr="004657EE" w:rsidRDefault="00B009FC" w:rsidP="00B009FC">
            <w:pPr>
              <w:pStyle w:val="TableBody"/>
              <w:jc w:val="center"/>
            </w:pPr>
          </w:p>
        </w:tc>
        <w:tc>
          <w:tcPr>
            <w:tcW w:w="1080" w:type="dxa"/>
            <w:vAlign w:val="bottom"/>
          </w:tcPr>
          <w:p w14:paraId="2346C792" w14:textId="4870B42C" w:rsidR="00B009FC" w:rsidRPr="004657EE" w:rsidRDefault="00B009FC" w:rsidP="00B009FC">
            <w:pPr>
              <w:pStyle w:val="TableBody"/>
              <w:jc w:val="center"/>
            </w:pPr>
            <w:r w:rsidRPr="004657EE">
              <w:t>37</w:t>
            </w:r>
          </w:p>
        </w:tc>
        <w:tc>
          <w:tcPr>
            <w:tcW w:w="1350" w:type="dxa"/>
            <w:vAlign w:val="bottom"/>
          </w:tcPr>
          <w:p w14:paraId="5A5755DB" w14:textId="26BCDF58" w:rsidR="00B009FC" w:rsidRPr="004657EE" w:rsidRDefault="00B009FC" w:rsidP="00B009FC">
            <w:pPr>
              <w:pStyle w:val="TableBody"/>
              <w:jc w:val="center"/>
            </w:pPr>
            <w:r w:rsidRPr="004657EE">
              <w:t>40</w:t>
            </w:r>
          </w:p>
        </w:tc>
      </w:tr>
      <w:tr w:rsidR="00B009FC" w:rsidRPr="004657EE" w14:paraId="183856FE" w14:textId="6385A712" w:rsidTr="00B009FC">
        <w:trPr>
          <w:trHeight w:val="288"/>
          <w:jc w:val="center"/>
        </w:trPr>
        <w:tc>
          <w:tcPr>
            <w:tcW w:w="1050" w:type="dxa"/>
            <w:shd w:val="clear" w:color="auto" w:fill="auto"/>
            <w:noWrap/>
            <w:vAlign w:val="bottom"/>
            <w:hideMark/>
          </w:tcPr>
          <w:p w14:paraId="11B5B38D" w14:textId="77777777" w:rsidR="00B009FC" w:rsidRPr="004657EE" w:rsidRDefault="00B009FC" w:rsidP="00B009FC">
            <w:pPr>
              <w:pStyle w:val="TableBody"/>
              <w:jc w:val="center"/>
            </w:pPr>
            <w:r w:rsidRPr="004657EE">
              <w:t>10</w:t>
            </w:r>
          </w:p>
        </w:tc>
        <w:tc>
          <w:tcPr>
            <w:tcW w:w="1290" w:type="dxa"/>
            <w:shd w:val="clear" w:color="auto" w:fill="auto"/>
            <w:noWrap/>
            <w:vAlign w:val="bottom"/>
            <w:hideMark/>
          </w:tcPr>
          <w:p w14:paraId="02B5EC56" w14:textId="77777777" w:rsidR="00B009FC" w:rsidRPr="004657EE" w:rsidRDefault="00B009FC" w:rsidP="00B009FC">
            <w:pPr>
              <w:pStyle w:val="TableBody"/>
              <w:jc w:val="center"/>
            </w:pPr>
            <w:r w:rsidRPr="004657EE">
              <w:t>26</w:t>
            </w:r>
          </w:p>
        </w:tc>
        <w:tc>
          <w:tcPr>
            <w:tcW w:w="270" w:type="dxa"/>
            <w:tcBorders>
              <w:top w:val="nil"/>
              <w:bottom w:val="nil"/>
            </w:tcBorders>
          </w:tcPr>
          <w:p w14:paraId="3F59C29A" w14:textId="77777777" w:rsidR="00B009FC" w:rsidRPr="004657EE" w:rsidRDefault="00B009FC" w:rsidP="00B009FC">
            <w:pPr>
              <w:pStyle w:val="TableBody"/>
              <w:jc w:val="center"/>
            </w:pPr>
          </w:p>
        </w:tc>
        <w:tc>
          <w:tcPr>
            <w:tcW w:w="1080" w:type="dxa"/>
            <w:vAlign w:val="bottom"/>
          </w:tcPr>
          <w:p w14:paraId="06986BF2" w14:textId="36D0F7E7" w:rsidR="00B009FC" w:rsidRPr="004657EE" w:rsidRDefault="00B009FC" w:rsidP="00B009FC">
            <w:pPr>
              <w:pStyle w:val="TableBody"/>
              <w:jc w:val="center"/>
            </w:pPr>
            <w:r w:rsidRPr="004657EE">
              <w:t>38</w:t>
            </w:r>
          </w:p>
        </w:tc>
        <w:tc>
          <w:tcPr>
            <w:tcW w:w="1350" w:type="dxa"/>
            <w:vAlign w:val="bottom"/>
          </w:tcPr>
          <w:p w14:paraId="196748B0" w14:textId="09C336F5" w:rsidR="00B009FC" w:rsidRPr="004657EE" w:rsidRDefault="00B009FC" w:rsidP="00B009FC">
            <w:pPr>
              <w:pStyle w:val="TableBody"/>
              <w:jc w:val="center"/>
            </w:pPr>
            <w:r w:rsidRPr="004657EE">
              <w:t>40</w:t>
            </w:r>
          </w:p>
        </w:tc>
      </w:tr>
      <w:tr w:rsidR="00B009FC" w:rsidRPr="004657EE" w14:paraId="5CFEED0C" w14:textId="2A5C580A" w:rsidTr="00B009FC">
        <w:trPr>
          <w:trHeight w:val="288"/>
          <w:jc w:val="center"/>
        </w:trPr>
        <w:tc>
          <w:tcPr>
            <w:tcW w:w="1050" w:type="dxa"/>
            <w:shd w:val="clear" w:color="auto" w:fill="auto"/>
            <w:noWrap/>
            <w:vAlign w:val="bottom"/>
            <w:hideMark/>
          </w:tcPr>
          <w:p w14:paraId="446E0725" w14:textId="77777777" w:rsidR="00B009FC" w:rsidRPr="004657EE" w:rsidRDefault="00B009FC" w:rsidP="00B009FC">
            <w:pPr>
              <w:pStyle w:val="TableBody"/>
              <w:jc w:val="center"/>
            </w:pPr>
            <w:r w:rsidRPr="004657EE">
              <w:t>11</w:t>
            </w:r>
          </w:p>
        </w:tc>
        <w:tc>
          <w:tcPr>
            <w:tcW w:w="1290" w:type="dxa"/>
            <w:shd w:val="clear" w:color="auto" w:fill="auto"/>
            <w:noWrap/>
            <w:vAlign w:val="bottom"/>
            <w:hideMark/>
          </w:tcPr>
          <w:p w14:paraId="4C15021D" w14:textId="77777777" w:rsidR="00B009FC" w:rsidRPr="004657EE" w:rsidRDefault="00B009FC" w:rsidP="00B009FC">
            <w:pPr>
              <w:pStyle w:val="TableBody"/>
              <w:jc w:val="center"/>
            </w:pPr>
            <w:r w:rsidRPr="004657EE">
              <w:t>27</w:t>
            </w:r>
          </w:p>
        </w:tc>
        <w:tc>
          <w:tcPr>
            <w:tcW w:w="270" w:type="dxa"/>
            <w:tcBorders>
              <w:top w:val="nil"/>
              <w:bottom w:val="nil"/>
            </w:tcBorders>
          </w:tcPr>
          <w:p w14:paraId="0B758311" w14:textId="77777777" w:rsidR="00B009FC" w:rsidRPr="004657EE" w:rsidRDefault="00B009FC" w:rsidP="00B009FC">
            <w:pPr>
              <w:pStyle w:val="TableBody"/>
              <w:jc w:val="center"/>
            </w:pPr>
          </w:p>
        </w:tc>
        <w:tc>
          <w:tcPr>
            <w:tcW w:w="1080" w:type="dxa"/>
            <w:vAlign w:val="bottom"/>
          </w:tcPr>
          <w:p w14:paraId="4AFE0335" w14:textId="212006E9" w:rsidR="00B009FC" w:rsidRPr="004657EE" w:rsidRDefault="00B009FC" w:rsidP="00B009FC">
            <w:pPr>
              <w:pStyle w:val="TableBody"/>
              <w:jc w:val="center"/>
            </w:pPr>
            <w:r w:rsidRPr="004657EE">
              <w:t>39</w:t>
            </w:r>
          </w:p>
        </w:tc>
        <w:tc>
          <w:tcPr>
            <w:tcW w:w="1350" w:type="dxa"/>
            <w:vAlign w:val="bottom"/>
          </w:tcPr>
          <w:p w14:paraId="33AA31C7" w14:textId="64B5CB12" w:rsidR="00B009FC" w:rsidRPr="004657EE" w:rsidRDefault="00B009FC" w:rsidP="00B009FC">
            <w:pPr>
              <w:pStyle w:val="TableBody"/>
              <w:jc w:val="center"/>
            </w:pPr>
            <w:r w:rsidRPr="004657EE">
              <w:t>40</w:t>
            </w:r>
          </w:p>
        </w:tc>
      </w:tr>
      <w:tr w:rsidR="00B009FC" w:rsidRPr="004657EE" w14:paraId="40A1AB4D" w14:textId="23447756" w:rsidTr="00B009FC">
        <w:trPr>
          <w:trHeight w:val="288"/>
          <w:jc w:val="center"/>
        </w:trPr>
        <w:tc>
          <w:tcPr>
            <w:tcW w:w="1050" w:type="dxa"/>
            <w:shd w:val="clear" w:color="auto" w:fill="auto"/>
            <w:noWrap/>
            <w:vAlign w:val="bottom"/>
            <w:hideMark/>
          </w:tcPr>
          <w:p w14:paraId="3AD8CF62" w14:textId="77777777" w:rsidR="00B009FC" w:rsidRPr="004657EE" w:rsidRDefault="00B009FC" w:rsidP="00B009FC">
            <w:pPr>
              <w:pStyle w:val="TableBody"/>
              <w:jc w:val="center"/>
            </w:pPr>
            <w:r w:rsidRPr="004657EE">
              <w:t>12</w:t>
            </w:r>
          </w:p>
        </w:tc>
        <w:tc>
          <w:tcPr>
            <w:tcW w:w="1290" w:type="dxa"/>
            <w:shd w:val="clear" w:color="auto" w:fill="auto"/>
            <w:noWrap/>
            <w:vAlign w:val="bottom"/>
            <w:hideMark/>
          </w:tcPr>
          <w:p w14:paraId="2A98BD44" w14:textId="77777777" w:rsidR="00B009FC" w:rsidRPr="004657EE" w:rsidRDefault="00B009FC" w:rsidP="00B009FC">
            <w:pPr>
              <w:pStyle w:val="TableBody"/>
              <w:jc w:val="center"/>
            </w:pPr>
            <w:r w:rsidRPr="004657EE">
              <w:t>28</w:t>
            </w:r>
          </w:p>
        </w:tc>
        <w:tc>
          <w:tcPr>
            <w:tcW w:w="270" w:type="dxa"/>
            <w:tcBorders>
              <w:top w:val="nil"/>
              <w:bottom w:val="nil"/>
            </w:tcBorders>
          </w:tcPr>
          <w:p w14:paraId="31AB4ED7" w14:textId="77777777" w:rsidR="00B009FC" w:rsidRPr="004657EE" w:rsidRDefault="00B009FC" w:rsidP="00B009FC">
            <w:pPr>
              <w:pStyle w:val="TableBody"/>
              <w:jc w:val="center"/>
            </w:pPr>
          </w:p>
        </w:tc>
        <w:tc>
          <w:tcPr>
            <w:tcW w:w="1080" w:type="dxa"/>
            <w:vAlign w:val="bottom"/>
          </w:tcPr>
          <w:p w14:paraId="2C95D958" w14:textId="2D3C54BF" w:rsidR="00B009FC" w:rsidRPr="004657EE" w:rsidRDefault="00B009FC" w:rsidP="00B009FC">
            <w:pPr>
              <w:pStyle w:val="TableBody"/>
              <w:jc w:val="center"/>
            </w:pPr>
            <w:r w:rsidRPr="004657EE">
              <w:t>40</w:t>
            </w:r>
          </w:p>
        </w:tc>
        <w:tc>
          <w:tcPr>
            <w:tcW w:w="1350" w:type="dxa"/>
            <w:vAlign w:val="bottom"/>
          </w:tcPr>
          <w:p w14:paraId="14A2E221" w14:textId="7E8BE9BE" w:rsidR="00B009FC" w:rsidRPr="004657EE" w:rsidRDefault="00B009FC" w:rsidP="00B009FC">
            <w:pPr>
              <w:pStyle w:val="TableBody"/>
              <w:jc w:val="center"/>
            </w:pPr>
            <w:r w:rsidRPr="004657EE">
              <w:t>40</w:t>
            </w:r>
          </w:p>
        </w:tc>
      </w:tr>
    </w:tbl>
    <w:p w14:paraId="202596D4" w14:textId="6B543B1C" w:rsidR="00B41637" w:rsidRDefault="00B41637" w:rsidP="00C6281D">
      <w:pPr>
        <w:pStyle w:val="H2bodytext"/>
      </w:pPr>
      <w:r>
        <w:t>There are several sources of error in this test case. The first is that a different version of MODFLOW</w:t>
      </w:r>
      <w:r w:rsidR="009711EA">
        <w:t xml:space="preserve"> was used to calculate the underlying flow model</w:t>
      </w:r>
      <w:r w:rsidR="00C605E9">
        <w:t xml:space="preserve">. The second is that the particles were calculating using a method very similar to </w:t>
      </w:r>
      <w:r w:rsidR="00976831">
        <w:t xml:space="preserve">that used by </w:t>
      </w:r>
      <w:proofErr w:type="gramStart"/>
      <w:r w:rsidR="00C605E9">
        <w:t>MODPATH, but</w:t>
      </w:r>
      <w:proofErr w:type="gramEnd"/>
      <w:r w:rsidR="00C605E9">
        <w:t xml:space="preserve"> did not use the version of MODPATH </w:t>
      </w:r>
      <w:r w:rsidR="00976831">
        <w:t xml:space="preserve">tested in this document. The third is that the locations of the points at 0, 2,500, 5,000, and 7,500 days were not explicitly stated and had to be reproduced. Errors may have been introduced in the reproduction, either through the calculation of the location of the starting points, or through minor errors in the digitization of </w:t>
      </w:r>
      <w:r w:rsidR="00F01FBC">
        <w:fldChar w:fldCharType="begin"/>
      </w:r>
      <w:r w:rsidR="00F01FBC">
        <w:instrText xml:space="preserve"> REF _Ref520126021 \h </w:instrText>
      </w:r>
      <w:r w:rsidR="00F01FBC">
        <w:fldChar w:fldCharType="separate"/>
      </w:r>
      <w:r w:rsidR="00F01FBC">
        <w:t xml:space="preserve">Figure </w:t>
      </w:r>
      <w:r w:rsidR="00F01FBC">
        <w:rPr>
          <w:noProof/>
        </w:rPr>
        <w:t>2</w:t>
      </w:r>
      <w:r w:rsidR="00F01FBC">
        <w:noBreakHyphen/>
      </w:r>
      <w:r w:rsidR="00F01FBC">
        <w:rPr>
          <w:noProof/>
        </w:rPr>
        <w:t>3</w:t>
      </w:r>
      <w:r w:rsidR="00F01FBC">
        <w:fldChar w:fldCharType="end"/>
      </w:r>
      <w:r w:rsidR="00976831">
        <w:t>.</w:t>
      </w:r>
    </w:p>
    <w:p w14:paraId="3A01194D" w14:textId="320DE432" w:rsidR="0072186D" w:rsidRDefault="00B41637" w:rsidP="00F01FBC">
      <w:pPr>
        <w:pStyle w:val="H2bodytext"/>
      </w:pPr>
      <w:r>
        <w:t xml:space="preserve">The </w:t>
      </w:r>
      <w:r w:rsidR="0072186D">
        <w:t>acceptance criteria</w:t>
      </w:r>
      <w:r>
        <w:t xml:space="preserve"> for this test </w:t>
      </w:r>
      <w:r w:rsidR="0072186D">
        <w:t>are that</w:t>
      </w:r>
      <w:r>
        <w:t xml:space="preserve"> the MODPATH simulation</w:t>
      </w:r>
      <w:r w:rsidR="0072186D">
        <w:t xml:space="preserve"> are as follows:</w:t>
      </w:r>
    </w:p>
    <w:p w14:paraId="27E8F703" w14:textId="53E46071" w:rsidR="0072186D" w:rsidRDefault="0072186D" w:rsidP="0072186D">
      <w:pPr>
        <w:pStyle w:val="H2bodytext"/>
        <w:numPr>
          <w:ilvl w:val="0"/>
          <w:numId w:val="11"/>
        </w:numPr>
      </w:pPr>
      <w:r>
        <w:t xml:space="preserve">Criterion 1 – the MODPATH simulation </w:t>
      </w:r>
      <w:r w:rsidR="00B41637">
        <w:t>produce</w:t>
      </w:r>
      <w:r>
        <w:t>s</w:t>
      </w:r>
      <w:r w:rsidR="008F4B2C">
        <w:t xml:space="preserve"> straight</w:t>
      </w:r>
      <w:r>
        <w:t xml:space="preserve"> particle tracks that radiate outward</w:t>
      </w:r>
    </w:p>
    <w:p w14:paraId="0C302FF2" w14:textId="0825C4A4" w:rsidR="0072186D" w:rsidRDefault="0072186D" w:rsidP="0072186D">
      <w:pPr>
        <w:pStyle w:val="H2bodytext"/>
        <w:numPr>
          <w:ilvl w:val="0"/>
          <w:numId w:val="11"/>
        </w:numPr>
      </w:pPr>
      <w:r>
        <w:t xml:space="preserve">Criterion 2 – the percent difference between the length of the flow paths digitized from </w:t>
      </w:r>
      <w:r>
        <w:fldChar w:fldCharType="begin"/>
      </w:r>
      <w:r>
        <w:instrText xml:space="preserve"> REF _Ref520126021 \h </w:instrText>
      </w:r>
      <w:r>
        <w:fldChar w:fldCharType="separate"/>
      </w:r>
      <w:r>
        <w:t xml:space="preserve">Figure </w:t>
      </w:r>
      <w:r>
        <w:rPr>
          <w:noProof/>
        </w:rPr>
        <w:t>2</w:t>
      </w:r>
      <w:r>
        <w:noBreakHyphen/>
      </w:r>
      <w:r>
        <w:rPr>
          <w:noProof/>
        </w:rPr>
        <w:t>3</w:t>
      </w:r>
      <w:r>
        <w:fldChar w:fldCharType="end"/>
      </w:r>
      <w:r>
        <w:t xml:space="preserve"> calculated value must not be more than 5%.</w:t>
      </w:r>
      <w:r w:rsidRPr="0072186D">
        <w:t xml:space="preserve"> </w:t>
      </w:r>
      <w:r>
        <w:t xml:space="preserve">The length of the flow paths calculated by MODPATH are calculated in post-processing by selecting the global X and Y values for each particle at the time of </w:t>
      </w:r>
      <w:proofErr w:type="gramStart"/>
      <w:r>
        <w:t>interest, and</w:t>
      </w:r>
      <w:proofErr w:type="gramEnd"/>
      <w:r>
        <w:t xml:space="preserve"> calculating the distance from that particle to the lower left corner of the model.</w:t>
      </w:r>
    </w:p>
    <w:p w14:paraId="40811597" w14:textId="79C4FFE7" w:rsidR="008F4B2C" w:rsidRDefault="0072186D" w:rsidP="0072186D">
      <w:pPr>
        <w:pStyle w:val="H2bodytext"/>
      </w:pPr>
      <w:r>
        <w:t>Criterion 1 gives evidence that the particle tracks are moving according to the flow direction. Criterion 2 gives evidence that the particles are moving at a speed that is within an acceptable range of similarity to the particles in Pollock, 1988. The pass/fail results are found in “tc1_results.csv”.</w:t>
      </w:r>
    </w:p>
    <w:p w14:paraId="0144ADCB" w14:textId="3F2CFC58" w:rsidR="009F7F54" w:rsidRDefault="009F7F54" w:rsidP="009F7F54">
      <w:pPr>
        <w:pStyle w:val="H2bodytext"/>
        <w:rPr>
          <w:b/>
          <w:i/>
        </w:rPr>
      </w:pPr>
      <w:r w:rsidRPr="000F1148">
        <w:rPr>
          <w:b/>
          <w:i/>
        </w:rPr>
        <w:t>MP-ATC-</w:t>
      </w:r>
      <w:r>
        <w:rPr>
          <w:b/>
          <w:i/>
        </w:rPr>
        <w:t>2</w:t>
      </w:r>
      <w:r w:rsidRPr="000F1148">
        <w:rPr>
          <w:b/>
          <w:i/>
        </w:rPr>
        <w:t xml:space="preserve">: </w:t>
      </w:r>
      <w:r>
        <w:rPr>
          <w:b/>
          <w:i/>
        </w:rPr>
        <w:t>Non-</w:t>
      </w:r>
      <w:commentRangeStart w:id="21"/>
      <w:r>
        <w:rPr>
          <w:b/>
          <w:i/>
        </w:rPr>
        <w:t>Uniform</w:t>
      </w:r>
      <w:commentRangeEnd w:id="21"/>
      <w:r>
        <w:rPr>
          <w:rStyle w:val="CommentReference"/>
          <w:rFonts w:ascii="Times New Roman" w:hAnsi="Times New Roman"/>
        </w:rPr>
        <w:commentReference w:id="21"/>
      </w:r>
      <w:r>
        <w:rPr>
          <w:b/>
          <w:i/>
        </w:rPr>
        <w:t xml:space="preserve"> Flow</w:t>
      </w:r>
    </w:p>
    <w:p w14:paraId="57095871" w14:textId="24386964" w:rsidR="004B3081" w:rsidRDefault="004B3081" w:rsidP="004B3081">
      <w:pPr>
        <w:pStyle w:val="H2bodytext"/>
        <w:rPr>
          <w:b/>
          <w:i/>
        </w:rPr>
      </w:pPr>
      <w:r w:rsidRPr="000F1148">
        <w:rPr>
          <w:b/>
          <w:i/>
        </w:rPr>
        <w:t>MP-ATC-</w:t>
      </w:r>
      <w:r>
        <w:rPr>
          <w:b/>
          <w:i/>
        </w:rPr>
        <w:t>3</w:t>
      </w:r>
      <w:r w:rsidRPr="000F1148">
        <w:rPr>
          <w:b/>
          <w:i/>
        </w:rPr>
        <w:t>:</w:t>
      </w:r>
      <w:r>
        <w:rPr>
          <w:b/>
          <w:i/>
        </w:rPr>
        <w:t xml:space="preserve"> Capture Zone in an Isotropic Unconfined Aquifer</w:t>
      </w:r>
    </w:p>
    <w:p w14:paraId="1B397C8F" w14:textId="77777777" w:rsidR="00887C02" w:rsidRDefault="00B009FC" w:rsidP="00887C02">
      <w:pPr>
        <w:pStyle w:val="H2bodytext"/>
      </w:pPr>
      <w:r>
        <w:t xml:space="preserve">This test problem for MODFLOW involves defining the shape of the capture zone of a constantly-pumping extraction well in an isotropic, unconfined aquifer with a clear hydraulic gradient. </w:t>
      </w:r>
      <w:r>
        <w:t>An extraction</w:t>
      </w:r>
      <w:r>
        <w:t xml:space="preserve"> well</w:t>
      </w:r>
      <w:r>
        <w:t xml:space="preserve"> pumping water from an aquifer will only extract water from its capture zone. MODPATH’s reverse particle tracking capabilities are commonly used to map capture zones in an unconfined aquifer</w:t>
      </w:r>
      <w:r w:rsidR="00887C02">
        <w:t xml:space="preserve"> in work at the Hanford Site</w:t>
      </w:r>
      <w:r>
        <w:t xml:space="preserve">. </w:t>
      </w:r>
      <w:r w:rsidR="00887C02">
        <w:t xml:space="preserve">In this test, </w:t>
      </w:r>
      <w:r>
        <w:t>results from a MODPATH</w:t>
      </w:r>
      <w:r w:rsidR="00887C02">
        <w:t xml:space="preserve"> reverse particle tracking</w:t>
      </w:r>
      <w:r>
        <w:t xml:space="preserve"> simulation mapping the shape of a capture zone are compared to an analytical solution</w:t>
      </w:r>
      <w:r w:rsidR="00887C02">
        <w:t xml:space="preserve"> describing elements of the shape of that capture zone</w:t>
      </w:r>
      <w:r>
        <w:t xml:space="preserve">. The analytical solution </w:t>
      </w:r>
      <w:r w:rsidR="00887C02">
        <w:t>calculates</w:t>
      </w:r>
      <w:r>
        <w:t xml:space="preserve"> the maximum width of a capture zone and stagnation point for an extraction well in an unconfined aquifer in steady-state conditions (</w:t>
      </w:r>
      <w:commentRangeStart w:id="22"/>
      <w:r>
        <w:t xml:space="preserve">Todd, 1980, </w:t>
      </w:r>
      <w:r>
        <w:rPr>
          <w:i/>
        </w:rPr>
        <w:t>Groundwater Hydrology</w:t>
      </w:r>
      <w:commentRangeEnd w:id="22"/>
      <w:r w:rsidR="004E6E26">
        <w:rPr>
          <w:rStyle w:val="CommentReference"/>
          <w:rFonts w:ascii="Times New Roman" w:hAnsi="Times New Roman"/>
        </w:rPr>
        <w:commentReference w:id="22"/>
      </w:r>
      <w:r>
        <w:t xml:space="preserve">, and Grubb, 1993, </w:t>
      </w:r>
      <w:r>
        <w:rPr>
          <w:i/>
        </w:rPr>
        <w:t>Analytical model for estimation of steady-state capture zones of pumping wells in confined and unconfined aquifers</w:t>
      </w:r>
      <w:r>
        <w:t>). MODPATH particle tracks were compared to the analytical maximum width of the aquifer and location of the stagnation point.</w:t>
      </w:r>
    </w:p>
    <w:p w14:paraId="7533DCF1" w14:textId="747CF824" w:rsidR="00887C02" w:rsidRDefault="00887C02" w:rsidP="00887C02">
      <w:pPr>
        <w:pStyle w:val="H2bodytext"/>
      </w:pPr>
      <w:r>
        <w:t>Assuming an unconfined, isotropic aquifer with steady hydraulic gradient in one direction, a well pumping continuously at a constant rate will produce a capture zone extend infinitely in the upgradient direction and end in the downgradient direction, as shown in</w:t>
      </w:r>
      <w:r>
        <w:t xml:space="preserve"> </w:t>
      </w:r>
      <w:r>
        <w:fldChar w:fldCharType="begin"/>
      </w:r>
      <w:r>
        <w:instrText xml:space="preserve"> REF _Ref520126361 \h </w:instrText>
      </w:r>
      <w:r>
        <w:fldChar w:fldCharType="separate"/>
      </w:r>
      <w:r>
        <w:t xml:space="preserve">Figure </w:t>
      </w:r>
      <w:r>
        <w:rPr>
          <w:noProof/>
        </w:rPr>
        <w:t>2</w:t>
      </w:r>
      <w:r>
        <w:noBreakHyphen/>
      </w:r>
      <w:r>
        <w:rPr>
          <w:noProof/>
        </w:rPr>
        <w:t>1</w:t>
      </w:r>
      <w:r>
        <w:fldChar w:fldCharType="end"/>
      </w:r>
      <w:r>
        <w:t xml:space="preserve">. </w:t>
      </w:r>
    </w:p>
    <w:p w14:paraId="61AFF632" w14:textId="77777777" w:rsidR="00887C02" w:rsidRDefault="00887C02" w:rsidP="00887C02">
      <w:pPr>
        <w:pStyle w:val="Figure"/>
      </w:pPr>
      <w:r>
        <w:rPr>
          <w:noProof/>
        </w:rPr>
        <w:drawing>
          <wp:inline distT="0" distB="0" distL="0" distR="0" wp14:anchorId="5C0E433A" wp14:editId="2A35F95D">
            <wp:extent cx="3560244" cy="2522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5574" cy="2533080"/>
                    </a:xfrm>
                    <a:prstGeom prst="rect">
                      <a:avLst/>
                    </a:prstGeom>
                  </pic:spPr>
                </pic:pic>
              </a:graphicData>
            </a:graphic>
          </wp:inline>
        </w:drawing>
      </w:r>
    </w:p>
    <w:p w14:paraId="3684C4B1" w14:textId="77777777" w:rsidR="00887C02" w:rsidRDefault="00887C02" w:rsidP="00887C02">
      <w:pPr>
        <w:pStyle w:val="FigureNotes"/>
        <w:jc w:val="center"/>
      </w:pPr>
      <w:r>
        <w:t xml:space="preserve">Source: </w:t>
      </w:r>
      <w:r>
        <w:rPr>
          <w:szCs w:val="18"/>
        </w:rPr>
        <w:t xml:space="preserve">Yang, Spencer, and Gates, 1995, </w:t>
      </w:r>
      <w:r>
        <w:rPr>
          <w:i/>
          <w:szCs w:val="18"/>
        </w:rPr>
        <w:t>Analytical Solutions for Determination of Non-Steady-State and Steady-State Capture</w:t>
      </w:r>
    </w:p>
    <w:p w14:paraId="1E7A7CB1" w14:textId="1FA7F8C1" w:rsidR="00887C02" w:rsidRDefault="00887C02" w:rsidP="00887C02">
      <w:pPr>
        <w:pStyle w:val="FigureNumberCaption"/>
      </w:pPr>
      <w:bookmarkStart w:id="23" w:name="_Ref522637989"/>
      <w:r>
        <w:t xml:space="preserve">Figure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4</w:t>
      </w:r>
      <w:r>
        <w:rPr>
          <w:noProof/>
        </w:rPr>
        <w:fldChar w:fldCharType="end"/>
      </w:r>
      <w:r>
        <w:t>. Capture zone in an unconfined aquifer</w:t>
      </w:r>
      <w:bookmarkEnd w:id="23"/>
    </w:p>
    <w:p w14:paraId="2D5906CE" w14:textId="77777777" w:rsidR="004E6E26" w:rsidRDefault="004E6E26" w:rsidP="004E6E26">
      <w:pPr>
        <w:pStyle w:val="H2bodytext"/>
      </w:pPr>
      <w:r>
        <w:t>The maximum width of the upgradient capture zone as measured from the center of the well (</w:t>
      </w:r>
      <w:proofErr w:type="spellStart"/>
      <w:r>
        <w:t>y</w:t>
      </w:r>
      <w:r>
        <w:rPr>
          <w:vertAlign w:val="subscript"/>
        </w:rPr>
        <w:t>max</w:t>
      </w:r>
      <w:proofErr w:type="spellEnd"/>
      <w:r>
        <w:rPr>
          <w:vertAlign w:val="subscript"/>
        </w:rPr>
        <w:softHyphen/>
      </w:r>
      <w:r>
        <w:t xml:space="preserve">) and the stagnation point, </w:t>
      </w:r>
      <w:r>
        <w:rPr>
          <w:rFonts w:cstheme="minorHAnsi"/>
        </w:rPr>
        <w:t xml:space="preserve">the distance from the pumping well to the down-gradient edge of the capture zone, </w:t>
      </w:r>
      <w:r>
        <w:t>can be calculated analytically.</w:t>
      </w:r>
    </w:p>
    <w:p w14:paraId="19EABFC1" w14:textId="3CEB639B" w:rsidR="004E6E26" w:rsidRDefault="004E6E26" w:rsidP="004E6E26">
      <w:pPr>
        <w:pStyle w:val="H2bodytext"/>
      </w:pPr>
      <w:commentRangeStart w:id="24"/>
      <w:r>
        <w:t>The maximum width of a capture zone of a well pumping in isotropic steady-state conditions in an unconfined aquifer is defined by the following equation from Todd 1980, Grubb 1993</w:t>
      </w:r>
      <w:commentRangeEnd w:id="24"/>
      <w:r>
        <w:rPr>
          <w:rStyle w:val="CommentReference"/>
        </w:rPr>
        <w:commentReference w:id="24"/>
      </w:r>
      <w:r>
        <w:t>:</w:t>
      </w:r>
    </w:p>
    <w:commentRangeStart w:id="25"/>
    <w:p w14:paraId="5DCAFBC5" w14:textId="77777777" w:rsidR="004E6E26" w:rsidRPr="00D753D7" w:rsidRDefault="004E6E26" w:rsidP="004E6E26">
      <m:oMathPara>
        <m:oMath>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 ±</m:t>
          </m:r>
          <m:f>
            <m:fPr>
              <m:ctrlPr>
                <w:rPr>
                  <w:rFonts w:ascii="Cambria Math" w:hAnsi="Cambria Math"/>
                  <w:i/>
                </w:rPr>
              </m:ctrlPr>
            </m:fPr>
            <m:num>
              <m:r>
                <w:rPr>
                  <w:rFonts w:ascii="Cambria Math" w:hAnsi="Cambria Math"/>
                </w:rPr>
                <m:t>-QL</m:t>
              </m:r>
            </m:num>
            <m:den>
              <m:r>
                <w:rPr>
                  <w:rFonts w:ascii="Cambria Math" w:hAnsi="Cambria Math"/>
                </w:rPr>
                <m:t>K(</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r>
                <w:rPr>
                  <w:rFonts w:ascii="Cambria Math" w:hAnsi="Cambria Math"/>
                </w:rPr>
                <m:t>)</m:t>
              </m:r>
            </m:den>
          </m:f>
        </m:oMath>
      </m:oMathPara>
    </w:p>
    <w:p w14:paraId="4F29984C" w14:textId="77777777" w:rsidR="004E6E26" w:rsidRDefault="004E6E26" w:rsidP="004E6E26">
      <w:r>
        <w:t>where:</w:t>
      </w:r>
    </w:p>
    <w:p w14:paraId="09C46C63" w14:textId="77777777" w:rsidR="004E6E26" w:rsidRPr="00083E61" w:rsidRDefault="004E6E26" w:rsidP="004E6E26">
      <w:pPr>
        <w:rPr>
          <w:rFonts w:asciiTheme="majorHAnsi" w:hAnsiTheme="majorHAnsi" w:cstheme="majorHAnsi"/>
        </w:rPr>
      </w:pPr>
      <w:proofErr w:type="spellStart"/>
      <w:r>
        <w:rPr>
          <w:rFonts w:ascii="Cambria Math" w:hAnsi="Cambria Math"/>
          <w:i/>
        </w:rPr>
        <w:t>y</w:t>
      </w:r>
      <w:r>
        <w:rPr>
          <w:rFonts w:ascii="Cambria Math" w:hAnsi="Cambria Math"/>
          <w:i/>
          <w:vertAlign w:val="subscript"/>
        </w:rPr>
        <w:t>max</w:t>
      </w:r>
      <w:proofErr w:type="spellEnd"/>
      <w:r>
        <w:rPr>
          <w:rFonts w:ascii="Cambria Math" w:hAnsi="Cambria Math"/>
          <w:i/>
        </w:rPr>
        <w:t xml:space="preserve"> </w:t>
      </w:r>
      <w:r w:rsidRPr="00D753D7">
        <w:rPr>
          <w:rFonts w:cstheme="minorHAnsi"/>
        </w:rPr>
        <w:t>= the maximum width</w:t>
      </w:r>
      <w:r>
        <w:rPr>
          <w:rFonts w:cstheme="minorHAnsi"/>
        </w:rPr>
        <w:t xml:space="preserve"> of the capture zone, where y</w:t>
      </w:r>
      <w:r>
        <w:rPr>
          <w:rFonts w:cstheme="minorHAnsi"/>
          <w:vertAlign w:val="subscript"/>
        </w:rPr>
        <w:t>0</w:t>
      </w:r>
      <w:r>
        <w:rPr>
          <w:rFonts w:cstheme="minorHAnsi"/>
        </w:rPr>
        <w:t xml:space="preserve"> intersects the center of the well</w:t>
      </w:r>
    </w:p>
    <w:p w14:paraId="4F7EBE19" w14:textId="77777777" w:rsidR="004E6E26" w:rsidRDefault="004E6E26" w:rsidP="004E6E26">
      <w:pPr>
        <w:rPr>
          <w:rFonts w:cstheme="minorHAnsi"/>
        </w:rPr>
      </w:pPr>
      <w:r w:rsidRPr="00D753D7">
        <w:rPr>
          <w:rFonts w:ascii="Cambria Math" w:hAnsi="Cambria Math" w:cstheme="minorHAnsi"/>
          <w:i/>
        </w:rPr>
        <w:t>Q</w:t>
      </w:r>
      <w:r>
        <w:rPr>
          <w:rFonts w:cstheme="minorHAnsi"/>
        </w:rPr>
        <w:t xml:space="preserve"> </w:t>
      </w:r>
      <w:r w:rsidRPr="00D753D7">
        <w:rPr>
          <w:rFonts w:cstheme="minorHAnsi"/>
        </w:rPr>
        <w:t>=</w:t>
      </w:r>
      <w:r>
        <w:rPr>
          <w:rFonts w:cstheme="minorHAnsi"/>
        </w:rPr>
        <w:t xml:space="preserve"> the</w:t>
      </w:r>
      <w:r w:rsidRPr="00D753D7">
        <w:rPr>
          <w:rFonts w:cstheme="minorHAnsi"/>
        </w:rPr>
        <w:t xml:space="preserve"> pumping rate</w:t>
      </w:r>
    </w:p>
    <w:p w14:paraId="4C4F9E65" w14:textId="77777777" w:rsidR="004E6E26" w:rsidRDefault="004E6E26" w:rsidP="004E6E26">
      <w:pPr>
        <w:rPr>
          <w:rFonts w:cstheme="minorHAnsi"/>
        </w:rPr>
      </w:pPr>
      <w:r w:rsidRPr="00D753D7">
        <w:rPr>
          <w:rFonts w:ascii="Cambria Math" w:hAnsi="Cambria Math" w:cstheme="minorHAnsi"/>
          <w:i/>
        </w:rPr>
        <w:t>L</w:t>
      </w:r>
      <w:r>
        <w:rPr>
          <w:rFonts w:cstheme="minorHAnsi"/>
        </w:rPr>
        <w:t xml:space="preserve"> = the distance between </w:t>
      </w:r>
      <w:r>
        <w:rPr>
          <w:rFonts w:ascii="Cambria Math" w:hAnsi="Cambria Math" w:cstheme="minorHAnsi"/>
          <w:i/>
        </w:rPr>
        <w:t>h</w:t>
      </w:r>
      <w:r>
        <w:rPr>
          <w:rFonts w:ascii="Cambria Math" w:hAnsi="Cambria Math" w:cstheme="minorHAnsi"/>
          <w:i/>
          <w:vertAlign w:val="subscript"/>
        </w:rPr>
        <w:t>1</w:t>
      </w:r>
      <w:r>
        <w:rPr>
          <w:rFonts w:cstheme="minorHAnsi"/>
        </w:rPr>
        <w:t xml:space="preserve"> and </w:t>
      </w:r>
      <w:r>
        <w:rPr>
          <w:rFonts w:ascii="Cambria Math" w:hAnsi="Cambria Math" w:cstheme="minorHAnsi"/>
          <w:i/>
        </w:rPr>
        <w:t>h</w:t>
      </w:r>
      <w:r>
        <w:rPr>
          <w:rFonts w:ascii="Cambria Math" w:hAnsi="Cambria Math" w:cstheme="minorHAnsi"/>
          <w:i/>
          <w:vertAlign w:val="subscript"/>
        </w:rPr>
        <w:t>2</w:t>
      </w:r>
    </w:p>
    <w:p w14:paraId="257C7650" w14:textId="77777777" w:rsidR="004E6E26" w:rsidRDefault="004E6E26" w:rsidP="004E6E26">
      <w:pPr>
        <w:rPr>
          <w:rFonts w:cstheme="minorHAnsi"/>
        </w:rPr>
      </w:pPr>
      <w:r w:rsidRPr="00D753D7">
        <w:rPr>
          <w:rFonts w:ascii="Cambria Math" w:hAnsi="Cambria Math" w:cstheme="minorHAnsi"/>
          <w:i/>
        </w:rPr>
        <w:t>K</w:t>
      </w:r>
      <w:r>
        <w:rPr>
          <w:rFonts w:cstheme="minorHAnsi"/>
        </w:rPr>
        <w:t xml:space="preserve"> = the hydraulic conductivity</w:t>
      </w:r>
    </w:p>
    <w:p w14:paraId="32D3AAF0" w14:textId="77777777" w:rsidR="004E6E26" w:rsidRDefault="004E6E26" w:rsidP="004E6E26">
      <w:pPr>
        <w:rPr>
          <w:rFonts w:cstheme="minorHAnsi"/>
        </w:rPr>
      </w:pPr>
      <w:r>
        <w:rPr>
          <w:rFonts w:ascii="Cambria Math" w:hAnsi="Cambria Math" w:cstheme="minorHAnsi"/>
          <w:i/>
        </w:rPr>
        <w:t>h</w:t>
      </w:r>
      <w:r>
        <w:rPr>
          <w:rFonts w:ascii="Cambria Math" w:hAnsi="Cambria Math" w:cstheme="minorHAnsi"/>
          <w:i/>
          <w:vertAlign w:val="subscript"/>
        </w:rPr>
        <w:t>1</w:t>
      </w:r>
      <w:r>
        <w:rPr>
          <w:rFonts w:cstheme="minorHAnsi"/>
        </w:rPr>
        <w:t xml:space="preserve"> = the upgradient head</w:t>
      </w:r>
    </w:p>
    <w:p w14:paraId="7D5184C9" w14:textId="77777777" w:rsidR="004E6E26" w:rsidRDefault="004E6E26" w:rsidP="004E6E26">
      <w:pPr>
        <w:rPr>
          <w:rFonts w:cstheme="minorHAnsi"/>
        </w:rPr>
      </w:pPr>
      <w:r>
        <w:rPr>
          <w:rFonts w:ascii="Cambria Math" w:hAnsi="Cambria Math" w:cstheme="minorHAnsi"/>
          <w:i/>
        </w:rPr>
        <w:t>h</w:t>
      </w:r>
      <w:r>
        <w:rPr>
          <w:rFonts w:ascii="Cambria Math" w:hAnsi="Cambria Math" w:cstheme="minorHAnsi"/>
          <w:i/>
          <w:vertAlign w:val="subscript"/>
        </w:rPr>
        <w:t>2</w:t>
      </w:r>
      <w:r>
        <w:rPr>
          <w:rFonts w:cstheme="minorHAnsi"/>
        </w:rPr>
        <w:t xml:space="preserve"> = the downgradient head</w:t>
      </w:r>
    </w:p>
    <w:p w14:paraId="3B601DCA" w14:textId="77777777" w:rsidR="004E6E26" w:rsidRDefault="004E6E26" w:rsidP="004E6E26">
      <w:pPr>
        <w:rPr>
          <w:rFonts w:cstheme="minorHAnsi"/>
        </w:rPr>
      </w:pPr>
    </w:p>
    <w:p w14:paraId="71639124" w14:textId="77777777" w:rsidR="004E6E26" w:rsidRDefault="004E6E26" w:rsidP="004E6E26">
      <w:pPr>
        <w:rPr>
          <w:rFonts w:cstheme="minorHAnsi"/>
        </w:rPr>
      </w:pPr>
      <w:r>
        <w:rPr>
          <w:rFonts w:cstheme="minorHAnsi"/>
        </w:rPr>
        <w:t>The position of the stagnation point is calculated using the following equation:</w:t>
      </w:r>
    </w:p>
    <w:p w14:paraId="13C40C37" w14:textId="77777777" w:rsidR="004E6E26" w:rsidRPr="00D753D7" w:rsidRDefault="004E6E26" w:rsidP="004E6E26">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-QL</m:t>
              </m:r>
            </m:num>
            <m:den>
              <m:r>
                <w:rPr>
                  <w:rFonts w:ascii="Cambria Math" w:hAnsi="Cambria Math"/>
                </w:rPr>
                <m:t>πK(</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r>
                <w:rPr>
                  <w:rFonts w:ascii="Cambria Math" w:hAnsi="Cambria Math"/>
                </w:rPr>
                <m:t>)</m:t>
              </m:r>
            </m:den>
          </m:f>
        </m:oMath>
      </m:oMathPara>
    </w:p>
    <w:p w14:paraId="63155074" w14:textId="77777777" w:rsidR="004E6E26" w:rsidRDefault="004E6E26" w:rsidP="004E6E26">
      <w:r>
        <w:t>where:</w:t>
      </w:r>
    </w:p>
    <w:p w14:paraId="43BC4E01" w14:textId="77777777" w:rsidR="004E6E26" w:rsidRDefault="004E6E26" w:rsidP="004E6E26">
      <w:pPr>
        <w:rPr>
          <w:rFonts w:asciiTheme="majorHAnsi" w:hAnsiTheme="majorHAnsi" w:cstheme="majorHAnsi"/>
        </w:rPr>
      </w:pPr>
      <w:r>
        <w:rPr>
          <w:rFonts w:ascii="Cambria Math" w:hAnsi="Cambria Math"/>
          <w:i/>
        </w:rPr>
        <w:t>x</w:t>
      </w:r>
      <w:r>
        <w:rPr>
          <w:rFonts w:ascii="Cambria Math" w:hAnsi="Cambria Math"/>
          <w:i/>
          <w:vertAlign w:val="subscript"/>
        </w:rPr>
        <w:t>0</w:t>
      </w:r>
      <w:r>
        <w:rPr>
          <w:rFonts w:ascii="Cambria Math" w:hAnsi="Cambria Math"/>
          <w:i/>
        </w:rPr>
        <w:t xml:space="preserve"> </w:t>
      </w:r>
      <w:r w:rsidRPr="00D753D7">
        <w:rPr>
          <w:rFonts w:cstheme="minorHAnsi"/>
        </w:rPr>
        <w:t xml:space="preserve">= the </w:t>
      </w:r>
      <w:r>
        <w:rPr>
          <w:rFonts w:cstheme="minorHAnsi"/>
        </w:rPr>
        <w:t>stagnation point</w:t>
      </w:r>
    </w:p>
    <w:p w14:paraId="2A094A5E" w14:textId="77777777" w:rsidR="004E6E26" w:rsidRDefault="004E6E26" w:rsidP="004E6E26">
      <w:pPr>
        <w:rPr>
          <w:rFonts w:cstheme="minorHAnsi"/>
        </w:rPr>
      </w:pPr>
      <w:r w:rsidRPr="00D753D7">
        <w:rPr>
          <w:rFonts w:ascii="Cambria Math" w:hAnsi="Cambria Math" w:cstheme="minorHAnsi"/>
          <w:i/>
        </w:rPr>
        <w:t>Q</w:t>
      </w:r>
      <w:r>
        <w:rPr>
          <w:rFonts w:cstheme="minorHAnsi"/>
        </w:rPr>
        <w:t xml:space="preserve"> </w:t>
      </w:r>
      <w:r w:rsidRPr="00D753D7">
        <w:rPr>
          <w:rFonts w:cstheme="minorHAnsi"/>
        </w:rPr>
        <w:t>=</w:t>
      </w:r>
      <w:r>
        <w:rPr>
          <w:rFonts w:cstheme="minorHAnsi"/>
        </w:rPr>
        <w:t xml:space="preserve"> the</w:t>
      </w:r>
      <w:r w:rsidRPr="00D753D7">
        <w:rPr>
          <w:rFonts w:cstheme="minorHAnsi"/>
        </w:rPr>
        <w:t xml:space="preserve"> pumping rate</w:t>
      </w:r>
    </w:p>
    <w:p w14:paraId="4176AEFF" w14:textId="77777777" w:rsidR="004E6E26" w:rsidRDefault="004E6E26" w:rsidP="004E6E26">
      <w:pPr>
        <w:rPr>
          <w:rFonts w:cstheme="minorHAnsi"/>
        </w:rPr>
      </w:pPr>
      <w:r w:rsidRPr="00D753D7">
        <w:rPr>
          <w:rFonts w:ascii="Cambria Math" w:hAnsi="Cambria Math" w:cstheme="minorHAnsi"/>
          <w:i/>
        </w:rPr>
        <w:t>L</w:t>
      </w:r>
      <w:r>
        <w:rPr>
          <w:rFonts w:cstheme="minorHAnsi"/>
        </w:rPr>
        <w:t xml:space="preserve"> = the distance between </w:t>
      </w:r>
      <w:r>
        <w:rPr>
          <w:rFonts w:ascii="Cambria Math" w:hAnsi="Cambria Math" w:cstheme="minorHAnsi"/>
          <w:i/>
        </w:rPr>
        <w:t>h</w:t>
      </w:r>
      <w:r>
        <w:rPr>
          <w:rFonts w:ascii="Cambria Math" w:hAnsi="Cambria Math" w:cstheme="minorHAnsi"/>
          <w:i/>
          <w:vertAlign w:val="subscript"/>
        </w:rPr>
        <w:t>1</w:t>
      </w:r>
      <w:r>
        <w:rPr>
          <w:rFonts w:cstheme="minorHAnsi"/>
        </w:rPr>
        <w:t xml:space="preserve"> and </w:t>
      </w:r>
      <w:r>
        <w:rPr>
          <w:rFonts w:ascii="Cambria Math" w:hAnsi="Cambria Math" w:cstheme="minorHAnsi"/>
          <w:i/>
        </w:rPr>
        <w:t>h</w:t>
      </w:r>
      <w:r>
        <w:rPr>
          <w:rFonts w:ascii="Cambria Math" w:hAnsi="Cambria Math" w:cstheme="minorHAnsi"/>
          <w:i/>
          <w:vertAlign w:val="subscript"/>
        </w:rPr>
        <w:t>2</w:t>
      </w:r>
    </w:p>
    <w:p w14:paraId="012444FB" w14:textId="77777777" w:rsidR="004E6E26" w:rsidRDefault="004E6E26" w:rsidP="004E6E26">
      <w:pPr>
        <w:rPr>
          <w:rFonts w:cstheme="minorHAnsi"/>
        </w:rPr>
      </w:pPr>
      <w:r w:rsidRPr="00D753D7">
        <w:rPr>
          <w:rFonts w:ascii="Cambria Math" w:hAnsi="Cambria Math" w:cstheme="minorHAnsi"/>
          <w:i/>
        </w:rPr>
        <w:t>K</w:t>
      </w:r>
      <w:r>
        <w:rPr>
          <w:rFonts w:cstheme="minorHAnsi"/>
        </w:rPr>
        <w:t xml:space="preserve"> = the hydraulic conductivity</w:t>
      </w:r>
    </w:p>
    <w:p w14:paraId="67770A94" w14:textId="77777777" w:rsidR="004E6E26" w:rsidRDefault="004E6E26" w:rsidP="004E6E26">
      <w:pPr>
        <w:rPr>
          <w:rFonts w:cstheme="minorHAnsi"/>
        </w:rPr>
      </w:pPr>
      <w:r>
        <w:rPr>
          <w:rFonts w:ascii="Cambria Math" w:hAnsi="Cambria Math" w:cstheme="minorHAnsi"/>
          <w:i/>
        </w:rPr>
        <w:t>h</w:t>
      </w:r>
      <w:r>
        <w:rPr>
          <w:rFonts w:ascii="Cambria Math" w:hAnsi="Cambria Math" w:cstheme="minorHAnsi"/>
          <w:i/>
          <w:vertAlign w:val="subscript"/>
        </w:rPr>
        <w:t>1</w:t>
      </w:r>
      <w:r>
        <w:rPr>
          <w:rFonts w:cstheme="minorHAnsi"/>
        </w:rPr>
        <w:t xml:space="preserve"> = the upgradient head</w:t>
      </w:r>
    </w:p>
    <w:p w14:paraId="5CDDAED9" w14:textId="77777777" w:rsidR="004E6E26" w:rsidRDefault="004E6E26" w:rsidP="004E6E26">
      <w:pPr>
        <w:rPr>
          <w:rFonts w:cstheme="minorHAnsi"/>
        </w:rPr>
      </w:pPr>
      <w:r>
        <w:rPr>
          <w:rFonts w:ascii="Cambria Math" w:hAnsi="Cambria Math" w:cstheme="minorHAnsi"/>
          <w:i/>
        </w:rPr>
        <w:t>h</w:t>
      </w:r>
      <w:r>
        <w:rPr>
          <w:rFonts w:ascii="Cambria Math" w:hAnsi="Cambria Math" w:cstheme="minorHAnsi"/>
          <w:i/>
          <w:vertAlign w:val="subscript"/>
        </w:rPr>
        <w:t>2</w:t>
      </w:r>
      <w:r>
        <w:rPr>
          <w:rFonts w:cstheme="minorHAnsi"/>
        </w:rPr>
        <w:t xml:space="preserve"> = the downgradient head</w:t>
      </w:r>
      <w:commentRangeEnd w:id="25"/>
      <w:r w:rsidR="00427E19">
        <w:rPr>
          <w:rStyle w:val="CommentReference"/>
        </w:rPr>
        <w:commentReference w:id="25"/>
      </w:r>
    </w:p>
    <w:p w14:paraId="026CCDF7" w14:textId="77777777" w:rsidR="004E6E26" w:rsidRDefault="004E6E26" w:rsidP="00F01FBC">
      <w:pPr>
        <w:pStyle w:val="H2bodytext"/>
      </w:pPr>
    </w:p>
    <w:p w14:paraId="552E9956" w14:textId="77777777" w:rsidR="004E6E26" w:rsidRDefault="004E6E26" w:rsidP="004E6E26">
      <w:pPr>
        <w:pStyle w:val="H2bodytext"/>
        <w:rPr>
          <w:rFonts w:cstheme="minorHAnsi"/>
        </w:rPr>
      </w:pPr>
      <w:r>
        <w:rPr>
          <w:rFonts w:cstheme="minorHAnsi"/>
        </w:rPr>
        <w:t xml:space="preserve">The values used to calculate the analytical solution are shown in Table 1. Using those values, </w:t>
      </w:r>
      <w:proofErr w:type="spellStart"/>
      <w:r w:rsidRPr="00E574A6">
        <w:rPr>
          <w:rFonts w:cstheme="minorHAnsi"/>
        </w:rPr>
        <w:t>y</w:t>
      </w:r>
      <w:r w:rsidRPr="00E574A6">
        <w:rPr>
          <w:rFonts w:cstheme="minorHAnsi"/>
          <w:vertAlign w:val="subscript"/>
        </w:rPr>
        <w:t>max</w:t>
      </w:r>
      <w:proofErr w:type="spellEnd"/>
      <w:r w:rsidRPr="00E574A6">
        <w:rPr>
          <w:rFonts w:cstheme="minorHAnsi"/>
        </w:rPr>
        <w:t xml:space="preserve"> </w:t>
      </w:r>
      <w:r>
        <w:rPr>
          <w:rFonts w:cstheme="minorHAnsi"/>
        </w:rPr>
        <w:t>is calculated to be 160.5 ft, and x</w:t>
      </w:r>
      <w:r>
        <w:rPr>
          <w:rFonts w:cstheme="minorHAnsi"/>
          <w:vertAlign w:val="subscript"/>
        </w:rPr>
        <w:t>0</w:t>
      </w:r>
      <w:r>
        <w:rPr>
          <w:rFonts w:cstheme="minorHAnsi"/>
        </w:rPr>
        <w:t xml:space="preserve"> is calculated to be 51.1 feet. A MODFLOW model was built to reproduce this solution, and its properties are seen in Table 2. The MODFLOW model used the Q and K shown in Table 1. The left and right constant head cell values were set to h</w:t>
      </w:r>
      <w:r>
        <w:rPr>
          <w:rFonts w:cstheme="minorHAnsi"/>
          <w:vertAlign w:val="subscript"/>
        </w:rPr>
        <w:t>1</w:t>
      </w:r>
      <w:r>
        <w:rPr>
          <w:rFonts w:cstheme="minorHAnsi"/>
        </w:rPr>
        <w:t xml:space="preserve"> and h</w:t>
      </w:r>
      <w:r>
        <w:rPr>
          <w:rFonts w:cstheme="minorHAnsi"/>
          <w:vertAlign w:val="subscript"/>
        </w:rPr>
        <w:t>2</w:t>
      </w:r>
      <w:r>
        <w:rPr>
          <w:rFonts w:cstheme="minorHAnsi"/>
        </w:rPr>
        <w:t xml:space="preserve">, respectively. The width of the model was set to 40,000 meters, the L value used in the analytic method. </w:t>
      </w:r>
    </w:p>
    <w:p w14:paraId="6D6556A1" w14:textId="283004A3" w:rsidR="004E6E26" w:rsidRPr="004E6E26" w:rsidRDefault="004E6E26" w:rsidP="004E6E26">
      <w:pPr>
        <w:pStyle w:val="H2bodytext"/>
      </w:pPr>
      <w:r>
        <w:rPr>
          <w:rFonts w:cstheme="minorHAnsi"/>
        </w:rPr>
        <w:t>Reverse particle tracking was chosen to evaluate the capture zone shape. Three particles were seeded at the [</w:t>
      </w:r>
      <w:commentRangeStart w:id="26"/>
      <w:r>
        <w:rPr>
          <w:rFonts w:cstheme="minorHAnsi"/>
        </w:rPr>
        <w:t>right</w:t>
      </w:r>
      <w:commentRangeEnd w:id="26"/>
      <w:r>
        <w:rPr>
          <w:rStyle w:val="CommentReference"/>
        </w:rPr>
        <w:commentReference w:id="26"/>
      </w:r>
      <w:r>
        <w:rPr>
          <w:rFonts w:cstheme="minorHAnsi"/>
        </w:rPr>
        <w:t xml:space="preserve"> side] of the well cell, one at 50% of the cell length, one at 0.49, and one at 0.</w:t>
      </w:r>
      <w:commentRangeStart w:id="27"/>
      <w:r>
        <w:rPr>
          <w:rFonts w:cstheme="minorHAnsi"/>
        </w:rPr>
        <w:t>51</w:t>
      </w:r>
      <w:commentRangeEnd w:id="27"/>
      <w:r w:rsidR="00427E19">
        <w:rPr>
          <w:rStyle w:val="CommentReference"/>
          <w:rFonts w:ascii="Times New Roman" w:hAnsi="Times New Roman"/>
        </w:rPr>
        <w:commentReference w:id="27"/>
      </w:r>
      <w:r>
        <w:rPr>
          <w:rFonts w:cstheme="minorHAnsi"/>
        </w:rPr>
        <w:t>. This was done to get as close to the boundary of the capture zone as possible.</w:t>
      </w:r>
    </w:p>
    <w:p w14:paraId="18FBE383" w14:textId="77777777" w:rsidR="00427E19" w:rsidRPr="00E574A6" w:rsidRDefault="00427E19" w:rsidP="00427E19">
      <w:pPr>
        <w:rPr>
          <w:rFonts w:cstheme="minorHAnsi"/>
        </w:rPr>
      </w:pPr>
    </w:p>
    <w:tbl>
      <w:tblPr>
        <w:tblW w:w="5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1573"/>
        <w:gridCol w:w="1665"/>
      </w:tblGrid>
      <w:tr w:rsidR="00427E19" w:rsidRPr="00F278DB" w14:paraId="37DECAC6" w14:textId="77777777" w:rsidTr="00DA3332">
        <w:trPr>
          <w:trHeight w:val="291"/>
          <w:tblHeader/>
          <w:jc w:val="center"/>
        </w:trPr>
        <w:tc>
          <w:tcPr>
            <w:tcW w:w="5361" w:type="dxa"/>
            <w:gridSpan w:val="3"/>
            <w:tcBorders>
              <w:top w:val="nil"/>
              <w:left w:val="nil"/>
              <w:bottom w:val="single" w:sz="4" w:space="0" w:color="auto"/>
              <w:right w:val="nil"/>
            </w:tcBorders>
            <w:shd w:val="clear" w:color="auto" w:fill="auto"/>
            <w:noWrap/>
            <w:vAlign w:val="bottom"/>
          </w:tcPr>
          <w:p w14:paraId="1253E758" w14:textId="77777777" w:rsidR="00427E19" w:rsidRPr="00F278DB" w:rsidRDefault="00427E19" w:rsidP="00DA3332">
            <w:pPr>
              <w:pStyle w:val="TableHead"/>
            </w:pPr>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t>. Model Properties Used in Analytical Solution</w:t>
            </w:r>
          </w:p>
        </w:tc>
      </w:tr>
      <w:tr w:rsidR="00427E19" w:rsidRPr="00F278DB" w14:paraId="54C17EB0" w14:textId="77777777" w:rsidTr="00DA3332">
        <w:trPr>
          <w:trHeight w:val="291"/>
          <w:tblHeader/>
          <w:jc w:val="center"/>
        </w:trPr>
        <w:tc>
          <w:tcPr>
            <w:tcW w:w="2123" w:type="dxa"/>
            <w:tcBorders>
              <w:top w:val="single" w:sz="4" w:space="0" w:color="auto"/>
            </w:tcBorders>
            <w:shd w:val="clear" w:color="auto" w:fill="D9D9D9" w:themeFill="background1" w:themeFillShade="D9"/>
            <w:noWrap/>
            <w:vAlign w:val="bottom"/>
          </w:tcPr>
          <w:p w14:paraId="7915E36B" w14:textId="77777777" w:rsidR="00427E19" w:rsidRPr="00F278DB" w:rsidRDefault="00427E19" w:rsidP="00DA3332">
            <w:pPr>
              <w:pStyle w:val="TableHead"/>
            </w:pPr>
            <w:r w:rsidRPr="00F278DB">
              <w:t>Variable name</w:t>
            </w:r>
          </w:p>
        </w:tc>
        <w:tc>
          <w:tcPr>
            <w:tcW w:w="1573" w:type="dxa"/>
            <w:tcBorders>
              <w:top w:val="single" w:sz="4" w:space="0" w:color="auto"/>
            </w:tcBorders>
            <w:shd w:val="clear" w:color="auto" w:fill="D9D9D9" w:themeFill="background1" w:themeFillShade="D9"/>
            <w:noWrap/>
            <w:vAlign w:val="bottom"/>
          </w:tcPr>
          <w:p w14:paraId="57C289BD" w14:textId="77777777" w:rsidR="00427E19" w:rsidRPr="00F278DB" w:rsidRDefault="00427E19" w:rsidP="00DA3332">
            <w:pPr>
              <w:pStyle w:val="TableHead"/>
            </w:pPr>
            <w:r w:rsidRPr="00F278DB">
              <w:t xml:space="preserve">Variable </w:t>
            </w:r>
            <w:r>
              <w:t>V</w:t>
            </w:r>
            <w:r w:rsidRPr="00F278DB">
              <w:t>alue</w:t>
            </w:r>
          </w:p>
        </w:tc>
        <w:tc>
          <w:tcPr>
            <w:tcW w:w="1665" w:type="dxa"/>
            <w:tcBorders>
              <w:top w:val="single" w:sz="4" w:space="0" w:color="auto"/>
            </w:tcBorders>
            <w:shd w:val="clear" w:color="auto" w:fill="D9D9D9" w:themeFill="background1" w:themeFillShade="D9"/>
            <w:noWrap/>
            <w:vAlign w:val="bottom"/>
          </w:tcPr>
          <w:p w14:paraId="5D2AF9E4" w14:textId="77777777" w:rsidR="00427E19" w:rsidRPr="00F278DB" w:rsidRDefault="00427E19" w:rsidP="00DA3332">
            <w:pPr>
              <w:pStyle w:val="TableHead"/>
            </w:pPr>
            <w:r w:rsidRPr="00F278DB">
              <w:t>Units</w:t>
            </w:r>
          </w:p>
        </w:tc>
      </w:tr>
      <w:tr w:rsidR="00427E19" w:rsidRPr="00F278DB" w14:paraId="7934CE06" w14:textId="77777777" w:rsidTr="00DA3332">
        <w:trPr>
          <w:trHeight w:val="291"/>
          <w:jc w:val="center"/>
        </w:trPr>
        <w:tc>
          <w:tcPr>
            <w:tcW w:w="2123" w:type="dxa"/>
            <w:shd w:val="clear" w:color="auto" w:fill="auto"/>
            <w:noWrap/>
            <w:vAlign w:val="bottom"/>
          </w:tcPr>
          <w:p w14:paraId="1E25FE21" w14:textId="77777777" w:rsidR="00427E19" w:rsidRPr="00F278DB" w:rsidRDefault="00427E19" w:rsidP="00DA3332">
            <w:pPr>
              <w:pStyle w:val="TableBody"/>
            </w:pPr>
            <w:r>
              <w:t>Extraction rate (Q)</w:t>
            </w:r>
          </w:p>
        </w:tc>
        <w:tc>
          <w:tcPr>
            <w:tcW w:w="1573" w:type="dxa"/>
            <w:shd w:val="clear" w:color="auto" w:fill="auto"/>
            <w:noWrap/>
            <w:vAlign w:val="bottom"/>
          </w:tcPr>
          <w:p w14:paraId="329309D0" w14:textId="77777777" w:rsidR="00427E19" w:rsidRPr="00F278DB" w:rsidRDefault="00427E19" w:rsidP="00DA3332">
            <w:pPr>
              <w:pStyle w:val="TableBody"/>
              <w:jc w:val="center"/>
            </w:pPr>
            <w:r>
              <w:t>2.5</w:t>
            </w:r>
          </w:p>
        </w:tc>
        <w:tc>
          <w:tcPr>
            <w:tcW w:w="1665" w:type="dxa"/>
            <w:shd w:val="clear" w:color="auto" w:fill="auto"/>
            <w:noWrap/>
            <w:vAlign w:val="bottom"/>
          </w:tcPr>
          <w:p w14:paraId="4DEC3186" w14:textId="77777777" w:rsidR="00427E19" w:rsidRPr="00F278DB" w:rsidRDefault="00427E19" w:rsidP="00DA3332">
            <w:pPr>
              <w:pStyle w:val="TableBody"/>
              <w:jc w:val="center"/>
            </w:pPr>
            <w:r>
              <w:t>gal/min</w:t>
            </w:r>
          </w:p>
        </w:tc>
      </w:tr>
      <w:tr w:rsidR="00427E19" w:rsidRPr="00F278DB" w14:paraId="4A6CFF2F" w14:textId="77777777" w:rsidTr="00DA3332">
        <w:trPr>
          <w:trHeight w:val="291"/>
          <w:jc w:val="center"/>
        </w:trPr>
        <w:tc>
          <w:tcPr>
            <w:tcW w:w="2123" w:type="dxa"/>
            <w:shd w:val="clear" w:color="auto" w:fill="auto"/>
            <w:noWrap/>
            <w:vAlign w:val="bottom"/>
          </w:tcPr>
          <w:p w14:paraId="79D0AF0B" w14:textId="77777777" w:rsidR="00427E19" w:rsidRPr="00F278DB" w:rsidRDefault="00427E19" w:rsidP="00DA3332">
            <w:pPr>
              <w:pStyle w:val="TableBody"/>
            </w:pPr>
            <w:r w:rsidRPr="00F278DB">
              <w:t>Hydraulic conductivity</w:t>
            </w:r>
            <w:r>
              <w:t xml:space="preserve"> (K)</w:t>
            </w:r>
          </w:p>
        </w:tc>
        <w:tc>
          <w:tcPr>
            <w:tcW w:w="1573" w:type="dxa"/>
            <w:shd w:val="clear" w:color="auto" w:fill="auto"/>
            <w:noWrap/>
            <w:vAlign w:val="bottom"/>
          </w:tcPr>
          <w:p w14:paraId="55D8245E" w14:textId="77777777" w:rsidR="00427E19" w:rsidRPr="00F278DB" w:rsidRDefault="00427E19" w:rsidP="00DA3332">
            <w:pPr>
              <w:pStyle w:val="TableBody"/>
              <w:jc w:val="center"/>
            </w:pPr>
            <w:r>
              <w:t>10</w:t>
            </w:r>
          </w:p>
        </w:tc>
        <w:tc>
          <w:tcPr>
            <w:tcW w:w="1665" w:type="dxa"/>
            <w:shd w:val="clear" w:color="auto" w:fill="auto"/>
            <w:noWrap/>
            <w:vAlign w:val="bottom"/>
          </w:tcPr>
          <w:p w14:paraId="5FF80F3A" w14:textId="77777777" w:rsidR="00427E19" w:rsidRPr="00F278DB" w:rsidRDefault="00427E19" w:rsidP="00DA3332">
            <w:pPr>
              <w:pStyle w:val="TableBody"/>
              <w:jc w:val="center"/>
            </w:pPr>
            <w:r>
              <w:t>ft/day</w:t>
            </w:r>
          </w:p>
        </w:tc>
      </w:tr>
      <w:tr w:rsidR="00427E19" w:rsidRPr="00F278DB" w14:paraId="37C6A632" w14:textId="77777777" w:rsidTr="00DA3332">
        <w:trPr>
          <w:trHeight w:val="291"/>
          <w:jc w:val="center"/>
        </w:trPr>
        <w:tc>
          <w:tcPr>
            <w:tcW w:w="2123" w:type="dxa"/>
            <w:shd w:val="clear" w:color="auto" w:fill="auto"/>
            <w:noWrap/>
            <w:vAlign w:val="bottom"/>
          </w:tcPr>
          <w:p w14:paraId="5286831E" w14:textId="77777777" w:rsidR="00427E19" w:rsidRDefault="00427E19" w:rsidP="00DA3332">
            <w:pPr>
              <w:pStyle w:val="TableBody"/>
            </w:pPr>
            <w:r>
              <w:t>h</w:t>
            </w:r>
            <w:r>
              <w:rPr>
                <w:vertAlign w:val="subscript"/>
              </w:rPr>
              <w:t>1</w:t>
            </w:r>
            <w:r>
              <w:t xml:space="preserve"> head</w:t>
            </w:r>
          </w:p>
        </w:tc>
        <w:tc>
          <w:tcPr>
            <w:tcW w:w="1573" w:type="dxa"/>
            <w:shd w:val="clear" w:color="auto" w:fill="auto"/>
            <w:noWrap/>
            <w:vAlign w:val="bottom"/>
          </w:tcPr>
          <w:p w14:paraId="0D60F5F6" w14:textId="77777777" w:rsidR="00427E19" w:rsidRDefault="00427E19" w:rsidP="00DA3332">
            <w:pPr>
              <w:pStyle w:val="TableBody"/>
              <w:jc w:val="center"/>
            </w:pPr>
            <w:r>
              <w:t>200</w:t>
            </w:r>
          </w:p>
        </w:tc>
        <w:tc>
          <w:tcPr>
            <w:tcW w:w="1665" w:type="dxa"/>
            <w:shd w:val="clear" w:color="auto" w:fill="auto"/>
            <w:noWrap/>
            <w:vAlign w:val="bottom"/>
          </w:tcPr>
          <w:p w14:paraId="5BC88C99" w14:textId="77777777" w:rsidR="00427E19" w:rsidRDefault="00427E19" w:rsidP="00DA3332">
            <w:pPr>
              <w:pStyle w:val="TableBody"/>
              <w:jc w:val="center"/>
            </w:pPr>
            <w:r>
              <w:t>ft</w:t>
            </w:r>
          </w:p>
        </w:tc>
      </w:tr>
      <w:tr w:rsidR="00427E19" w:rsidRPr="00F278DB" w14:paraId="4DFF4E86" w14:textId="77777777" w:rsidTr="00DA3332">
        <w:trPr>
          <w:trHeight w:val="291"/>
          <w:jc w:val="center"/>
        </w:trPr>
        <w:tc>
          <w:tcPr>
            <w:tcW w:w="2123" w:type="dxa"/>
            <w:shd w:val="clear" w:color="auto" w:fill="auto"/>
            <w:noWrap/>
            <w:vAlign w:val="bottom"/>
          </w:tcPr>
          <w:p w14:paraId="5AE2931F" w14:textId="77777777" w:rsidR="00427E19" w:rsidRDefault="00427E19" w:rsidP="00DA3332">
            <w:pPr>
              <w:pStyle w:val="TableBody"/>
            </w:pPr>
            <w:r>
              <w:t>h</w:t>
            </w:r>
            <w:r>
              <w:rPr>
                <w:vertAlign w:val="subscript"/>
              </w:rPr>
              <w:t>2</w:t>
            </w:r>
            <w:r>
              <w:t xml:space="preserve"> head</w:t>
            </w:r>
          </w:p>
        </w:tc>
        <w:tc>
          <w:tcPr>
            <w:tcW w:w="1573" w:type="dxa"/>
            <w:shd w:val="clear" w:color="auto" w:fill="auto"/>
            <w:noWrap/>
            <w:vAlign w:val="bottom"/>
          </w:tcPr>
          <w:p w14:paraId="4132E6A0" w14:textId="77777777" w:rsidR="00427E19" w:rsidRDefault="00427E19" w:rsidP="00DA3332">
            <w:pPr>
              <w:pStyle w:val="TableBody"/>
              <w:jc w:val="center"/>
            </w:pPr>
            <w:r>
              <w:t>167.35</w:t>
            </w:r>
          </w:p>
        </w:tc>
        <w:tc>
          <w:tcPr>
            <w:tcW w:w="1665" w:type="dxa"/>
            <w:shd w:val="clear" w:color="auto" w:fill="auto"/>
            <w:noWrap/>
            <w:vAlign w:val="bottom"/>
          </w:tcPr>
          <w:p w14:paraId="58C66436" w14:textId="77777777" w:rsidR="00427E19" w:rsidRDefault="00427E19" w:rsidP="00DA3332">
            <w:pPr>
              <w:pStyle w:val="TableBody"/>
              <w:jc w:val="center"/>
            </w:pPr>
            <w:r>
              <w:t>ft</w:t>
            </w:r>
          </w:p>
        </w:tc>
      </w:tr>
      <w:tr w:rsidR="00427E19" w:rsidRPr="00F278DB" w14:paraId="05D3E1DF" w14:textId="77777777" w:rsidTr="00DA3332">
        <w:trPr>
          <w:trHeight w:val="291"/>
          <w:jc w:val="center"/>
        </w:trPr>
        <w:tc>
          <w:tcPr>
            <w:tcW w:w="2123" w:type="dxa"/>
            <w:shd w:val="clear" w:color="auto" w:fill="auto"/>
            <w:noWrap/>
            <w:vAlign w:val="bottom"/>
          </w:tcPr>
          <w:p w14:paraId="56743B87" w14:textId="77777777" w:rsidR="00427E19" w:rsidRDefault="00427E19" w:rsidP="00DA3332">
            <w:pPr>
              <w:pStyle w:val="TableBody"/>
            </w:pPr>
            <w:r>
              <w:t>Distance between h</w:t>
            </w:r>
            <w:r w:rsidRPr="00BE6ADC">
              <w:rPr>
                <w:vertAlign w:val="subscript"/>
              </w:rPr>
              <w:t>1</w:t>
            </w:r>
            <w:r>
              <w:t xml:space="preserve"> and h</w:t>
            </w:r>
            <w:r w:rsidRPr="00BE6ADC">
              <w:rPr>
                <w:vertAlign w:val="subscript"/>
              </w:rPr>
              <w:t>2</w:t>
            </w:r>
            <w:r>
              <w:t xml:space="preserve"> (L)</w:t>
            </w:r>
          </w:p>
        </w:tc>
        <w:tc>
          <w:tcPr>
            <w:tcW w:w="1573" w:type="dxa"/>
            <w:shd w:val="clear" w:color="auto" w:fill="auto"/>
            <w:noWrap/>
            <w:vAlign w:val="bottom"/>
          </w:tcPr>
          <w:p w14:paraId="441C8382" w14:textId="77777777" w:rsidR="00427E19" w:rsidRDefault="00427E19" w:rsidP="00DA3332">
            <w:pPr>
              <w:pStyle w:val="TableBody"/>
              <w:jc w:val="center"/>
            </w:pPr>
            <w:r>
              <w:t>40,000</w:t>
            </w:r>
          </w:p>
        </w:tc>
        <w:tc>
          <w:tcPr>
            <w:tcW w:w="1665" w:type="dxa"/>
            <w:shd w:val="clear" w:color="auto" w:fill="auto"/>
            <w:noWrap/>
            <w:vAlign w:val="bottom"/>
          </w:tcPr>
          <w:p w14:paraId="14EDE76C" w14:textId="77777777" w:rsidR="00427E19" w:rsidRDefault="00427E19" w:rsidP="00DA3332">
            <w:pPr>
              <w:pStyle w:val="TableBody"/>
              <w:jc w:val="center"/>
            </w:pPr>
            <w:r>
              <w:t>ft</w:t>
            </w:r>
          </w:p>
        </w:tc>
      </w:tr>
    </w:tbl>
    <w:p w14:paraId="2C8CCE00" w14:textId="77777777" w:rsidR="00427E19" w:rsidRDefault="00427E19" w:rsidP="00427E19">
      <w:pPr>
        <w:pStyle w:val="Caption"/>
      </w:pPr>
    </w:p>
    <w:tbl>
      <w:tblPr>
        <w:tblW w:w="5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1573"/>
        <w:gridCol w:w="1665"/>
      </w:tblGrid>
      <w:tr w:rsidR="00427E19" w:rsidRPr="00F278DB" w14:paraId="7838B6B2" w14:textId="77777777" w:rsidTr="00DA3332">
        <w:trPr>
          <w:trHeight w:val="291"/>
          <w:tblHeader/>
          <w:jc w:val="center"/>
        </w:trPr>
        <w:tc>
          <w:tcPr>
            <w:tcW w:w="5361" w:type="dxa"/>
            <w:gridSpan w:val="3"/>
            <w:tcBorders>
              <w:top w:val="nil"/>
              <w:left w:val="nil"/>
              <w:bottom w:val="single" w:sz="4" w:space="0" w:color="auto"/>
              <w:right w:val="nil"/>
            </w:tcBorders>
            <w:shd w:val="clear" w:color="auto" w:fill="auto"/>
            <w:noWrap/>
            <w:vAlign w:val="bottom"/>
          </w:tcPr>
          <w:p w14:paraId="30C7B35D" w14:textId="77777777" w:rsidR="00427E19" w:rsidRPr="00905E0C" w:rsidRDefault="00427E19" w:rsidP="00DA3332">
            <w:pPr>
              <w:pStyle w:val="TableBody"/>
              <w:jc w:val="center"/>
              <w:rPr>
                <w:b/>
              </w:rPr>
            </w:pPr>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t>. Model Properties</w:t>
            </w:r>
          </w:p>
        </w:tc>
      </w:tr>
      <w:tr w:rsidR="00427E19" w:rsidRPr="00F278DB" w14:paraId="1143EBA7" w14:textId="77777777" w:rsidTr="00DA3332">
        <w:trPr>
          <w:trHeight w:val="291"/>
          <w:tblHeader/>
          <w:jc w:val="center"/>
        </w:trPr>
        <w:tc>
          <w:tcPr>
            <w:tcW w:w="2123" w:type="dxa"/>
            <w:tcBorders>
              <w:top w:val="single" w:sz="4" w:space="0" w:color="auto"/>
            </w:tcBorders>
            <w:shd w:val="clear" w:color="auto" w:fill="D9D9D9" w:themeFill="background1" w:themeFillShade="D9"/>
            <w:noWrap/>
            <w:vAlign w:val="bottom"/>
          </w:tcPr>
          <w:p w14:paraId="32C5C88B" w14:textId="77777777" w:rsidR="00427E19" w:rsidRPr="00905E0C" w:rsidRDefault="00427E19" w:rsidP="00DA3332">
            <w:pPr>
              <w:pStyle w:val="TableBody"/>
              <w:rPr>
                <w:b/>
              </w:rPr>
            </w:pPr>
            <w:r w:rsidRPr="00905E0C">
              <w:rPr>
                <w:b/>
              </w:rPr>
              <w:t>Variable name</w:t>
            </w:r>
          </w:p>
        </w:tc>
        <w:tc>
          <w:tcPr>
            <w:tcW w:w="1573" w:type="dxa"/>
            <w:tcBorders>
              <w:top w:val="single" w:sz="4" w:space="0" w:color="auto"/>
            </w:tcBorders>
            <w:shd w:val="clear" w:color="auto" w:fill="D9D9D9" w:themeFill="background1" w:themeFillShade="D9"/>
            <w:noWrap/>
            <w:vAlign w:val="bottom"/>
          </w:tcPr>
          <w:p w14:paraId="68AB5C54" w14:textId="77777777" w:rsidR="00427E19" w:rsidRPr="00905E0C" w:rsidRDefault="00427E19" w:rsidP="00DA3332">
            <w:pPr>
              <w:pStyle w:val="TableBody"/>
              <w:jc w:val="center"/>
              <w:rPr>
                <w:b/>
              </w:rPr>
            </w:pPr>
            <w:r w:rsidRPr="00905E0C">
              <w:rPr>
                <w:b/>
              </w:rPr>
              <w:t>Variable Value</w:t>
            </w:r>
          </w:p>
        </w:tc>
        <w:tc>
          <w:tcPr>
            <w:tcW w:w="1665" w:type="dxa"/>
            <w:tcBorders>
              <w:top w:val="single" w:sz="4" w:space="0" w:color="auto"/>
            </w:tcBorders>
            <w:shd w:val="clear" w:color="auto" w:fill="D9D9D9" w:themeFill="background1" w:themeFillShade="D9"/>
            <w:noWrap/>
            <w:vAlign w:val="bottom"/>
          </w:tcPr>
          <w:p w14:paraId="1101E892" w14:textId="77777777" w:rsidR="00427E19" w:rsidRPr="00905E0C" w:rsidRDefault="00427E19" w:rsidP="00DA3332">
            <w:pPr>
              <w:pStyle w:val="TableBody"/>
              <w:jc w:val="center"/>
              <w:rPr>
                <w:b/>
              </w:rPr>
            </w:pPr>
            <w:r w:rsidRPr="00905E0C">
              <w:rPr>
                <w:b/>
              </w:rPr>
              <w:t>Units</w:t>
            </w:r>
          </w:p>
        </w:tc>
      </w:tr>
      <w:tr w:rsidR="00427E19" w:rsidRPr="00F278DB" w14:paraId="73E142DE" w14:textId="77777777" w:rsidTr="00DA3332">
        <w:trPr>
          <w:trHeight w:val="291"/>
          <w:jc w:val="center"/>
        </w:trPr>
        <w:tc>
          <w:tcPr>
            <w:tcW w:w="2123" w:type="dxa"/>
            <w:shd w:val="clear" w:color="auto" w:fill="auto"/>
            <w:noWrap/>
            <w:vAlign w:val="bottom"/>
          </w:tcPr>
          <w:p w14:paraId="75B42B80" w14:textId="77777777" w:rsidR="00427E19" w:rsidRDefault="00427E19" w:rsidP="00DA3332">
            <w:pPr>
              <w:pStyle w:val="TableBody"/>
            </w:pPr>
            <w:r>
              <w:t>Pumping well location</w:t>
            </w:r>
          </w:p>
        </w:tc>
        <w:tc>
          <w:tcPr>
            <w:tcW w:w="1573" w:type="dxa"/>
            <w:shd w:val="clear" w:color="auto" w:fill="auto"/>
            <w:noWrap/>
            <w:vAlign w:val="bottom"/>
          </w:tcPr>
          <w:p w14:paraId="1BF5B26E" w14:textId="77777777" w:rsidR="00427E19" w:rsidRDefault="00427E19" w:rsidP="00DA3332">
            <w:pPr>
              <w:pStyle w:val="TableBody"/>
              <w:jc w:val="center"/>
            </w:pPr>
            <w:r>
              <w:t>Row 201, column 311</w:t>
            </w:r>
          </w:p>
        </w:tc>
        <w:tc>
          <w:tcPr>
            <w:tcW w:w="1665" w:type="dxa"/>
            <w:shd w:val="clear" w:color="auto" w:fill="auto"/>
            <w:noWrap/>
            <w:vAlign w:val="bottom"/>
          </w:tcPr>
          <w:p w14:paraId="3BCAF336" w14:textId="77777777" w:rsidR="00427E19" w:rsidRDefault="00427E19" w:rsidP="00DA3332">
            <w:pPr>
              <w:pStyle w:val="TableBody"/>
              <w:jc w:val="center"/>
            </w:pPr>
            <w:r>
              <w:t>N/A</w:t>
            </w:r>
          </w:p>
        </w:tc>
      </w:tr>
      <w:tr w:rsidR="00427E19" w:rsidRPr="00F278DB" w14:paraId="21A5D367" w14:textId="77777777" w:rsidTr="00DA3332">
        <w:trPr>
          <w:trHeight w:val="291"/>
          <w:jc w:val="center"/>
        </w:trPr>
        <w:tc>
          <w:tcPr>
            <w:tcW w:w="2123" w:type="dxa"/>
            <w:shd w:val="clear" w:color="auto" w:fill="auto"/>
            <w:noWrap/>
            <w:vAlign w:val="bottom"/>
          </w:tcPr>
          <w:p w14:paraId="23CF4034" w14:textId="77777777" w:rsidR="00427E19" w:rsidRPr="00F278DB" w:rsidRDefault="00427E19" w:rsidP="00DA3332">
            <w:pPr>
              <w:pStyle w:val="TableBody"/>
            </w:pPr>
            <w:r w:rsidRPr="00F278DB">
              <w:t>Porosity</w:t>
            </w:r>
          </w:p>
        </w:tc>
        <w:tc>
          <w:tcPr>
            <w:tcW w:w="1573" w:type="dxa"/>
            <w:shd w:val="clear" w:color="auto" w:fill="auto"/>
            <w:noWrap/>
            <w:vAlign w:val="bottom"/>
          </w:tcPr>
          <w:p w14:paraId="60DEC09D" w14:textId="77777777" w:rsidR="00427E19" w:rsidRPr="00F278DB" w:rsidRDefault="00427E19" w:rsidP="00DA3332">
            <w:pPr>
              <w:pStyle w:val="TableBody"/>
              <w:jc w:val="center"/>
            </w:pPr>
            <w:r>
              <w:t>0.3</w:t>
            </w:r>
          </w:p>
        </w:tc>
        <w:tc>
          <w:tcPr>
            <w:tcW w:w="1665" w:type="dxa"/>
            <w:shd w:val="clear" w:color="auto" w:fill="auto"/>
            <w:noWrap/>
            <w:vAlign w:val="bottom"/>
          </w:tcPr>
          <w:p w14:paraId="5C9029F0" w14:textId="77777777" w:rsidR="00427E19" w:rsidRPr="00F278DB" w:rsidRDefault="00427E19" w:rsidP="00DA3332">
            <w:pPr>
              <w:pStyle w:val="TableBody"/>
              <w:jc w:val="center"/>
            </w:pPr>
            <w:r w:rsidRPr="00F278DB">
              <w:t>N/A</w:t>
            </w:r>
          </w:p>
        </w:tc>
      </w:tr>
      <w:tr w:rsidR="00427E19" w:rsidRPr="00F278DB" w14:paraId="578763EE" w14:textId="77777777" w:rsidTr="00DA3332">
        <w:trPr>
          <w:trHeight w:val="291"/>
          <w:jc w:val="center"/>
        </w:trPr>
        <w:tc>
          <w:tcPr>
            <w:tcW w:w="2123" w:type="dxa"/>
            <w:shd w:val="clear" w:color="auto" w:fill="auto"/>
            <w:noWrap/>
            <w:vAlign w:val="bottom"/>
          </w:tcPr>
          <w:p w14:paraId="71ABC984" w14:textId="77777777" w:rsidR="00427E19" w:rsidRPr="00F278DB" w:rsidRDefault="00427E19" w:rsidP="00DA3332">
            <w:pPr>
              <w:pStyle w:val="TableBody"/>
            </w:pPr>
            <w:r w:rsidRPr="00F278DB">
              <w:t>Constant head</w:t>
            </w:r>
            <w:r>
              <w:t xml:space="preserve"> (left)</w:t>
            </w:r>
          </w:p>
        </w:tc>
        <w:tc>
          <w:tcPr>
            <w:tcW w:w="1573" w:type="dxa"/>
            <w:shd w:val="clear" w:color="auto" w:fill="auto"/>
            <w:noWrap/>
            <w:vAlign w:val="bottom"/>
          </w:tcPr>
          <w:p w14:paraId="665EC882" w14:textId="77777777" w:rsidR="00427E19" w:rsidRPr="00F278DB" w:rsidRDefault="00427E19" w:rsidP="00DA3332">
            <w:pPr>
              <w:pStyle w:val="TableBody"/>
              <w:jc w:val="center"/>
            </w:pPr>
            <w:r>
              <w:t>200</w:t>
            </w:r>
          </w:p>
        </w:tc>
        <w:tc>
          <w:tcPr>
            <w:tcW w:w="1665" w:type="dxa"/>
            <w:shd w:val="clear" w:color="auto" w:fill="auto"/>
            <w:noWrap/>
            <w:vAlign w:val="bottom"/>
          </w:tcPr>
          <w:p w14:paraId="5D3F114B" w14:textId="77777777" w:rsidR="00427E19" w:rsidRPr="00F278DB" w:rsidRDefault="00427E19" w:rsidP="00DA3332">
            <w:pPr>
              <w:pStyle w:val="TableBody"/>
              <w:jc w:val="center"/>
            </w:pPr>
            <w:r>
              <w:t>ft</w:t>
            </w:r>
          </w:p>
        </w:tc>
      </w:tr>
      <w:tr w:rsidR="00427E19" w:rsidRPr="00F278DB" w14:paraId="20ED581F" w14:textId="77777777" w:rsidTr="00DA3332">
        <w:trPr>
          <w:trHeight w:val="291"/>
          <w:jc w:val="center"/>
        </w:trPr>
        <w:tc>
          <w:tcPr>
            <w:tcW w:w="2123" w:type="dxa"/>
            <w:shd w:val="clear" w:color="auto" w:fill="auto"/>
            <w:noWrap/>
            <w:vAlign w:val="bottom"/>
          </w:tcPr>
          <w:p w14:paraId="00117AB4" w14:textId="77777777" w:rsidR="00427E19" w:rsidRPr="00F278DB" w:rsidRDefault="00427E19" w:rsidP="00DA3332">
            <w:pPr>
              <w:pStyle w:val="TableBody"/>
            </w:pPr>
            <w:r>
              <w:t>Constant head (right)</w:t>
            </w:r>
          </w:p>
        </w:tc>
        <w:tc>
          <w:tcPr>
            <w:tcW w:w="1573" w:type="dxa"/>
            <w:shd w:val="clear" w:color="auto" w:fill="auto"/>
            <w:noWrap/>
            <w:vAlign w:val="bottom"/>
          </w:tcPr>
          <w:p w14:paraId="399D0BAE" w14:textId="77777777" w:rsidR="00427E19" w:rsidRDefault="00427E19" w:rsidP="00DA3332">
            <w:pPr>
              <w:pStyle w:val="TableBody"/>
              <w:jc w:val="center"/>
            </w:pPr>
            <w:r>
              <w:t>167.35</w:t>
            </w:r>
          </w:p>
        </w:tc>
        <w:tc>
          <w:tcPr>
            <w:tcW w:w="1665" w:type="dxa"/>
            <w:shd w:val="clear" w:color="auto" w:fill="auto"/>
            <w:noWrap/>
            <w:vAlign w:val="bottom"/>
          </w:tcPr>
          <w:p w14:paraId="58D5E635" w14:textId="77777777" w:rsidR="00427E19" w:rsidRDefault="00427E19" w:rsidP="00DA3332">
            <w:pPr>
              <w:pStyle w:val="TableBody"/>
              <w:jc w:val="center"/>
            </w:pPr>
            <w:r>
              <w:t>ft</w:t>
            </w:r>
          </w:p>
        </w:tc>
      </w:tr>
      <w:tr w:rsidR="00427E19" w14:paraId="19C7C37F" w14:textId="77777777" w:rsidTr="00DA3332">
        <w:trPr>
          <w:trHeight w:val="291"/>
          <w:jc w:val="center"/>
        </w:trPr>
        <w:tc>
          <w:tcPr>
            <w:tcW w:w="2123" w:type="dxa"/>
            <w:shd w:val="clear" w:color="auto" w:fill="auto"/>
            <w:noWrap/>
            <w:vAlign w:val="bottom"/>
          </w:tcPr>
          <w:p w14:paraId="4C5A6112" w14:textId="77777777" w:rsidR="00427E19" w:rsidRPr="00F278DB" w:rsidRDefault="00427E19" w:rsidP="00DA3332">
            <w:pPr>
              <w:pStyle w:val="TableBody"/>
            </w:pPr>
            <w:r w:rsidRPr="00F278DB">
              <w:t>Number of layers</w:t>
            </w:r>
          </w:p>
        </w:tc>
        <w:tc>
          <w:tcPr>
            <w:tcW w:w="1573" w:type="dxa"/>
            <w:shd w:val="clear" w:color="auto" w:fill="auto"/>
            <w:noWrap/>
            <w:vAlign w:val="bottom"/>
          </w:tcPr>
          <w:p w14:paraId="424AD824" w14:textId="77777777" w:rsidR="00427E19" w:rsidRPr="00F278DB" w:rsidRDefault="00427E19" w:rsidP="00DA3332">
            <w:pPr>
              <w:pStyle w:val="TableBody"/>
              <w:jc w:val="center"/>
            </w:pPr>
            <w:r w:rsidRPr="00F278DB">
              <w:t>1</w:t>
            </w:r>
          </w:p>
        </w:tc>
        <w:tc>
          <w:tcPr>
            <w:tcW w:w="1665" w:type="dxa"/>
            <w:shd w:val="clear" w:color="auto" w:fill="auto"/>
            <w:noWrap/>
            <w:vAlign w:val="bottom"/>
          </w:tcPr>
          <w:p w14:paraId="4C52A66F" w14:textId="77777777" w:rsidR="00427E19" w:rsidRPr="00F278DB" w:rsidRDefault="00427E19" w:rsidP="00DA3332">
            <w:pPr>
              <w:pStyle w:val="TableBody"/>
              <w:jc w:val="center"/>
            </w:pPr>
            <w:r w:rsidRPr="00F278DB">
              <w:t>N/A</w:t>
            </w:r>
          </w:p>
        </w:tc>
      </w:tr>
      <w:tr w:rsidR="00427E19" w:rsidRPr="00F278DB" w14:paraId="0B1C6126" w14:textId="77777777" w:rsidTr="00DA3332">
        <w:trPr>
          <w:trHeight w:val="291"/>
          <w:jc w:val="center"/>
        </w:trPr>
        <w:tc>
          <w:tcPr>
            <w:tcW w:w="2123" w:type="dxa"/>
            <w:shd w:val="clear" w:color="auto" w:fill="auto"/>
            <w:noWrap/>
            <w:vAlign w:val="bottom"/>
          </w:tcPr>
          <w:p w14:paraId="1FA3AA71" w14:textId="77777777" w:rsidR="00427E19" w:rsidRPr="00F278DB" w:rsidRDefault="00427E19" w:rsidP="00DA3332">
            <w:pPr>
              <w:pStyle w:val="TableBody"/>
            </w:pPr>
            <w:r w:rsidRPr="00F278DB">
              <w:t>Starting head</w:t>
            </w:r>
          </w:p>
        </w:tc>
        <w:tc>
          <w:tcPr>
            <w:tcW w:w="1573" w:type="dxa"/>
            <w:shd w:val="clear" w:color="auto" w:fill="auto"/>
            <w:noWrap/>
            <w:vAlign w:val="bottom"/>
          </w:tcPr>
          <w:p w14:paraId="64CE7994" w14:textId="77777777" w:rsidR="00427E19" w:rsidRPr="00F278DB" w:rsidRDefault="00427E19" w:rsidP="00DA3332">
            <w:pPr>
              <w:pStyle w:val="TableBody"/>
              <w:jc w:val="center"/>
            </w:pPr>
            <w:r>
              <w:t>200</w:t>
            </w:r>
          </w:p>
        </w:tc>
        <w:tc>
          <w:tcPr>
            <w:tcW w:w="1665" w:type="dxa"/>
            <w:shd w:val="clear" w:color="auto" w:fill="auto"/>
            <w:noWrap/>
            <w:vAlign w:val="bottom"/>
          </w:tcPr>
          <w:p w14:paraId="601B1C5F" w14:textId="77777777" w:rsidR="00427E19" w:rsidRPr="00F278DB" w:rsidRDefault="00427E19" w:rsidP="00DA3332">
            <w:pPr>
              <w:pStyle w:val="TableBody"/>
              <w:jc w:val="center"/>
            </w:pPr>
            <w:r>
              <w:t>ft</w:t>
            </w:r>
          </w:p>
        </w:tc>
      </w:tr>
    </w:tbl>
    <w:p w14:paraId="61E22A83" w14:textId="1D9274D6" w:rsidR="004E6E26" w:rsidRDefault="004E6E26" w:rsidP="00427E19">
      <w:pPr>
        <w:pStyle w:val="H2bodytext"/>
        <w:ind w:left="0"/>
      </w:pPr>
      <w:bookmarkStart w:id="28" w:name="_GoBack"/>
      <w:bookmarkEnd w:id="28"/>
    </w:p>
    <w:p w14:paraId="002616FA" w14:textId="742F322C" w:rsidR="00427E19" w:rsidRPr="00FA375D" w:rsidRDefault="00427E19" w:rsidP="00427E19">
      <w:pPr>
        <w:pStyle w:val="H2bodytext"/>
      </w:pPr>
      <w:r>
        <w:t xml:space="preserve">The </w:t>
      </w:r>
      <w:proofErr w:type="spellStart"/>
      <w:r>
        <w:t>y</w:t>
      </w:r>
      <w:r>
        <w:rPr>
          <w:vertAlign w:val="subscript"/>
        </w:rPr>
        <w:t>max</w:t>
      </w:r>
      <w:proofErr w:type="spellEnd"/>
      <w:r>
        <w:t xml:space="preserve"> and x</w:t>
      </w:r>
      <w:r>
        <w:rPr>
          <w:vertAlign w:val="subscript"/>
        </w:rPr>
        <w:t>0</w:t>
      </w:r>
      <w:r>
        <w:t xml:space="preserve"> values were checked using a python script, ymax_and_stagnation_point.py. To evaluate </w:t>
      </w:r>
      <w:proofErr w:type="spellStart"/>
      <w:r>
        <w:t>y</w:t>
      </w:r>
      <w:r w:rsidRPr="00381347">
        <w:rPr>
          <w:vertAlign w:val="subscript"/>
        </w:rPr>
        <w:t>max</w:t>
      </w:r>
      <w:proofErr w:type="spellEnd"/>
      <w:r>
        <w:t xml:space="preserve">, this script retrieved the maximum global Y value from the endpoint file. After subtracting the y value for the midpoint of the well cell, the percent difference from the analytical </w:t>
      </w:r>
      <w:proofErr w:type="spellStart"/>
      <w:r>
        <w:t>y</w:t>
      </w:r>
      <w:r w:rsidRPr="00381347">
        <w:rPr>
          <w:vertAlign w:val="subscript"/>
        </w:rPr>
        <w:t>max</w:t>
      </w:r>
      <w:proofErr w:type="spellEnd"/>
      <w:r>
        <w:t xml:space="preserve"> was calculated. The x</w:t>
      </w:r>
      <w:r>
        <w:rPr>
          <w:vertAlign w:val="subscript"/>
        </w:rPr>
        <w:t>0</w:t>
      </w:r>
      <w:r>
        <w:t xml:space="preserve"> was calculated in a similar manner: the script retrieved the maximum global X from the pathline file and calculated the percent difference from the analytical x</w:t>
      </w:r>
      <w:r>
        <w:rPr>
          <w:vertAlign w:val="subscript"/>
        </w:rPr>
        <w:t>0</w:t>
      </w:r>
      <w:r>
        <w:t>.</w:t>
      </w:r>
    </w:p>
    <w:p w14:paraId="504C1989" w14:textId="77777777" w:rsidR="00427E19" w:rsidRDefault="00427E19" w:rsidP="00427E19">
      <w:pPr>
        <w:pStyle w:val="BodyText"/>
      </w:pPr>
      <w:r>
        <w:t xml:space="preserve">This test was repeated over models with square grid cell sizes of 100, 50, and 10 feet. </w:t>
      </w:r>
    </w:p>
    <w:p w14:paraId="35650964" w14:textId="77777777" w:rsidR="00427E19" w:rsidRDefault="00427E19" w:rsidP="00F01FBC">
      <w:pPr>
        <w:pStyle w:val="H2bodytext"/>
      </w:pPr>
    </w:p>
    <w:p w14:paraId="1ED7C91E" w14:textId="574B3D4B" w:rsidR="00F01FBC" w:rsidRDefault="00F01FBC" w:rsidP="00F01FBC">
      <w:pPr>
        <w:pStyle w:val="H2bodytext"/>
      </w:pPr>
    </w:p>
    <w:p w14:paraId="7C7B4554" w14:textId="4B66C9FA" w:rsidR="00F01FBC" w:rsidRDefault="00F01FBC" w:rsidP="00F01FBC">
      <w:pPr>
        <w:pStyle w:val="H2bodytext"/>
      </w:pPr>
    </w:p>
    <w:p w14:paraId="415F5E0D" w14:textId="02A7F796" w:rsidR="004E6E26" w:rsidRDefault="004E6E26" w:rsidP="00F01FBC">
      <w:pPr>
        <w:pStyle w:val="H2bodytext"/>
      </w:pPr>
    </w:p>
    <w:p w14:paraId="00D1E753" w14:textId="0FA4069E" w:rsidR="004E6E26" w:rsidRDefault="004E6E26" w:rsidP="00F01FBC">
      <w:pPr>
        <w:pStyle w:val="H2bodytext"/>
      </w:pPr>
    </w:p>
    <w:p w14:paraId="229E8CFF" w14:textId="3793E2CB" w:rsidR="004E6E26" w:rsidRDefault="004E6E26" w:rsidP="00F01FBC">
      <w:pPr>
        <w:pStyle w:val="H2bodytext"/>
      </w:pPr>
    </w:p>
    <w:p w14:paraId="3F704EBA" w14:textId="77777777" w:rsidR="004E6E26" w:rsidRDefault="004E6E26" w:rsidP="00F01FBC">
      <w:pPr>
        <w:pStyle w:val="H2bodytext"/>
      </w:pPr>
    </w:p>
    <w:p w14:paraId="7695107E" w14:textId="4FA69A39" w:rsidR="00F01FBC" w:rsidRDefault="00F01FBC" w:rsidP="00F01FBC">
      <w:pPr>
        <w:pStyle w:val="H2bodytext"/>
      </w:pPr>
    </w:p>
    <w:p w14:paraId="45775EA3" w14:textId="77777777" w:rsidR="00F01FBC" w:rsidRDefault="00F01FBC" w:rsidP="00F01FBC">
      <w:pPr>
        <w:pStyle w:val="H2bodytext"/>
      </w:pPr>
    </w:p>
    <w:p w14:paraId="03C5F5D3" w14:textId="19562B3A" w:rsidR="00175B8E" w:rsidRDefault="00175B8E" w:rsidP="00F01FBC">
      <w:pPr>
        <w:jc w:val="center"/>
      </w:pPr>
    </w:p>
    <w:sectPr w:rsidR="00175B8E">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y Weber" w:date="2018-08-18T17:23:00Z" w:initials="MW">
    <w:p w14:paraId="3CB67B7D" w14:textId="77777777" w:rsidR="004B3081" w:rsidRDefault="004B3081">
      <w:pPr>
        <w:pStyle w:val="CommentText"/>
      </w:pPr>
      <w:r>
        <w:rPr>
          <w:rStyle w:val="CommentReference"/>
        </w:rPr>
        <w:annotationRef/>
      </w:r>
      <w:r>
        <w:t xml:space="preserve">Remove? We do sometimes use </w:t>
      </w:r>
      <w:proofErr w:type="spellStart"/>
      <w:r>
        <w:t>modpath</w:t>
      </w:r>
      <w:proofErr w:type="spellEnd"/>
      <w:r>
        <w:t xml:space="preserve"> to do this, but we don’t test for it</w:t>
      </w:r>
    </w:p>
  </w:comment>
  <w:comment w:id="1" w:author="Mary Weber" w:date="2018-08-18T17:39:00Z" w:initials="MW">
    <w:p w14:paraId="3FAC3963" w14:textId="77777777" w:rsidR="004B3081" w:rsidRDefault="004B3081">
      <w:pPr>
        <w:pStyle w:val="CommentText"/>
      </w:pPr>
      <w:r>
        <w:rPr>
          <w:rStyle w:val="CommentReference"/>
        </w:rPr>
        <w:annotationRef/>
      </w:r>
      <w:r>
        <w:t xml:space="preserve">Looks like this is </w:t>
      </w:r>
      <w:proofErr w:type="spellStart"/>
      <w:r>
        <w:t>gonna</w:t>
      </w:r>
      <w:proofErr w:type="spellEnd"/>
      <w:r>
        <w:t xml:space="preserve"> have to be </w:t>
      </w:r>
      <w:proofErr w:type="spellStart"/>
      <w:r>
        <w:t>rev’d</w:t>
      </w:r>
      <w:proofErr w:type="spellEnd"/>
    </w:p>
    <w:p w14:paraId="4D224FAC" w14:textId="77777777" w:rsidR="004B3081" w:rsidRDefault="004B3081">
      <w:pPr>
        <w:pStyle w:val="CommentText"/>
      </w:pPr>
      <w:r>
        <w:t xml:space="preserve">Also, we’ll need one for </w:t>
      </w:r>
      <w:proofErr w:type="spellStart"/>
      <w:r>
        <w:t>Modpath</w:t>
      </w:r>
      <w:proofErr w:type="spellEnd"/>
      <w:r>
        <w:t>. Do I write it?</w:t>
      </w:r>
    </w:p>
  </w:comment>
  <w:comment w:id="2" w:author="Mary Weber" w:date="2018-08-18T17:45:00Z" w:initials="MW">
    <w:p w14:paraId="385768FA" w14:textId="77777777" w:rsidR="004B3081" w:rsidRDefault="004B3081">
      <w:pPr>
        <w:pStyle w:val="CommentText"/>
      </w:pPr>
      <w:r>
        <w:rPr>
          <w:rStyle w:val="CommentReference"/>
        </w:rPr>
        <w:annotationRef/>
      </w:r>
      <w:r>
        <w:t>Does this apply? Do we have to do this in addition to our tests being like they are?</w:t>
      </w:r>
    </w:p>
  </w:comment>
  <w:comment w:id="3" w:author="Mary Weber" w:date="2018-08-18T18:02:00Z" w:initials="MW">
    <w:p w14:paraId="0C632374" w14:textId="77777777" w:rsidR="004B3081" w:rsidRDefault="004B3081">
      <w:pPr>
        <w:pStyle w:val="CommentText"/>
      </w:pPr>
      <w:r>
        <w:rPr>
          <w:rStyle w:val="CommentReference"/>
        </w:rPr>
        <w:annotationRef/>
      </w:r>
      <w:r>
        <w:t>Except the one that we can also use professional judgment on</w:t>
      </w:r>
    </w:p>
  </w:comment>
  <w:comment w:id="5" w:author="Mary Weber" w:date="2018-08-18T18:07:00Z" w:initials="MW">
    <w:p w14:paraId="5253CA71" w14:textId="77777777" w:rsidR="004B3081" w:rsidRDefault="004B3081">
      <w:pPr>
        <w:pStyle w:val="CommentText"/>
      </w:pPr>
      <w:r>
        <w:rPr>
          <w:rStyle w:val="CommentReference"/>
        </w:rPr>
        <w:annotationRef/>
      </w:r>
      <w:r>
        <w:t>Make a list of the tasks you need to do to run this test, and then check this against someone running this installation for the first time</w:t>
      </w:r>
    </w:p>
    <w:p w14:paraId="738A3ED1" w14:textId="77777777" w:rsidR="004B3081" w:rsidRDefault="004B3081" w:rsidP="00D904CC">
      <w:pPr>
        <w:pStyle w:val="CommentText"/>
        <w:numPr>
          <w:ilvl w:val="0"/>
          <w:numId w:val="3"/>
        </w:numPr>
      </w:pPr>
      <w:r>
        <w:t xml:space="preserve"> Download and install git bash [I don’t know how to phrase this. Is it a compiler? Do we need compilers?]</w:t>
      </w:r>
    </w:p>
    <w:p w14:paraId="1998DC1A" w14:textId="77777777" w:rsidR="004B3081" w:rsidRDefault="004B3081" w:rsidP="00D904CC">
      <w:pPr>
        <w:pStyle w:val="CommentText"/>
        <w:numPr>
          <w:ilvl w:val="0"/>
          <w:numId w:val="3"/>
        </w:numPr>
      </w:pPr>
      <w:r>
        <w:t xml:space="preserve"> Download and install python, matplotlib, </w:t>
      </w:r>
      <w:proofErr w:type="spellStart"/>
      <w:r>
        <w:t>numpy</w:t>
      </w:r>
      <w:proofErr w:type="spellEnd"/>
      <w:r>
        <w:t xml:space="preserve">, pandas, and </w:t>
      </w:r>
      <w:proofErr w:type="spellStart"/>
      <w:r>
        <w:t>geopandas</w:t>
      </w:r>
      <w:proofErr w:type="spellEnd"/>
      <w:r>
        <w:t xml:space="preserve"> (do we need arc installed to run </w:t>
      </w:r>
      <w:proofErr w:type="spellStart"/>
      <w:r>
        <w:t>geopandas</w:t>
      </w:r>
      <w:proofErr w:type="spellEnd"/>
      <w:r>
        <w:t>?)</w:t>
      </w:r>
    </w:p>
    <w:p w14:paraId="184094CF" w14:textId="77777777" w:rsidR="004B3081" w:rsidRDefault="004B3081" w:rsidP="00D904CC">
      <w:pPr>
        <w:pStyle w:val="CommentText"/>
        <w:numPr>
          <w:ilvl w:val="0"/>
          <w:numId w:val="3"/>
        </w:numPr>
      </w:pPr>
      <w:r>
        <w:t xml:space="preserve"> Move files</w:t>
      </w:r>
    </w:p>
    <w:p w14:paraId="009987FE" w14:textId="77777777" w:rsidR="004B3081" w:rsidRDefault="004B3081" w:rsidP="00D904CC">
      <w:pPr>
        <w:pStyle w:val="CommentText"/>
        <w:numPr>
          <w:ilvl w:val="0"/>
          <w:numId w:val="3"/>
        </w:numPr>
      </w:pPr>
      <w:r>
        <w:t xml:space="preserve"> Use a text editor</w:t>
      </w:r>
    </w:p>
  </w:comment>
  <w:comment w:id="6" w:author="Mary Weber" w:date="2018-08-18T18:21:00Z" w:initials="MW">
    <w:p w14:paraId="1D02D6FE" w14:textId="77777777" w:rsidR="004B3081" w:rsidRDefault="004B3081">
      <w:pPr>
        <w:pStyle w:val="CommentText"/>
      </w:pPr>
      <w:r>
        <w:rPr>
          <w:rStyle w:val="CommentReference"/>
        </w:rPr>
        <w:annotationRef/>
      </w:r>
      <w:r>
        <w:t>What’s the difference?</w:t>
      </w:r>
    </w:p>
  </w:comment>
  <w:comment w:id="7" w:author="Mary Weber" w:date="2018-08-18T18:22:00Z" w:initials="MW">
    <w:p w14:paraId="10FE9F33" w14:textId="77777777" w:rsidR="004B3081" w:rsidRDefault="004B3081">
      <w:pPr>
        <w:pStyle w:val="CommentText"/>
      </w:pPr>
      <w:r>
        <w:rPr>
          <w:rStyle w:val="CommentReference"/>
        </w:rPr>
        <w:annotationRef/>
      </w:r>
      <w:r>
        <w:t xml:space="preserve">Just make sure doc numbers haven’t changed, and that the weird capitalization in the bullet points is that way for Reasons Listed </w:t>
      </w:r>
      <w:proofErr w:type="gramStart"/>
      <w:r>
        <w:t>In</w:t>
      </w:r>
      <w:proofErr w:type="gramEnd"/>
      <w:r>
        <w:t xml:space="preserve"> The Document</w:t>
      </w:r>
    </w:p>
  </w:comment>
  <w:comment w:id="9" w:author="Mary Weber" w:date="2018-08-21T18:29:00Z" w:initials="MW">
    <w:p w14:paraId="37DBA83D" w14:textId="7C04EF02" w:rsidR="00427E19" w:rsidRDefault="00427E19">
      <w:pPr>
        <w:pStyle w:val="CommentText"/>
      </w:pPr>
      <w:r>
        <w:rPr>
          <w:rStyle w:val="CommentReference"/>
        </w:rPr>
        <w:annotationRef/>
      </w:r>
      <w:r>
        <w:t>Note: move everything into folders. Have the scripts in one, the results in another. Have one big shell script to run everything out, and that’s it.</w:t>
      </w:r>
    </w:p>
  </w:comment>
  <w:comment w:id="21" w:author="Mary Weber" w:date="2018-08-21T16:16:00Z" w:initials="MW">
    <w:p w14:paraId="11D0A9A2" w14:textId="77777777" w:rsidR="004B3081" w:rsidRDefault="004B3081" w:rsidP="009F7F54">
      <w:pPr>
        <w:pStyle w:val="CommentText"/>
        <w:numPr>
          <w:ilvl w:val="0"/>
          <w:numId w:val="12"/>
        </w:numPr>
      </w:pPr>
      <w:r>
        <w:rPr>
          <w:rStyle w:val="CommentReference"/>
        </w:rPr>
        <w:annotationRef/>
      </w:r>
      <w:r>
        <w:t xml:space="preserve"> Not sure if this is what you call it</w:t>
      </w:r>
    </w:p>
    <w:p w14:paraId="54C820ED" w14:textId="7AFD1F68" w:rsidR="004B3081" w:rsidRDefault="004B3081" w:rsidP="009F7F54">
      <w:pPr>
        <w:pStyle w:val="CommentText"/>
        <w:numPr>
          <w:ilvl w:val="0"/>
          <w:numId w:val="12"/>
        </w:numPr>
      </w:pPr>
      <w:r>
        <w:t xml:space="preserve"> Not sure exactly what our pass/fail criteria were. Was it the zonal budget calculation (that was more a test of the </w:t>
      </w:r>
      <w:proofErr w:type="spellStart"/>
      <w:r>
        <w:t>modflow</w:t>
      </w:r>
      <w:proofErr w:type="spellEnd"/>
      <w:r>
        <w:t>, right?)? Was it just eyeballing the shape of the tracks?</w:t>
      </w:r>
    </w:p>
  </w:comment>
  <w:comment w:id="22" w:author="Mary Weber" w:date="2018-08-21T18:21:00Z" w:initials="MW">
    <w:p w14:paraId="318A7CA3" w14:textId="6C0CFD82" w:rsidR="004E6E26" w:rsidRDefault="004E6E26">
      <w:pPr>
        <w:pStyle w:val="CommentText"/>
      </w:pPr>
      <w:r>
        <w:rPr>
          <w:rStyle w:val="CommentReference"/>
        </w:rPr>
        <w:annotationRef/>
      </w:r>
      <w:r>
        <w:t>Get this citation, I’m not sure we can survive on Grubb, 1993, alone</w:t>
      </w:r>
    </w:p>
  </w:comment>
  <w:comment w:id="24" w:author="Mary Weber" w:date="2018-08-21T18:22:00Z" w:initials="MW">
    <w:p w14:paraId="12CA5B5A" w14:textId="64126082" w:rsidR="004E6E26" w:rsidRDefault="004E6E26">
      <w:pPr>
        <w:pStyle w:val="CommentText"/>
      </w:pPr>
      <w:r>
        <w:rPr>
          <w:rStyle w:val="CommentReference"/>
        </w:rPr>
        <w:annotationRef/>
      </w:r>
      <w:r>
        <w:t>This needs to be cited much more clearly. Whose is this? Why? What were their underlying assumptions (presumably isotropic)</w:t>
      </w:r>
    </w:p>
  </w:comment>
  <w:comment w:id="25" w:author="Mary Weber" w:date="2018-08-21T18:31:00Z" w:initials="MW">
    <w:p w14:paraId="6452253F" w14:textId="0D0F3A4A" w:rsidR="00427E19" w:rsidRDefault="00427E19">
      <w:pPr>
        <w:pStyle w:val="CommentText"/>
      </w:pPr>
      <w:r>
        <w:rPr>
          <w:rStyle w:val="CommentReference"/>
        </w:rPr>
        <w:annotationRef/>
      </w:r>
      <w:r>
        <w:t>formatting</w:t>
      </w:r>
    </w:p>
  </w:comment>
  <w:comment w:id="26" w:author="Mary Weber" w:date="2018-08-18T15:25:00Z" w:initials="MW">
    <w:p w14:paraId="63B95BEB" w14:textId="77777777" w:rsidR="004E6E26" w:rsidRDefault="004E6E26" w:rsidP="004E6E26">
      <w:pPr>
        <w:pStyle w:val="CommentText"/>
      </w:pPr>
      <w:r>
        <w:rPr>
          <w:rStyle w:val="CommentReference"/>
        </w:rPr>
        <w:annotationRef/>
      </w:r>
      <w:r>
        <w:t xml:space="preserve">Should this be checked against what the 100 cell is doing? Should I check to ensure this is also calculating the </w:t>
      </w:r>
      <w:proofErr w:type="spellStart"/>
      <w:r>
        <w:t>ymin</w:t>
      </w:r>
      <w:proofErr w:type="spellEnd"/>
      <w:r>
        <w:t>?</w:t>
      </w:r>
    </w:p>
  </w:comment>
  <w:comment w:id="27" w:author="Mary Weber" w:date="2018-08-21T18:28:00Z" w:initials="MW">
    <w:p w14:paraId="492D6811" w14:textId="62C19771" w:rsidR="00427E19" w:rsidRDefault="00427E19">
      <w:pPr>
        <w:pStyle w:val="CommentText"/>
      </w:pPr>
      <w:r>
        <w:rPr>
          <w:rStyle w:val="CommentReference"/>
        </w:rPr>
        <w:annotationRef/>
      </w:r>
      <w:r>
        <w:t>Should I use this one? Or should I use a different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B67B7D" w15:done="0"/>
  <w15:commentEx w15:paraId="4D224FAC" w15:done="0"/>
  <w15:commentEx w15:paraId="385768FA" w15:done="0"/>
  <w15:commentEx w15:paraId="0C632374" w15:done="0"/>
  <w15:commentEx w15:paraId="009987FE" w15:done="0"/>
  <w15:commentEx w15:paraId="1D02D6FE" w15:done="0"/>
  <w15:commentEx w15:paraId="10FE9F33" w15:done="0"/>
  <w15:commentEx w15:paraId="37DBA83D" w15:done="0"/>
  <w15:commentEx w15:paraId="54C820ED" w15:done="0"/>
  <w15:commentEx w15:paraId="318A7CA3" w15:done="0"/>
  <w15:commentEx w15:paraId="12CA5B5A" w15:done="0"/>
  <w15:commentEx w15:paraId="6452253F" w15:done="0"/>
  <w15:commentEx w15:paraId="63B95BEB" w15:done="0"/>
  <w15:commentEx w15:paraId="492D68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B67B7D" w16cid:durableId="1F22D47C"/>
  <w16cid:commentId w16cid:paraId="4D224FAC" w16cid:durableId="1F22D838"/>
  <w16cid:commentId w16cid:paraId="385768FA" w16cid:durableId="1F22D9B6"/>
  <w16cid:commentId w16cid:paraId="0C632374" w16cid:durableId="1F22DDC8"/>
  <w16cid:commentId w16cid:paraId="009987FE" w16cid:durableId="1F22DED3"/>
  <w16cid:commentId w16cid:paraId="1D02D6FE" w16cid:durableId="1F22E20C"/>
  <w16cid:commentId w16cid:paraId="10FE9F33" w16cid:durableId="1F22E266"/>
  <w16cid:commentId w16cid:paraId="37DBA83D" w16cid:durableId="1F26D871"/>
  <w16cid:commentId w16cid:paraId="54C820ED" w16cid:durableId="1F26B970"/>
  <w16cid:commentId w16cid:paraId="318A7CA3" w16cid:durableId="1F26D6B0"/>
  <w16cid:commentId w16cid:paraId="12CA5B5A" w16cid:durableId="1F26D6F8"/>
  <w16cid:commentId w16cid:paraId="6452253F" w16cid:durableId="1F26D8EB"/>
  <w16cid:commentId w16cid:paraId="63B95BEB" w16cid:durableId="1F22B8FC"/>
  <w16cid:commentId w16cid:paraId="492D6811" w16cid:durableId="1F26D8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D3A79" w14:textId="77777777" w:rsidR="004B3081" w:rsidRDefault="004B3081" w:rsidP="008A4A83">
      <w:r>
        <w:separator/>
      </w:r>
    </w:p>
  </w:endnote>
  <w:endnote w:type="continuationSeparator" w:id="0">
    <w:p w14:paraId="418059C4" w14:textId="77777777" w:rsidR="004B3081" w:rsidRDefault="004B3081" w:rsidP="008A4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208030705050203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F498D" w14:textId="77777777" w:rsidR="00B009FC" w:rsidRDefault="00B009F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1393A0A" w14:textId="77777777" w:rsidR="00B009FC" w:rsidRDefault="00B009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662A1" w14:textId="77777777" w:rsidR="004B3081" w:rsidRDefault="004B3081" w:rsidP="008A4A83">
      <w:r>
        <w:separator/>
      </w:r>
    </w:p>
  </w:footnote>
  <w:footnote w:type="continuationSeparator" w:id="0">
    <w:p w14:paraId="21B970D4" w14:textId="77777777" w:rsidR="004B3081" w:rsidRDefault="004B3081" w:rsidP="008A4A83">
      <w:r>
        <w:continuationSeparator/>
      </w:r>
    </w:p>
  </w:footnote>
  <w:footnote w:id="1">
    <w:p w14:paraId="694E4B9D" w14:textId="77777777" w:rsidR="004B3081" w:rsidRDefault="004B3081" w:rsidP="008A4A83">
      <w:pPr>
        <w:pStyle w:val="FootnoteText"/>
        <w:rPr>
          <w:rFonts w:ascii="Arial" w:hAnsi="Arial" w:cs="Arial"/>
        </w:rPr>
      </w:pPr>
      <w:r>
        <w:rPr>
          <w:rStyle w:val="FootnoteReference"/>
          <w:rFonts w:ascii="Arial" w:hAnsi="Arial"/>
        </w:rPr>
        <w:footnoteRef/>
      </w:r>
      <w:r>
        <w:rPr>
          <w:rFonts w:ascii="Arial" w:hAnsi="Arial" w:cs="Arial"/>
        </w:rPr>
        <w:t xml:space="preserve"> MKS is a trademark of MKS, Inc.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B69FA"/>
    <w:multiLevelType w:val="hybridMultilevel"/>
    <w:tmpl w:val="F93AC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56C04"/>
    <w:multiLevelType w:val="hybridMultilevel"/>
    <w:tmpl w:val="4C724AC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 w15:restartNumberingAfterBreak="0">
    <w:nsid w:val="196448EA"/>
    <w:multiLevelType w:val="hybridMultilevel"/>
    <w:tmpl w:val="160C0CAC"/>
    <w:lvl w:ilvl="0" w:tplc="04090001">
      <w:start w:val="1"/>
      <w:numFmt w:val="bullet"/>
      <w:lvlText w:val=""/>
      <w:lvlJc w:val="left"/>
      <w:pPr>
        <w:ind w:left="2160" w:hanging="720"/>
      </w:pPr>
      <w:rPr>
        <w:rFonts w:ascii="Symbol" w:hAnsi="Symbol" w:hint="default"/>
      </w:rPr>
    </w:lvl>
    <w:lvl w:ilvl="1" w:tplc="6CB6D928">
      <w:numFmt w:val="bullet"/>
      <w:lvlText w:val="•"/>
      <w:lvlJc w:val="left"/>
      <w:pPr>
        <w:ind w:left="2520" w:hanging="360"/>
      </w:pPr>
      <w:rPr>
        <w:rFonts w:ascii="Arial" w:eastAsia="Times New Roman" w:hAnsi="Arial" w:cs="Arial"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1FA95076"/>
    <w:multiLevelType w:val="hybridMultilevel"/>
    <w:tmpl w:val="6FEE920C"/>
    <w:lvl w:ilvl="0" w:tplc="180CE478">
      <w:start w:val="1"/>
      <w:numFmt w:val="decimal"/>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 w15:restartNumberingAfterBreak="0">
    <w:nsid w:val="2C741EAD"/>
    <w:multiLevelType w:val="hybridMultilevel"/>
    <w:tmpl w:val="C5E6933C"/>
    <w:lvl w:ilvl="0" w:tplc="BF581B1E">
      <w:numFmt w:val="bullet"/>
      <w:lvlText w:val="•"/>
      <w:lvlJc w:val="left"/>
      <w:pPr>
        <w:ind w:left="1440" w:hanging="72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2C765A3C"/>
    <w:multiLevelType w:val="hybridMultilevel"/>
    <w:tmpl w:val="991A0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B1A58"/>
    <w:multiLevelType w:val="hybridMultilevel"/>
    <w:tmpl w:val="CACC876C"/>
    <w:lvl w:ilvl="0" w:tplc="04090001">
      <w:start w:val="1"/>
      <w:numFmt w:val="bullet"/>
      <w:lvlText w:val=""/>
      <w:lvlJc w:val="left"/>
      <w:pPr>
        <w:ind w:left="2160" w:hanging="72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 w15:restartNumberingAfterBreak="0">
    <w:nsid w:val="37F1642D"/>
    <w:multiLevelType w:val="hybridMultilevel"/>
    <w:tmpl w:val="A5A63B5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 w15:restartNumberingAfterBreak="0">
    <w:nsid w:val="5B6C7DD5"/>
    <w:multiLevelType w:val="hybridMultilevel"/>
    <w:tmpl w:val="58ECE842"/>
    <w:lvl w:ilvl="0" w:tplc="04090001">
      <w:start w:val="1"/>
      <w:numFmt w:val="bullet"/>
      <w:lvlText w:val=""/>
      <w:lvlJc w:val="left"/>
      <w:pPr>
        <w:ind w:left="2160" w:hanging="72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 w15:restartNumberingAfterBreak="0">
    <w:nsid w:val="63964F3A"/>
    <w:multiLevelType w:val="multilevel"/>
    <w:tmpl w:val="73BEE572"/>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1440"/>
        </w:tabs>
        <w:ind w:left="1440" w:hanging="720"/>
      </w:pPr>
    </w:lvl>
    <w:lvl w:ilvl="2">
      <w:start w:val="1"/>
      <w:numFmt w:val="decimal"/>
      <w:pStyle w:val="Heading3"/>
      <w:lvlText w:val="%1.%2.%3"/>
      <w:lvlJc w:val="left"/>
      <w:pPr>
        <w:tabs>
          <w:tab w:val="num" w:pos="2304"/>
        </w:tabs>
        <w:ind w:left="2304" w:hanging="864"/>
      </w:pPr>
    </w:lvl>
    <w:lvl w:ilvl="3">
      <w:start w:val="1"/>
      <w:numFmt w:val="decimal"/>
      <w:pStyle w:val="Heading4"/>
      <w:lvlText w:val="%1.%2.%3.%4"/>
      <w:lvlJc w:val="left"/>
      <w:pPr>
        <w:tabs>
          <w:tab w:val="num" w:pos="3528"/>
        </w:tabs>
        <w:ind w:left="3528" w:hanging="1224"/>
      </w:pPr>
    </w:lvl>
    <w:lvl w:ilvl="4">
      <w:start w:val="1"/>
      <w:numFmt w:val="decimal"/>
      <w:pStyle w:val="Heading5"/>
      <w:lvlText w:val="%1.%2.%3.%4.%5"/>
      <w:lvlJc w:val="left"/>
      <w:pPr>
        <w:tabs>
          <w:tab w:val="num" w:pos="4752"/>
        </w:tabs>
        <w:ind w:left="4752" w:hanging="1224"/>
      </w:pPr>
    </w:lvl>
    <w:lvl w:ilvl="5">
      <w:start w:val="1"/>
      <w:numFmt w:val="decimal"/>
      <w:pStyle w:val="Heading6"/>
      <w:lvlText w:val="%1.%2.%3.%4.%5.%6"/>
      <w:lvlJc w:val="left"/>
      <w:pPr>
        <w:tabs>
          <w:tab w:val="num" w:pos="6120"/>
        </w:tabs>
        <w:ind w:left="6120" w:hanging="1368"/>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79993041"/>
    <w:multiLevelType w:val="hybridMultilevel"/>
    <w:tmpl w:val="65D8641C"/>
    <w:lvl w:ilvl="0" w:tplc="29029D6C">
      <w:start w:val="1"/>
      <w:numFmt w:val="decimal"/>
      <w:lvlText w:val="%1."/>
      <w:lvlJc w:val="left"/>
      <w:pPr>
        <w:ind w:left="2160" w:hanging="720"/>
      </w:pPr>
    </w:lvl>
    <w:lvl w:ilvl="1" w:tplc="04090003">
      <w:start w:val="1"/>
      <w:numFmt w:val="lowerLetter"/>
      <w:lvlText w:val="%2."/>
      <w:lvlJc w:val="left"/>
      <w:pPr>
        <w:ind w:left="2520" w:hanging="360"/>
      </w:pPr>
    </w:lvl>
    <w:lvl w:ilvl="2" w:tplc="04090005">
      <w:start w:val="1"/>
      <w:numFmt w:val="lowerRoman"/>
      <w:lvlText w:val="%3."/>
      <w:lvlJc w:val="right"/>
      <w:pPr>
        <w:ind w:left="3240" w:hanging="180"/>
      </w:pPr>
    </w:lvl>
    <w:lvl w:ilvl="3" w:tplc="04090001">
      <w:start w:val="1"/>
      <w:numFmt w:val="decimal"/>
      <w:lvlText w:val="%4."/>
      <w:lvlJc w:val="left"/>
      <w:pPr>
        <w:ind w:left="3960" w:hanging="360"/>
      </w:pPr>
    </w:lvl>
    <w:lvl w:ilvl="4" w:tplc="04090003">
      <w:start w:val="1"/>
      <w:numFmt w:val="lowerLetter"/>
      <w:lvlText w:val="%5."/>
      <w:lvlJc w:val="left"/>
      <w:pPr>
        <w:ind w:left="4680" w:hanging="360"/>
      </w:pPr>
    </w:lvl>
    <w:lvl w:ilvl="5" w:tplc="04090005">
      <w:start w:val="1"/>
      <w:numFmt w:val="lowerRoman"/>
      <w:lvlText w:val="%6."/>
      <w:lvlJc w:val="right"/>
      <w:pPr>
        <w:ind w:left="5400" w:hanging="180"/>
      </w:pPr>
    </w:lvl>
    <w:lvl w:ilvl="6" w:tplc="04090001">
      <w:start w:val="1"/>
      <w:numFmt w:val="decimal"/>
      <w:lvlText w:val="%7."/>
      <w:lvlJc w:val="left"/>
      <w:pPr>
        <w:ind w:left="6120" w:hanging="360"/>
      </w:pPr>
    </w:lvl>
    <w:lvl w:ilvl="7" w:tplc="04090003">
      <w:start w:val="1"/>
      <w:numFmt w:val="lowerLetter"/>
      <w:lvlText w:val="%8."/>
      <w:lvlJc w:val="left"/>
      <w:pPr>
        <w:ind w:left="6840" w:hanging="360"/>
      </w:pPr>
    </w:lvl>
    <w:lvl w:ilvl="8" w:tplc="04090005">
      <w:start w:val="1"/>
      <w:numFmt w:val="lowerRoman"/>
      <w:lvlText w:val="%9."/>
      <w:lvlJc w:val="right"/>
      <w:pPr>
        <w:ind w:left="756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5"/>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6"/>
  </w:num>
  <w:num w:numId="8">
    <w:abstractNumId w:val="2"/>
  </w:num>
  <w:num w:numId="9">
    <w:abstractNumId w:val="7"/>
  </w:num>
  <w:num w:numId="10">
    <w:abstractNumId w:val="3"/>
  </w:num>
  <w:num w:numId="11">
    <w:abstractNumId w:val="1"/>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Weber">
    <w15:presenceInfo w15:providerId="AD" w15:userId="S-1-5-21-4231497329-2783474854-2195264560-17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9E"/>
    <w:rsid w:val="000F1148"/>
    <w:rsid w:val="001109A6"/>
    <w:rsid w:val="00111EC1"/>
    <w:rsid w:val="00175B8E"/>
    <w:rsid w:val="001B4A17"/>
    <w:rsid w:val="002752C1"/>
    <w:rsid w:val="002E3618"/>
    <w:rsid w:val="002F6C13"/>
    <w:rsid w:val="00325E48"/>
    <w:rsid w:val="003F1CCF"/>
    <w:rsid w:val="00427E19"/>
    <w:rsid w:val="00454134"/>
    <w:rsid w:val="00492A1B"/>
    <w:rsid w:val="004A0E19"/>
    <w:rsid w:val="004B3067"/>
    <w:rsid w:val="004B3081"/>
    <w:rsid w:val="004E6E26"/>
    <w:rsid w:val="0050406C"/>
    <w:rsid w:val="00544AEA"/>
    <w:rsid w:val="00711A88"/>
    <w:rsid w:val="0072186D"/>
    <w:rsid w:val="0077409E"/>
    <w:rsid w:val="00782EFB"/>
    <w:rsid w:val="0082225A"/>
    <w:rsid w:val="00887C02"/>
    <w:rsid w:val="008A4A83"/>
    <w:rsid w:val="008B3D26"/>
    <w:rsid w:val="008F1AEC"/>
    <w:rsid w:val="008F4B2C"/>
    <w:rsid w:val="008F7B3B"/>
    <w:rsid w:val="00913C11"/>
    <w:rsid w:val="00915974"/>
    <w:rsid w:val="00943862"/>
    <w:rsid w:val="009711EA"/>
    <w:rsid w:val="00976831"/>
    <w:rsid w:val="0099278E"/>
    <w:rsid w:val="009A5880"/>
    <w:rsid w:val="009B704C"/>
    <w:rsid w:val="009F7F54"/>
    <w:rsid w:val="00A13C86"/>
    <w:rsid w:val="00AB41BA"/>
    <w:rsid w:val="00B009FC"/>
    <w:rsid w:val="00B41637"/>
    <w:rsid w:val="00C605E9"/>
    <w:rsid w:val="00C6281D"/>
    <w:rsid w:val="00C7406B"/>
    <w:rsid w:val="00CF6097"/>
    <w:rsid w:val="00D4032F"/>
    <w:rsid w:val="00D523C5"/>
    <w:rsid w:val="00D904CC"/>
    <w:rsid w:val="00E33B1F"/>
    <w:rsid w:val="00E94CC5"/>
    <w:rsid w:val="00F01FBC"/>
    <w:rsid w:val="00F056A7"/>
    <w:rsid w:val="00FE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7723"/>
  <w15:chartTrackingRefBased/>
  <w15:docId w15:val="{14AB82B2-288E-40FB-A20D-68DE3603D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09E"/>
    <w:pPr>
      <w:spacing w:after="0" w:line="240" w:lineRule="auto"/>
    </w:pPr>
    <w:rPr>
      <w:rFonts w:ascii="Times New Roman" w:eastAsia="Times New Roman" w:hAnsi="Times New Roman" w:cs="Times New Roman"/>
      <w:sz w:val="24"/>
      <w:szCs w:val="24"/>
    </w:rPr>
  </w:style>
  <w:style w:type="paragraph" w:styleId="Heading1">
    <w:name w:val="heading 1"/>
    <w:next w:val="H1bodytext"/>
    <w:link w:val="Heading1Char"/>
    <w:qFormat/>
    <w:rsid w:val="0077409E"/>
    <w:pPr>
      <w:keepNext/>
      <w:numPr>
        <w:numId w:val="1"/>
      </w:numPr>
      <w:spacing w:after="240" w:line="240" w:lineRule="auto"/>
      <w:outlineLvl w:val="0"/>
    </w:pPr>
    <w:rPr>
      <w:rFonts w:ascii="Times New Roman" w:eastAsia="Times New Roman" w:hAnsi="Times New Roman" w:cs="Arial"/>
      <w:b/>
      <w:bCs/>
      <w:kern w:val="32"/>
      <w:sz w:val="28"/>
      <w:szCs w:val="32"/>
    </w:rPr>
  </w:style>
  <w:style w:type="paragraph" w:styleId="Heading2">
    <w:name w:val="heading 2"/>
    <w:basedOn w:val="Heading1"/>
    <w:next w:val="Normal"/>
    <w:link w:val="Heading2Char"/>
    <w:semiHidden/>
    <w:unhideWhenUsed/>
    <w:qFormat/>
    <w:rsid w:val="0077409E"/>
    <w:pPr>
      <w:numPr>
        <w:ilvl w:val="1"/>
      </w:numPr>
      <w:outlineLvl w:val="1"/>
    </w:pPr>
    <w:rPr>
      <w:rFonts w:ascii="Arial" w:hAnsi="Arial"/>
      <w:bCs w:val="0"/>
      <w:iCs/>
      <w:sz w:val="24"/>
      <w:szCs w:val="28"/>
    </w:rPr>
  </w:style>
  <w:style w:type="paragraph" w:styleId="Heading3">
    <w:name w:val="heading 3"/>
    <w:basedOn w:val="Heading1"/>
    <w:next w:val="Normal"/>
    <w:link w:val="Heading3Char"/>
    <w:semiHidden/>
    <w:unhideWhenUsed/>
    <w:qFormat/>
    <w:rsid w:val="0077409E"/>
    <w:pPr>
      <w:keepNext w:val="0"/>
      <w:numPr>
        <w:ilvl w:val="2"/>
      </w:numPr>
      <w:outlineLvl w:val="2"/>
    </w:pPr>
    <w:rPr>
      <w:rFonts w:ascii="Arial" w:hAnsi="Arial"/>
      <w:bCs w:val="0"/>
      <w:sz w:val="22"/>
      <w:szCs w:val="26"/>
    </w:rPr>
  </w:style>
  <w:style w:type="paragraph" w:styleId="Heading4">
    <w:name w:val="heading 4"/>
    <w:basedOn w:val="Heading1"/>
    <w:next w:val="Normal"/>
    <w:link w:val="Heading4Char"/>
    <w:semiHidden/>
    <w:unhideWhenUsed/>
    <w:qFormat/>
    <w:rsid w:val="0077409E"/>
    <w:pPr>
      <w:keepNext w:val="0"/>
      <w:numPr>
        <w:ilvl w:val="3"/>
      </w:numPr>
      <w:outlineLvl w:val="3"/>
    </w:pPr>
    <w:rPr>
      <w:bCs w:val="0"/>
      <w:sz w:val="24"/>
      <w:szCs w:val="28"/>
    </w:rPr>
  </w:style>
  <w:style w:type="paragraph" w:styleId="Heading5">
    <w:name w:val="heading 5"/>
    <w:basedOn w:val="Heading1"/>
    <w:next w:val="Normal"/>
    <w:link w:val="Heading5Char"/>
    <w:semiHidden/>
    <w:unhideWhenUsed/>
    <w:qFormat/>
    <w:rsid w:val="0077409E"/>
    <w:pPr>
      <w:keepNext w:val="0"/>
      <w:numPr>
        <w:ilvl w:val="4"/>
      </w:numPr>
      <w:outlineLvl w:val="4"/>
    </w:pPr>
    <w:rPr>
      <w:bCs w:val="0"/>
      <w:iCs/>
      <w:sz w:val="24"/>
      <w:szCs w:val="26"/>
    </w:rPr>
  </w:style>
  <w:style w:type="paragraph" w:styleId="Heading6">
    <w:name w:val="heading 6"/>
    <w:basedOn w:val="Heading1"/>
    <w:next w:val="Normal"/>
    <w:link w:val="Heading6Char"/>
    <w:semiHidden/>
    <w:unhideWhenUsed/>
    <w:qFormat/>
    <w:rsid w:val="0077409E"/>
    <w:pPr>
      <w:keepNext w:val="0"/>
      <w:numPr>
        <w:ilvl w:val="5"/>
      </w:numPr>
      <w:outlineLvl w:val="5"/>
    </w:pPr>
    <w:rPr>
      <w:bCs w:val="0"/>
      <w:sz w:val="24"/>
      <w:szCs w:val="22"/>
    </w:rPr>
  </w:style>
  <w:style w:type="paragraph" w:styleId="Heading7">
    <w:name w:val="heading 7"/>
    <w:basedOn w:val="Normal"/>
    <w:next w:val="Normal"/>
    <w:link w:val="Heading7Char"/>
    <w:semiHidden/>
    <w:unhideWhenUsed/>
    <w:qFormat/>
    <w:rsid w:val="0077409E"/>
    <w:pPr>
      <w:numPr>
        <w:ilvl w:val="6"/>
        <w:numId w:val="1"/>
      </w:numPr>
      <w:spacing w:before="240" w:after="60"/>
      <w:outlineLvl w:val="6"/>
    </w:pPr>
  </w:style>
  <w:style w:type="paragraph" w:styleId="Heading8">
    <w:name w:val="heading 8"/>
    <w:basedOn w:val="Normal"/>
    <w:next w:val="Normal"/>
    <w:link w:val="Heading8Char"/>
    <w:semiHidden/>
    <w:unhideWhenUsed/>
    <w:qFormat/>
    <w:rsid w:val="0077409E"/>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77409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409E"/>
    <w:rPr>
      <w:rFonts w:ascii="Times New Roman" w:eastAsia="Times New Roman" w:hAnsi="Times New Roman" w:cs="Arial"/>
      <w:b/>
      <w:bCs/>
      <w:kern w:val="32"/>
      <w:sz w:val="28"/>
      <w:szCs w:val="32"/>
    </w:rPr>
  </w:style>
  <w:style w:type="character" w:customStyle="1" w:styleId="Heading2Char">
    <w:name w:val="Heading 2 Char"/>
    <w:basedOn w:val="DefaultParagraphFont"/>
    <w:link w:val="Heading2"/>
    <w:semiHidden/>
    <w:rsid w:val="0077409E"/>
    <w:rPr>
      <w:rFonts w:ascii="Arial" w:eastAsia="Times New Roman" w:hAnsi="Arial" w:cs="Arial"/>
      <w:b/>
      <w:iCs/>
      <w:kern w:val="32"/>
      <w:sz w:val="24"/>
      <w:szCs w:val="28"/>
    </w:rPr>
  </w:style>
  <w:style w:type="character" w:customStyle="1" w:styleId="Heading3Char">
    <w:name w:val="Heading 3 Char"/>
    <w:basedOn w:val="DefaultParagraphFont"/>
    <w:link w:val="Heading3"/>
    <w:semiHidden/>
    <w:rsid w:val="0077409E"/>
    <w:rPr>
      <w:rFonts w:ascii="Arial" w:eastAsia="Times New Roman" w:hAnsi="Arial" w:cs="Arial"/>
      <w:b/>
      <w:kern w:val="32"/>
      <w:szCs w:val="26"/>
    </w:rPr>
  </w:style>
  <w:style w:type="character" w:customStyle="1" w:styleId="Heading4Char">
    <w:name w:val="Heading 4 Char"/>
    <w:basedOn w:val="DefaultParagraphFont"/>
    <w:link w:val="Heading4"/>
    <w:semiHidden/>
    <w:rsid w:val="0077409E"/>
    <w:rPr>
      <w:rFonts w:ascii="Times New Roman" w:eastAsia="Times New Roman" w:hAnsi="Times New Roman" w:cs="Arial"/>
      <w:b/>
      <w:kern w:val="32"/>
      <w:sz w:val="24"/>
      <w:szCs w:val="28"/>
    </w:rPr>
  </w:style>
  <w:style w:type="character" w:customStyle="1" w:styleId="Heading5Char">
    <w:name w:val="Heading 5 Char"/>
    <w:basedOn w:val="DefaultParagraphFont"/>
    <w:link w:val="Heading5"/>
    <w:semiHidden/>
    <w:rsid w:val="0077409E"/>
    <w:rPr>
      <w:rFonts w:ascii="Times New Roman" w:eastAsia="Times New Roman" w:hAnsi="Times New Roman" w:cs="Arial"/>
      <w:b/>
      <w:iCs/>
      <w:kern w:val="32"/>
      <w:sz w:val="24"/>
      <w:szCs w:val="26"/>
    </w:rPr>
  </w:style>
  <w:style w:type="character" w:customStyle="1" w:styleId="Heading6Char">
    <w:name w:val="Heading 6 Char"/>
    <w:basedOn w:val="DefaultParagraphFont"/>
    <w:link w:val="Heading6"/>
    <w:semiHidden/>
    <w:rsid w:val="0077409E"/>
    <w:rPr>
      <w:rFonts w:ascii="Times New Roman" w:eastAsia="Times New Roman" w:hAnsi="Times New Roman" w:cs="Arial"/>
      <w:b/>
      <w:kern w:val="32"/>
      <w:sz w:val="24"/>
    </w:rPr>
  </w:style>
  <w:style w:type="character" w:customStyle="1" w:styleId="Heading7Char">
    <w:name w:val="Heading 7 Char"/>
    <w:basedOn w:val="DefaultParagraphFont"/>
    <w:link w:val="Heading7"/>
    <w:semiHidden/>
    <w:rsid w:val="0077409E"/>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77409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77409E"/>
    <w:rPr>
      <w:rFonts w:ascii="Arial" w:eastAsia="Times New Roman" w:hAnsi="Arial" w:cs="Arial"/>
    </w:rPr>
  </w:style>
  <w:style w:type="paragraph" w:customStyle="1" w:styleId="H1bodytext">
    <w:name w:val="H1 body text"/>
    <w:rsid w:val="0077409E"/>
    <w:pPr>
      <w:spacing w:after="240" w:line="240" w:lineRule="auto"/>
      <w:ind w:left="720"/>
    </w:pPr>
    <w:rPr>
      <w:rFonts w:ascii="Arial" w:eastAsia="Times New Roman" w:hAnsi="Arial" w:cs="Times New Roman"/>
      <w:szCs w:val="20"/>
    </w:rPr>
  </w:style>
  <w:style w:type="paragraph" w:styleId="Header">
    <w:name w:val="header"/>
    <w:link w:val="HeaderChar"/>
    <w:unhideWhenUsed/>
    <w:rsid w:val="0077409E"/>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77409E"/>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77409E"/>
    <w:rPr>
      <w:sz w:val="16"/>
      <w:szCs w:val="16"/>
    </w:rPr>
  </w:style>
  <w:style w:type="paragraph" w:styleId="CommentText">
    <w:name w:val="annotation text"/>
    <w:basedOn w:val="Normal"/>
    <w:link w:val="CommentTextChar"/>
    <w:uiPriority w:val="99"/>
    <w:semiHidden/>
    <w:unhideWhenUsed/>
    <w:rsid w:val="0077409E"/>
    <w:rPr>
      <w:sz w:val="20"/>
      <w:szCs w:val="20"/>
    </w:rPr>
  </w:style>
  <w:style w:type="character" w:customStyle="1" w:styleId="CommentTextChar">
    <w:name w:val="Comment Text Char"/>
    <w:basedOn w:val="DefaultParagraphFont"/>
    <w:link w:val="CommentText"/>
    <w:uiPriority w:val="99"/>
    <w:semiHidden/>
    <w:rsid w:val="007740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409E"/>
    <w:rPr>
      <w:b/>
      <w:bCs/>
    </w:rPr>
  </w:style>
  <w:style w:type="character" w:customStyle="1" w:styleId="CommentSubjectChar">
    <w:name w:val="Comment Subject Char"/>
    <w:basedOn w:val="CommentTextChar"/>
    <w:link w:val="CommentSubject"/>
    <w:uiPriority w:val="99"/>
    <w:semiHidden/>
    <w:rsid w:val="0077409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740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09E"/>
    <w:rPr>
      <w:rFonts w:ascii="Segoe UI" w:eastAsia="Times New Roman" w:hAnsi="Segoe UI" w:cs="Segoe UI"/>
      <w:sz w:val="18"/>
      <w:szCs w:val="18"/>
    </w:rPr>
  </w:style>
  <w:style w:type="paragraph" w:customStyle="1" w:styleId="H2bodytext">
    <w:name w:val="H2 body text"/>
    <w:basedOn w:val="Normal"/>
    <w:rsid w:val="002752C1"/>
    <w:pPr>
      <w:spacing w:after="240"/>
      <w:ind w:left="1440"/>
    </w:pPr>
    <w:rPr>
      <w:rFonts w:ascii="Arial" w:hAnsi="Arial"/>
      <w:sz w:val="22"/>
      <w:szCs w:val="20"/>
    </w:rPr>
  </w:style>
  <w:style w:type="paragraph" w:customStyle="1" w:styleId="H3bodytext">
    <w:name w:val="H3 body text"/>
    <w:basedOn w:val="Normal"/>
    <w:rsid w:val="00D904CC"/>
    <w:pPr>
      <w:spacing w:after="240"/>
      <w:ind w:left="2304"/>
    </w:pPr>
    <w:rPr>
      <w:rFonts w:ascii="Arial" w:hAnsi="Arial"/>
      <w:sz w:val="22"/>
      <w:szCs w:val="20"/>
    </w:rPr>
  </w:style>
  <w:style w:type="paragraph" w:styleId="FootnoteText">
    <w:name w:val="footnote text"/>
    <w:link w:val="FootnoteTextChar"/>
    <w:semiHidden/>
    <w:unhideWhenUsed/>
    <w:rsid w:val="008A4A83"/>
    <w:pPr>
      <w:spacing w:before="120" w:after="0" w:line="240" w:lineRule="auto"/>
      <w:ind w:left="720" w:hanging="720"/>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8A4A83"/>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8A4A83"/>
    <w:rPr>
      <w:vertAlign w:val="superscript"/>
    </w:rPr>
  </w:style>
  <w:style w:type="paragraph" w:customStyle="1" w:styleId="FigureNumberCaption">
    <w:name w:val="Figure Number&amp;Caption"/>
    <w:basedOn w:val="Normal"/>
    <w:next w:val="Normal"/>
    <w:rsid w:val="000F1148"/>
    <w:pPr>
      <w:spacing w:before="160" w:after="160" w:line="252" w:lineRule="auto"/>
      <w:jc w:val="center"/>
    </w:pPr>
    <w:rPr>
      <w:rFonts w:ascii="Arial Narrow" w:hAnsi="Arial Narrow"/>
      <w:b/>
      <w:sz w:val="22"/>
      <w:szCs w:val="20"/>
    </w:rPr>
  </w:style>
  <w:style w:type="paragraph" w:customStyle="1" w:styleId="Figure">
    <w:name w:val="Figure"/>
    <w:basedOn w:val="BodyText"/>
    <w:link w:val="FigureChar"/>
    <w:rsid w:val="000F1148"/>
    <w:pPr>
      <w:spacing w:line="252" w:lineRule="auto"/>
      <w:jc w:val="center"/>
    </w:pPr>
    <w:rPr>
      <w:szCs w:val="20"/>
    </w:rPr>
  </w:style>
  <w:style w:type="character" w:customStyle="1" w:styleId="FigureChar">
    <w:name w:val="Figure Char"/>
    <w:basedOn w:val="BodyTextChar"/>
    <w:link w:val="Figure"/>
    <w:rsid w:val="000F1148"/>
    <w:rPr>
      <w:rFonts w:ascii="Times New Roman" w:eastAsia="Times New Roman" w:hAnsi="Times New Roman" w:cs="Times New Roman"/>
      <w:sz w:val="24"/>
      <w:szCs w:val="20"/>
    </w:rPr>
  </w:style>
  <w:style w:type="paragraph" w:customStyle="1" w:styleId="FigureNotes">
    <w:name w:val="Figure Notes"/>
    <w:basedOn w:val="FigureNumberCaption"/>
    <w:qFormat/>
    <w:rsid w:val="000F1148"/>
    <w:pPr>
      <w:spacing w:before="60" w:after="60"/>
      <w:jc w:val="left"/>
    </w:pPr>
    <w:rPr>
      <w:rFonts w:ascii="Times New Roman" w:hAnsi="Times New Roman"/>
      <w:b w:val="0"/>
      <w:sz w:val="18"/>
    </w:rPr>
  </w:style>
  <w:style w:type="paragraph" w:styleId="BodyText">
    <w:name w:val="Body Text"/>
    <w:basedOn w:val="Normal"/>
    <w:link w:val="BodyTextChar"/>
    <w:uiPriority w:val="99"/>
    <w:semiHidden/>
    <w:unhideWhenUsed/>
    <w:rsid w:val="000F1148"/>
    <w:pPr>
      <w:spacing w:after="120"/>
    </w:pPr>
  </w:style>
  <w:style w:type="character" w:customStyle="1" w:styleId="BodyTextChar">
    <w:name w:val="Body Text Char"/>
    <w:basedOn w:val="DefaultParagraphFont"/>
    <w:link w:val="BodyText"/>
    <w:uiPriority w:val="99"/>
    <w:semiHidden/>
    <w:rsid w:val="000F1148"/>
    <w:rPr>
      <w:rFonts w:ascii="Times New Roman" w:eastAsia="Times New Roman" w:hAnsi="Times New Roman" w:cs="Times New Roman"/>
      <w:sz w:val="24"/>
      <w:szCs w:val="24"/>
    </w:rPr>
  </w:style>
  <w:style w:type="paragraph" w:customStyle="1" w:styleId="TableHead">
    <w:name w:val="Table Head"/>
    <w:aliases w:val="th"/>
    <w:basedOn w:val="Normal"/>
    <w:next w:val="Normal"/>
    <w:rsid w:val="00E94CC5"/>
    <w:pPr>
      <w:spacing w:before="80" w:after="80"/>
      <w:jc w:val="center"/>
    </w:pPr>
    <w:rPr>
      <w:rFonts w:ascii="Times New Roman Bold" w:hAnsi="Times New Roman Bold"/>
      <w:b/>
      <w:sz w:val="22"/>
      <w:szCs w:val="20"/>
    </w:rPr>
  </w:style>
  <w:style w:type="paragraph" w:customStyle="1" w:styleId="TableBody">
    <w:name w:val="Table Body"/>
    <w:aliases w:val="tb"/>
    <w:basedOn w:val="TableHead"/>
    <w:link w:val="TableBodyChar"/>
    <w:rsid w:val="00E94CC5"/>
    <w:pPr>
      <w:spacing w:before="60" w:after="60" w:line="252" w:lineRule="auto"/>
      <w:jc w:val="left"/>
    </w:pPr>
    <w:rPr>
      <w:rFonts w:ascii="Times New Roman" w:hAnsi="Times New Roman"/>
      <w:b w:val="0"/>
    </w:rPr>
  </w:style>
  <w:style w:type="character" w:customStyle="1" w:styleId="TableBodyChar">
    <w:name w:val="Table Body Char"/>
    <w:basedOn w:val="DefaultParagraphFont"/>
    <w:link w:val="TableBody"/>
    <w:locked/>
    <w:rsid w:val="00E94CC5"/>
    <w:rPr>
      <w:rFonts w:ascii="Times New Roman" w:eastAsia="Times New Roman" w:hAnsi="Times New Roman" w:cs="Times New Roman"/>
      <w:szCs w:val="20"/>
    </w:rPr>
  </w:style>
  <w:style w:type="paragraph" w:customStyle="1" w:styleId="TableNumberCaption">
    <w:name w:val="Table Number&amp;Caption"/>
    <w:basedOn w:val="FigureNumberCaption"/>
    <w:rsid w:val="00E94CC5"/>
    <w:pPr>
      <w:spacing w:after="40"/>
    </w:pPr>
  </w:style>
  <w:style w:type="paragraph" w:styleId="Caption">
    <w:name w:val="caption"/>
    <w:basedOn w:val="Normal"/>
    <w:next w:val="Normal"/>
    <w:uiPriority w:val="35"/>
    <w:unhideWhenUsed/>
    <w:qFormat/>
    <w:rsid w:val="00F01FBC"/>
    <w:pPr>
      <w:spacing w:after="200"/>
    </w:pPr>
    <w:rPr>
      <w:i/>
      <w:iCs/>
      <w:color w:val="44546A" w:themeColor="text2"/>
      <w:sz w:val="18"/>
      <w:szCs w:val="18"/>
    </w:rPr>
  </w:style>
  <w:style w:type="paragraph" w:styleId="Footer">
    <w:name w:val="footer"/>
    <w:basedOn w:val="Normal"/>
    <w:link w:val="FooterChar"/>
    <w:uiPriority w:val="99"/>
    <w:unhideWhenUsed/>
    <w:rsid w:val="00B009FC"/>
    <w:pPr>
      <w:tabs>
        <w:tab w:val="center" w:pos="4680"/>
        <w:tab w:val="right" w:pos="9360"/>
      </w:tabs>
    </w:pPr>
  </w:style>
  <w:style w:type="character" w:customStyle="1" w:styleId="FooterChar">
    <w:name w:val="Footer Char"/>
    <w:basedOn w:val="DefaultParagraphFont"/>
    <w:link w:val="Footer"/>
    <w:uiPriority w:val="99"/>
    <w:rsid w:val="00B009F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2892">
      <w:bodyDiv w:val="1"/>
      <w:marLeft w:val="0"/>
      <w:marRight w:val="0"/>
      <w:marTop w:val="0"/>
      <w:marBottom w:val="0"/>
      <w:divBdr>
        <w:top w:val="none" w:sz="0" w:space="0" w:color="auto"/>
        <w:left w:val="none" w:sz="0" w:space="0" w:color="auto"/>
        <w:bottom w:val="none" w:sz="0" w:space="0" w:color="auto"/>
        <w:right w:val="none" w:sz="0" w:space="0" w:color="auto"/>
      </w:divBdr>
    </w:div>
    <w:div w:id="31421665">
      <w:bodyDiv w:val="1"/>
      <w:marLeft w:val="0"/>
      <w:marRight w:val="0"/>
      <w:marTop w:val="0"/>
      <w:marBottom w:val="0"/>
      <w:divBdr>
        <w:top w:val="none" w:sz="0" w:space="0" w:color="auto"/>
        <w:left w:val="none" w:sz="0" w:space="0" w:color="auto"/>
        <w:bottom w:val="none" w:sz="0" w:space="0" w:color="auto"/>
        <w:right w:val="none" w:sz="0" w:space="0" w:color="auto"/>
      </w:divBdr>
    </w:div>
    <w:div w:id="186451683">
      <w:bodyDiv w:val="1"/>
      <w:marLeft w:val="0"/>
      <w:marRight w:val="0"/>
      <w:marTop w:val="0"/>
      <w:marBottom w:val="0"/>
      <w:divBdr>
        <w:top w:val="none" w:sz="0" w:space="0" w:color="auto"/>
        <w:left w:val="none" w:sz="0" w:space="0" w:color="auto"/>
        <w:bottom w:val="none" w:sz="0" w:space="0" w:color="auto"/>
        <w:right w:val="none" w:sz="0" w:space="0" w:color="auto"/>
      </w:divBdr>
    </w:div>
    <w:div w:id="456534091">
      <w:bodyDiv w:val="1"/>
      <w:marLeft w:val="0"/>
      <w:marRight w:val="0"/>
      <w:marTop w:val="0"/>
      <w:marBottom w:val="0"/>
      <w:divBdr>
        <w:top w:val="none" w:sz="0" w:space="0" w:color="auto"/>
        <w:left w:val="none" w:sz="0" w:space="0" w:color="auto"/>
        <w:bottom w:val="none" w:sz="0" w:space="0" w:color="auto"/>
        <w:right w:val="none" w:sz="0" w:space="0" w:color="auto"/>
      </w:divBdr>
    </w:div>
    <w:div w:id="711543623">
      <w:bodyDiv w:val="1"/>
      <w:marLeft w:val="0"/>
      <w:marRight w:val="0"/>
      <w:marTop w:val="0"/>
      <w:marBottom w:val="0"/>
      <w:divBdr>
        <w:top w:val="none" w:sz="0" w:space="0" w:color="auto"/>
        <w:left w:val="none" w:sz="0" w:space="0" w:color="auto"/>
        <w:bottom w:val="none" w:sz="0" w:space="0" w:color="auto"/>
        <w:right w:val="none" w:sz="0" w:space="0" w:color="auto"/>
      </w:divBdr>
    </w:div>
    <w:div w:id="733939737">
      <w:bodyDiv w:val="1"/>
      <w:marLeft w:val="0"/>
      <w:marRight w:val="0"/>
      <w:marTop w:val="0"/>
      <w:marBottom w:val="0"/>
      <w:divBdr>
        <w:top w:val="none" w:sz="0" w:space="0" w:color="auto"/>
        <w:left w:val="none" w:sz="0" w:space="0" w:color="auto"/>
        <w:bottom w:val="none" w:sz="0" w:space="0" w:color="auto"/>
        <w:right w:val="none" w:sz="0" w:space="0" w:color="auto"/>
      </w:divBdr>
    </w:div>
    <w:div w:id="737214835">
      <w:bodyDiv w:val="1"/>
      <w:marLeft w:val="0"/>
      <w:marRight w:val="0"/>
      <w:marTop w:val="0"/>
      <w:marBottom w:val="0"/>
      <w:divBdr>
        <w:top w:val="none" w:sz="0" w:space="0" w:color="auto"/>
        <w:left w:val="none" w:sz="0" w:space="0" w:color="auto"/>
        <w:bottom w:val="none" w:sz="0" w:space="0" w:color="auto"/>
        <w:right w:val="none" w:sz="0" w:space="0" w:color="auto"/>
      </w:divBdr>
    </w:div>
    <w:div w:id="1160543485">
      <w:bodyDiv w:val="1"/>
      <w:marLeft w:val="0"/>
      <w:marRight w:val="0"/>
      <w:marTop w:val="0"/>
      <w:marBottom w:val="0"/>
      <w:divBdr>
        <w:top w:val="none" w:sz="0" w:space="0" w:color="auto"/>
        <w:left w:val="none" w:sz="0" w:space="0" w:color="auto"/>
        <w:bottom w:val="none" w:sz="0" w:space="0" w:color="auto"/>
        <w:right w:val="none" w:sz="0" w:space="0" w:color="auto"/>
      </w:divBdr>
    </w:div>
    <w:div w:id="1198085626">
      <w:bodyDiv w:val="1"/>
      <w:marLeft w:val="0"/>
      <w:marRight w:val="0"/>
      <w:marTop w:val="0"/>
      <w:marBottom w:val="0"/>
      <w:divBdr>
        <w:top w:val="none" w:sz="0" w:space="0" w:color="auto"/>
        <w:left w:val="none" w:sz="0" w:space="0" w:color="auto"/>
        <w:bottom w:val="none" w:sz="0" w:space="0" w:color="auto"/>
        <w:right w:val="none" w:sz="0" w:space="0" w:color="auto"/>
      </w:divBdr>
    </w:div>
    <w:div w:id="1622105183">
      <w:bodyDiv w:val="1"/>
      <w:marLeft w:val="0"/>
      <w:marRight w:val="0"/>
      <w:marTop w:val="0"/>
      <w:marBottom w:val="0"/>
      <w:divBdr>
        <w:top w:val="none" w:sz="0" w:space="0" w:color="auto"/>
        <w:left w:val="none" w:sz="0" w:space="0" w:color="auto"/>
        <w:bottom w:val="none" w:sz="0" w:space="0" w:color="auto"/>
        <w:right w:val="none" w:sz="0" w:space="0" w:color="auto"/>
      </w:divBdr>
    </w:div>
    <w:div w:id="1634022773">
      <w:bodyDiv w:val="1"/>
      <w:marLeft w:val="0"/>
      <w:marRight w:val="0"/>
      <w:marTop w:val="0"/>
      <w:marBottom w:val="0"/>
      <w:divBdr>
        <w:top w:val="none" w:sz="0" w:space="0" w:color="auto"/>
        <w:left w:val="none" w:sz="0" w:space="0" w:color="auto"/>
        <w:bottom w:val="none" w:sz="0" w:space="0" w:color="auto"/>
        <w:right w:val="none" w:sz="0" w:space="0" w:color="auto"/>
      </w:divBdr>
    </w:div>
    <w:div w:id="1727560122">
      <w:bodyDiv w:val="1"/>
      <w:marLeft w:val="0"/>
      <w:marRight w:val="0"/>
      <w:marTop w:val="0"/>
      <w:marBottom w:val="0"/>
      <w:divBdr>
        <w:top w:val="none" w:sz="0" w:space="0" w:color="auto"/>
        <w:left w:val="none" w:sz="0" w:space="0" w:color="auto"/>
        <w:bottom w:val="none" w:sz="0" w:space="0" w:color="auto"/>
        <w:right w:val="none" w:sz="0" w:space="0" w:color="auto"/>
      </w:divBdr>
    </w:div>
    <w:div w:id="214384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14</Pages>
  <Words>3504</Words>
  <Characters>19975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Weber</dc:creator>
  <cp:keywords/>
  <dc:description/>
  <cp:lastModifiedBy>Mary Weber</cp:lastModifiedBy>
  <cp:revision>11</cp:revision>
  <dcterms:created xsi:type="dcterms:W3CDTF">2018-08-19T00:16:00Z</dcterms:created>
  <dcterms:modified xsi:type="dcterms:W3CDTF">2018-08-22T01:35:00Z</dcterms:modified>
</cp:coreProperties>
</file>