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1ADB4" w14:textId="77777777" w:rsidR="00B150CE" w:rsidRDefault="00B150CE" w:rsidP="00B150CE">
      <w:pPr>
        <w:pStyle w:val="Heading3"/>
      </w:pPr>
      <w:r>
        <w:t>Test Case 3: Capture Zone in an Unconfined Aquifer</w:t>
      </w:r>
    </w:p>
    <w:p w14:paraId="35418891" w14:textId="77777777" w:rsidR="00242936" w:rsidRPr="00DB5E04" w:rsidRDefault="00242936" w:rsidP="00242936">
      <w:pPr>
        <w:pStyle w:val="H1bodytext"/>
        <w:ind w:left="1440"/>
        <w:rPr>
          <w:b/>
        </w:rPr>
      </w:pPr>
      <w:r>
        <w:rPr>
          <w:b/>
        </w:rPr>
        <w:t>Test Case Description</w:t>
      </w:r>
    </w:p>
    <w:p w14:paraId="2E20E2AA" w14:textId="77777777" w:rsidR="00491EFF" w:rsidRDefault="00A72796" w:rsidP="00B150CE">
      <w:pPr>
        <w:pStyle w:val="H1bodytext"/>
        <w:ind w:left="1440"/>
      </w:pPr>
      <w:r>
        <w:t>MODPATH’s reverse particle tracking capabilities are commonly used to map capture zones in an unconfined aquifer at the Hanford Site. In this test, results from a MODPATH reverse particle tracking simulation are compared to an analytically-calculated capture zone.</w:t>
      </w:r>
      <w:r w:rsidR="00A119B8" w:rsidRPr="00A119B8">
        <w:t xml:space="preserve"> </w:t>
      </w:r>
      <w:r w:rsidR="00A119B8">
        <w:t xml:space="preserve">The analytical solution (Grubb, 1993, </w:t>
      </w:r>
      <w:bookmarkStart w:id="0" w:name="_Hlk523338250"/>
      <w:r w:rsidR="00A119B8">
        <w:rPr>
          <w:i/>
        </w:rPr>
        <w:t>Analytical Model for Estimation of Steady-State Capture Zones of Pumping Wells in Confined and Unconfined Aquifers</w:t>
      </w:r>
      <w:bookmarkEnd w:id="0"/>
      <w:r w:rsidR="00A119B8">
        <w:t xml:space="preserve">) calculates </w:t>
      </w:r>
      <w:r w:rsidR="00242936">
        <w:t>the shape of a capture zone</w:t>
      </w:r>
      <w:r w:rsidR="00A119B8">
        <w:t xml:space="preserve"> with the following conditions:</w:t>
      </w:r>
    </w:p>
    <w:p w14:paraId="3EA4723E" w14:textId="77777777" w:rsidR="00A119B8" w:rsidRDefault="00A119B8" w:rsidP="00A119B8">
      <w:pPr>
        <w:pStyle w:val="H1bodytext"/>
        <w:numPr>
          <w:ilvl w:val="0"/>
          <w:numId w:val="2"/>
        </w:numPr>
      </w:pPr>
      <w:bookmarkStart w:id="1" w:name="_Hlk524533487"/>
      <w:r>
        <w:t>The aquifer is homogeneous, isotropic, and infinite in horizontal extent.</w:t>
      </w:r>
    </w:p>
    <w:p w14:paraId="45BF903C" w14:textId="77777777" w:rsidR="00A119B8" w:rsidRDefault="00A119B8" w:rsidP="00A119B8">
      <w:pPr>
        <w:pStyle w:val="H1bodytext"/>
        <w:numPr>
          <w:ilvl w:val="0"/>
          <w:numId w:val="2"/>
        </w:numPr>
      </w:pPr>
      <w:r>
        <w:t>The flow conditions are uniform and steady-state.</w:t>
      </w:r>
    </w:p>
    <w:p w14:paraId="610D3439" w14:textId="77777777" w:rsidR="00A119B8" w:rsidRDefault="00A119B8" w:rsidP="00A119B8">
      <w:pPr>
        <w:pStyle w:val="H1bodytext"/>
        <w:numPr>
          <w:ilvl w:val="0"/>
          <w:numId w:val="2"/>
        </w:numPr>
      </w:pPr>
      <w:r>
        <w:t>The unconfined aquifer has a horizontal lower confining layer with no leakage, rainfall infiltration, or other vertical recharge.</w:t>
      </w:r>
    </w:p>
    <w:p w14:paraId="52995429" w14:textId="77777777" w:rsidR="00A119B8" w:rsidRDefault="00A119B8" w:rsidP="00A119B8">
      <w:pPr>
        <w:pStyle w:val="H1bodytext"/>
        <w:numPr>
          <w:ilvl w:val="0"/>
          <w:numId w:val="2"/>
        </w:numPr>
      </w:pPr>
      <w:r>
        <w:t>The specific yield of the aquifer is neglected.</w:t>
      </w:r>
    </w:p>
    <w:p w14:paraId="5F3E807C" w14:textId="77777777" w:rsidR="00A119B8" w:rsidRDefault="00A119B8" w:rsidP="00A119B8">
      <w:pPr>
        <w:pStyle w:val="H1bodytext"/>
        <w:numPr>
          <w:ilvl w:val="0"/>
          <w:numId w:val="2"/>
        </w:numPr>
      </w:pPr>
      <w:r>
        <w:t>Vertical gradients are negligible.</w:t>
      </w:r>
    </w:p>
    <w:p w14:paraId="7BD3FBD8" w14:textId="77777777" w:rsidR="00A119B8" w:rsidRDefault="00A119B8" w:rsidP="00A119B8">
      <w:pPr>
        <w:pStyle w:val="H1bodytext"/>
        <w:numPr>
          <w:ilvl w:val="0"/>
          <w:numId w:val="2"/>
        </w:numPr>
      </w:pPr>
      <w:r>
        <w:t>The pumping well is fully penetrating, open over the thickness of the aquifer, and pumps at a constant rate.</w:t>
      </w:r>
    </w:p>
    <w:bookmarkEnd w:id="1"/>
    <w:p w14:paraId="0E7195C4" w14:textId="77777777" w:rsidR="00B150CE" w:rsidRDefault="00B150CE" w:rsidP="00A72796">
      <w:pPr>
        <w:pStyle w:val="H1bodytext"/>
        <w:ind w:left="1440"/>
      </w:pPr>
      <w:r>
        <w:t xml:space="preserve">Taking all these assumptions into account, a well pumping at a constant rate will produce a capture zone extend infinitely in the upgradient direction and end in the downgradient direction, as shown in </w:t>
      </w:r>
      <w:r>
        <w:fldChar w:fldCharType="begin"/>
      </w:r>
      <w:r>
        <w:instrText xml:space="preserve"> REF _Ref523385809 \h </w:instrText>
      </w:r>
      <w:r>
        <w:fldChar w:fldCharType="separate"/>
      </w:r>
      <w:r>
        <w:t xml:space="preserve">Figure </w:t>
      </w:r>
      <w:r>
        <w:rPr>
          <w:noProof/>
        </w:rPr>
        <w:t>3</w:t>
      </w:r>
      <w:r>
        <w:noBreakHyphen/>
      </w:r>
      <w:r>
        <w:rPr>
          <w:noProof/>
        </w:rPr>
        <w:t>7</w:t>
      </w:r>
      <w:r>
        <w:fldChar w:fldCharType="end"/>
      </w:r>
      <w:r>
        <w:t>. The maximum width of the upgradient capture zone as measured from the center of the well (</w:t>
      </w:r>
      <w:proofErr w:type="spellStart"/>
      <w:r>
        <w:t>y</w:t>
      </w:r>
      <w:r>
        <w:rPr>
          <w:vertAlign w:val="subscript"/>
        </w:rPr>
        <w:t>max</w:t>
      </w:r>
      <w:proofErr w:type="spellEnd"/>
      <w:r>
        <w:rPr>
          <w:vertAlign w:val="subscript"/>
        </w:rPr>
        <w:softHyphen/>
      </w:r>
      <w:r>
        <w:t xml:space="preserve">) and the stagnation point, </w:t>
      </w:r>
      <w:r>
        <w:rPr>
          <w:rFonts w:cstheme="minorHAnsi"/>
        </w:rPr>
        <w:t>the distance from the pumping well to the down-gradient edge of the capture zone (the stagnation point, or</w:t>
      </w:r>
      <w:r>
        <w:rPr>
          <w:rFonts w:ascii="Cambria Math" w:hAnsi="Cambria Math"/>
          <w:i/>
        </w:rPr>
        <w:t xml:space="preserve"> x</w:t>
      </w:r>
      <w:r>
        <w:rPr>
          <w:rFonts w:ascii="Cambria Math" w:hAnsi="Cambria Math"/>
          <w:i/>
          <w:vertAlign w:val="subscript"/>
        </w:rPr>
        <w:t>0</w:t>
      </w:r>
      <w:r>
        <w:rPr>
          <w:rFonts w:cstheme="minorHAnsi"/>
        </w:rPr>
        <w:t xml:space="preserve">), </w:t>
      </w:r>
      <w:r>
        <w:t>can be calculated analytically.</w:t>
      </w:r>
    </w:p>
    <w:p w14:paraId="368B4344" w14:textId="77777777" w:rsidR="00B150CE" w:rsidRDefault="00B150CE" w:rsidP="00B150CE">
      <w:pPr>
        <w:pStyle w:val="Figure"/>
      </w:pPr>
      <w:r>
        <w:rPr>
          <w:noProof/>
        </w:rPr>
        <w:drawing>
          <wp:inline distT="0" distB="0" distL="0" distR="0" wp14:anchorId="11D562EA" wp14:editId="424077A9">
            <wp:extent cx="3558540" cy="2522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540" cy="2522220"/>
                    </a:xfrm>
                    <a:prstGeom prst="rect">
                      <a:avLst/>
                    </a:prstGeom>
                    <a:noFill/>
                    <a:ln>
                      <a:noFill/>
                    </a:ln>
                  </pic:spPr>
                </pic:pic>
              </a:graphicData>
            </a:graphic>
          </wp:inline>
        </w:drawing>
      </w:r>
    </w:p>
    <w:p w14:paraId="17A050FC" w14:textId="77777777" w:rsidR="00B150CE" w:rsidRDefault="00B150CE" w:rsidP="00B150CE">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7C4F9FBF" w14:textId="77777777" w:rsidR="00B150CE" w:rsidRDefault="00B150CE" w:rsidP="00B150CE">
      <w:pPr>
        <w:pStyle w:val="FigureNumberCaption"/>
      </w:pPr>
      <w:bookmarkStart w:id="2" w:name="_Ref523385809"/>
      <w:bookmarkStart w:id="3" w:name="_Ref522637989"/>
      <w:r>
        <w:lastRenderedPageBreak/>
        <w:t xml:space="preserve">Figure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Figure \* ARABIC \s 1 </w:instrText>
      </w:r>
      <w:r>
        <w:fldChar w:fldCharType="separate"/>
      </w:r>
      <w:r>
        <w:rPr>
          <w:noProof/>
        </w:rPr>
        <w:t>7</w:t>
      </w:r>
      <w:r>
        <w:fldChar w:fldCharType="end"/>
      </w:r>
      <w:bookmarkEnd w:id="2"/>
      <w:r>
        <w:t>. Capture zone in an unconfined aquifer</w:t>
      </w:r>
      <w:bookmarkEnd w:id="3"/>
    </w:p>
    <w:p w14:paraId="15B0582D" w14:textId="77777777" w:rsidR="00B150CE" w:rsidRDefault="00B150CE" w:rsidP="00B150CE">
      <w:pPr>
        <w:pStyle w:val="H1bodytext"/>
        <w:ind w:left="1440"/>
      </w:pPr>
      <w:r>
        <w:t>The maximum width of a capture zone an unconfined aquifer is defined by the following equation from Grubb (1993):</w:t>
      </w:r>
    </w:p>
    <w:p w14:paraId="29337E81" w14:textId="77777777" w:rsidR="00B150CE" w:rsidRDefault="0018516E" w:rsidP="00B150CE">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3788F1A2" w14:textId="77777777" w:rsidR="00B150CE" w:rsidRDefault="00B150CE" w:rsidP="00B150CE">
      <w:pPr>
        <w:pStyle w:val="H1bodytext"/>
        <w:ind w:firstLine="720"/>
      </w:pPr>
      <w:r>
        <w:t>where:</w:t>
      </w:r>
    </w:p>
    <w:p w14:paraId="1BAA945E" w14:textId="77777777" w:rsidR="00B150CE" w:rsidRDefault="00B150CE" w:rsidP="00B150CE">
      <w:pPr>
        <w:pStyle w:val="H1bodytext"/>
        <w:ind w:left="1440"/>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Pr>
          <w:rFonts w:cstheme="minorHAnsi"/>
        </w:rPr>
        <w:t xml:space="preserve">= </w:t>
      </w:r>
      <w:r>
        <w:t>the maximum width of the capture zone, where y</w:t>
      </w:r>
      <w:r>
        <w:rPr>
          <w:vertAlign w:val="subscript"/>
        </w:rPr>
        <w:t>0</w:t>
      </w:r>
      <w:r>
        <w:t xml:space="preserve"> intersects the center of the well</w:t>
      </w:r>
    </w:p>
    <w:p w14:paraId="7A0A9CAE" w14:textId="77777777" w:rsidR="00B150CE" w:rsidRDefault="00B150CE" w:rsidP="00B150CE">
      <w:pPr>
        <w:pStyle w:val="H1bodytext"/>
        <w:ind w:firstLine="720"/>
        <w:rPr>
          <w:rFonts w:cstheme="minorHAnsi"/>
        </w:rPr>
      </w:pPr>
      <w:r>
        <w:rPr>
          <w:rFonts w:ascii="Cambria Math" w:hAnsi="Cambria Math" w:cstheme="minorHAnsi"/>
          <w:i/>
        </w:rPr>
        <w:t>Q</w:t>
      </w:r>
      <w:r>
        <w:rPr>
          <w:rFonts w:cstheme="minorHAnsi"/>
        </w:rPr>
        <w:t xml:space="preserve"> = </w:t>
      </w:r>
      <w:r>
        <w:t>the pumping rate</w:t>
      </w:r>
    </w:p>
    <w:p w14:paraId="0429CACE" w14:textId="77777777" w:rsidR="00B150CE" w:rsidRDefault="00B150CE" w:rsidP="00B150CE">
      <w:pPr>
        <w:pStyle w:val="H1bodytext"/>
        <w:ind w:firstLine="720"/>
        <w:rPr>
          <w:rFonts w:cstheme="minorHAnsi"/>
        </w:rPr>
      </w:pPr>
      <w:r>
        <w:rPr>
          <w:rFonts w:ascii="Cambria Math" w:hAnsi="Cambria Math" w:cstheme="minorHAnsi"/>
          <w:i/>
        </w:rPr>
        <w:t>L</w:t>
      </w:r>
      <w:r>
        <w:rPr>
          <w:rFonts w:cstheme="minorHAnsi"/>
        </w:rPr>
        <w:t xml:space="preserve"> = </w:t>
      </w:r>
      <w:r>
        <w:t>the distance between</w:t>
      </w:r>
      <w:r>
        <w:rPr>
          <w:rFonts w:cstheme="minorHAnsi"/>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52560399" w14:textId="77777777" w:rsidR="00B150CE" w:rsidRDefault="00B150CE" w:rsidP="00B150CE">
      <w:pPr>
        <w:pStyle w:val="H1bodytext"/>
        <w:ind w:firstLine="720"/>
        <w:rPr>
          <w:rFonts w:cstheme="minorHAnsi"/>
        </w:rPr>
      </w:pPr>
      <w:r>
        <w:rPr>
          <w:rFonts w:ascii="Cambria Math" w:hAnsi="Cambria Math" w:cstheme="minorHAnsi"/>
          <w:i/>
        </w:rPr>
        <w:t>K</w:t>
      </w:r>
      <w:r>
        <w:rPr>
          <w:rFonts w:cstheme="minorHAnsi"/>
        </w:rPr>
        <w:t xml:space="preserve"> = </w:t>
      </w:r>
      <w:r>
        <w:t>the hydraulic conductivity</w:t>
      </w:r>
    </w:p>
    <w:p w14:paraId="48D4D85A" w14:textId="77777777" w:rsidR="00B150CE" w:rsidRDefault="00B150CE" w:rsidP="00B150CE">
      <w:pPr>
        <w:pStyle w:val="H1bodytext"/>
        <w:ind w:firstLine="720"/>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t>the upgradient head</w:t>
      </w:r>
    </w:p>
    <w:p w14:paraId="287CD162" w14:textId="77777777" w:rsidR="00B150CE" w:rsidRDefault="00B150CE" w:rsidP="00B150CE">
      <w:pPr>
        <w:pStyle w:val="H1bodytext"/>
        <w:ind w:firstLine="720"/>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t>the downgradient head</w:t>
      </w:r>
    </w:p>
    <w:p w14:paraId="57796A87" w14:textId="77777777" w:rsidR="00B150CE" w:rsidRDefault="00B150CE" w:rsidP="00B150CE">
      <w:pPr>
        <w:rPr>
          <w:rFonts w:cstheme="minorHAnsi"/>
        </w:rPr>
      </w:pPr>
    </w:p>
    <w:p w14:paraId="67F89349" w14:textId="77777777" w:rsidR="00B150CE" w:rsidRDefault="00B150CE" w:rsidP="00B150CE">
      <w:pPr>
        <w:pStyle w:val="H1bodytext"/>
        <w:ind w:firstLine="720"/>
      </w:pPr>
      <w:r>
        <w:t>The position of the stagnation point is calculated using the following equation:</w:t>
      </w:r>
    </w:p>
    <w:p w14:paraId="463733FB" w14:textId="77777777" w:rsidR="00B150CE" w:rsidRDefault="0018516E" w:rsidP="00B150CE">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ED20391" w14:textId="77777777" w:rsidR="00B150CE" w:rsidRDefault="00B150CE" w:rsidP="00B150CE">
      <w:pPr>
        <w:pStyle w:val="H1bodytext"/>
        <w:ind w:firstLine="720"/>
      </w:pPr>
      <w:r>
        <w:t>where:</w:t>
      </w:r>
    </w:p>
    <w:p w14:paraId="69DFB447" w14:textId="77777777" w:rsidR="00B150CE" w:rsidRDefault="00B150CE" w:rsidP="00B150CE">
      <w:pPr>
        <w:pStyle w:val="H1bodytext"/>
        <w:ind w:firstLine="720"/>
        <w:rPr>
          <w:rFonts w:asciiTheme="majorHAnsi" w:hAnsiTheme="majorHAnsi" w:cstheme="majorHAnsi"/>
        </w:rPr>
      </w:pPr>
      <w:r>
        <w:rPr>
          <w:rFonts w:ascii="Cambria Math" w:hAnsi="Cambria Math"/>
          <w:i/>
        </w:rPr>
        <w:t>x</w:t>
      </w:r>
      <w:r>
        <w:rPr>
          <w:rFonts w:ascii="Cambria Math" w:hAnsi="Cambria Math"/>
          <w:i/>
          <w:vertAlign w:val="subscript"/>
        </w:rPr>
        <w:t>0</w:t>
      </w:r>
      <w:r>
        <w:rPr>
          <w:rFonts w:ascii="Cambria Math" w:hAnsi="Cambria Math"/>
          <w:i/>
        </w:rPr>
        <w:t xml:space="preserve"> </w:t>
      </w:r>
      <w:r>
        <w:rPr>
          <w:rFonts w:cstheme="minorHAnsi"/>
        </w:rPr>
        <w:t xml:space="preserve">= </w:t>
      </w:r>
      <w:r>
        <w:t>the stagnation point</w:t>
      </w:r>
    </w:p>
    <w:p w14:paraId="4614097E" w14:textId="77777777" w:rsidR="00B150CE" w:rsidRDefault="00B150CE" w:rsidP="00B150CE">
      <w:pPr>
        <w:pStyle w:val="H1bodytext"/>
        <w:ind w:firstLine="720"/>
        <w:rPr>
          <w:rFonts w:cstheme="minorHAnsi"/>
        </w:rPr>
      </w:pPr>
      <w:r>
        <w:rPr>
          <w:rFonts w:ascii="Cambria Math" w:hAnsi="Cambria Math" w:cstheme="minorHAnsi"/>
          <w:i/>
        </w:rPr>
        <w:t>Q</w:t>
      </w:r>
      <w:r>
        <w:rPr>
          <w:rFonts w:cstheme="minorHAnsi"/>
        </w:rPr>
        <w:t xml:space="preserve"> = </w:t>
      </w:r>
      <w:r>
        <w:t>the pumping rate</w:t>
      </w:r>
    </w:p>
    <w:p w14:paraId="09BD10BA" w14:textId="77777777" w:rsidR="00B150CE" w:rsidRDefault="00B150CE" w:rsidP="00B150CE">
      <w:pPr>
        <w:pStyle w:val="H1bodytext"/>
        <w:ind w:firstLine="720"/>
        <w:rPr>
          <w:rFonts w:cstheme="minorHAnsi"/>
        </w:rPr>
      </w:pPr>
      <w:r>
        <w:rPr>
          <w:rFonts w:ascii="Cambria Math" w:hAnsi="Cambria Math" w:cstheme="minorHAnsi"/>
          <w:i/>
        </w:rPr>
        <w:t>L</w:t>
      </w:r>
      <w:r>
        <w:rPr>
          <w:rFonts w:cstheme="minorHAnsi"/>
        </w:rPr>
        <w:t xml:space="preserve"> = </w:t>
      </w:r>
      <w:r>
        <w:t>the distance between</w:t>
      </w:r>
      <w:r>
        <w:rPr>
          <w:rFonts w:cstheme="minorHAnsi"/>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35375CE7" w14:textId="77777777" w:rsidR="00B150CE" w:rsidRDefault="00B150CE" w:rsidP="00B150CE">
      <w:pPr>
        <w:pStyle w:val="H1bodytext"/>
        <w:ind w:firstLine="720"/>
      </w:pPr>
      <w:r>
        <w:rPr>
          <w:rFonts w:ascii="Cambria Math" w:hAnsi="Cambria Math" w:cstheme="minorHAnsi"/>
          <w:i/>
        </w:rPr>
        <w:t>K</w:t>
      </w:r>
      <w:r>
        <w:rPr>
          <w:rFonts w:cstheme="minorHAnsi"/>
        </w:rPr>
        <w:t xml:space="preserve"> = </w:t>
      </w:r>
      <w:r>
        <w:t>the hydraulic conductivity</w:t>
      </w:r>
    </w:p>
    <w:p w14:paraId="27F3DFA3" w14:textId="77777777" w:rsidR="00B150CE" w:rsidRDefault="00B150CE" w:rsidP="00B150CE">
      <w:pPr>
        <w:pStyle w:val="H1bodytext"/>
        <w:ind w:firstLine="720"/>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t>the upgradient head</w:t>
      </w:r>
    </w:p>
    <w:p w14:paraId="51D74243" w14:textId="77777777" w:rsidR="00A72796" w:rsidRPr="00242936" w:rsidRDefault="00B150CE" w:rsidP="00242936">
      <w:pPr>
        <w:pStyle w:val="H1bodytext"/>
        <w:ind w:firstLine="720"/>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Pr>
          <w:szCs w:val="22"/>
        </w:rPr>
        <w:t>the downgradient head</w:t>
      </w:r>
    </w:p>
    <w:p w14:paraId="4A15DA35" w14:textId="77777777" w:rsidR="00B150CE" w:rsidRDefault="00242936" w:rsidP="00242936">
      <w:pPr>
        <w:pStyle w:val="H1bodytext"/>
        <w:ind w:left="1440"/>
      </w:pPr>
      <w:r>
        <w:t xml:space="preserve">MODPATH’s ability to recreate the </w:t>
      </w:r>
      <w:proofErr w:type="spellStart"/>
      <w:r>
        <w:rPr>
          <w:rFonts w:ascii="Cambria Math" w:hAnsi="Cambria Math"/>
          <w:i/>
        </w:rPr>
        <w:t>y</w:t>
      </w:r>
      <w:r>
        <w:rPr>
          <w:rFonts w:ascii="Cambria Math" w:hAnsi="Cambria Math"/>
          <w:i/>
          <w:vertAlign w:val="subscript"/>
        </w:rPr>
        <w:t>max</w:t>
      </w:r>
      <w:proofErr w:type="spellEnd"/>
      <w:r>
        <w:t xml:space="preserve"> and </w:t>
      </w:r>
      <w:r>
        <w:rPr>
          <w:rFonts w:ascii="Cambria Math" w:hAnsi="Cambria Math"/>
          <w:i/>
        </w:rPr>
        <w:t>x</w:t>
      </w:r>
      <w:r>
        <w:rPr>
          <w:rFonts w:ascii="Cambria Math" w:hAnsi="Cambria Math"/>
          <w:i/>
          <w:vertAlign w:val="subscript"/>
        </w:rPr>
        <w:t>0</w:t>
      </w:r>
      <w:r>
        <w:t xml:space="preserve"> within an acceptable tolerance</w:t>
      </w:r>
      <w:r w:rsidR="0041082A">
        <w:t xml:space="preserve"> level</w:t>
      </w:r>
      <w:r>
        <w:t xml:space="preserve"> is the pass/fail metric this test case is based upon.</w:t>
      </w:r>
    </w:p>
    <w:p w14:paraId="4361033D" w14:textId="77777777" w:rsidR="00242936" w:rsidRDefault="00242936" w:rsidP="00242936">
      <w:pPr>
        <w:pStyle w:val="H1bodytext"/>
        <w:ind w:left="1440"/>
        <w:rPr>
          <w:b/>
        </w:rPr>
      </w:pPr>
      <w:r w:rsidRPr="0032298D">
        <w:rPr>
          <w:b/>
        </w:rPr>
        <w:t>Test Case Setup</w:t>
      </w:r>
    </w:p>
    <w:p w14:paraId="7BC608C8" w14:textId="77777777" w:rsidR="00A2046C" w:rsidRDefault="00A2046C" w:rsidP="00A2046C">
      <w:pPr>
        <w:pStyle w:val="H1bodytext"/>
        <w:ind w:left="1440"/>
      </w:pPr>
      <w:r>
        <w:t>Setting up the test consisted of four parts:</w:t>
      </w:r>
    </w:p>
    <w:p w14:paraId="774BE7C0" w14:textId="77777777" w:rsidR="00A2046C" w:rsidRDefault="00A2046C" w:rsidP="00A2046C">
      <w:pPr>
        <w:pStyle w:val="H1bodytext"/>
        <w:numPr>
          <w:ilvl w:val="0"/>
          <w:numId w:val="3"/>
        </w:numPr>
      </w:pPr>
      <w:r>
        <w:t>Set up the analytical calculation.</w:t>
      </w:r>
    </w:p>
    <w:p w14:paraId="36069DC6" w14:textId="77777777" w:rsidR="00A2046C" w:rsidRDefault="00A2046C" w:rsidP="00A2046C">
      <w:pPr>
        <w:pStyle w:val="H1bodytext"/>
        <w:numPr>
          <w:ilvl w:val="0"/>
          <w:numId w:val="3"/>
        </w:numPr>
      </w:pPr>
      <w:r>
        <w:lastRenderedPageBreak/>
        <w:t xml:space="preserve">Assemble the MODFLOW model to serve as the underlying flow model. Use the inputs from the analytical calculation and </w:t>
      </w:r>
      <w:commentRangeStart w:id="4"/>
      <w:r>
        <w:t>estimate</w:t>
      </w:r>
      <w:commentRangeEnd w:id="4"/>
      <w:r>
        <w:rPr>
          <w:rStyle w:val="CommentReference"/>
          <w:rFonts w:ascii="Times New Roman" w:hAnsi="Times New Roman"/>
        </w:rPr>
        <w:commentReference w:id="4"/>
      </w:r>
      <w:r>
        <w:t xml:space="preserve"> inputs when necessary.</w:t>
      </w:r>
    </w:p>
    <w:p w14:paraId="36DF737F" w14:textId="77777777" w:rsidR="00A2046C" w:rsidRDefault="00A2046C" w:rsidP="00A2046C">
      <w:pPr>
        <w:pStyle w:val="H1bodytext"/>
        <w:numPr>
          <w:ilvl w:val="0"/>
          <w:numId w:val="3"/>
        </w:numPr>
      </w:pPr>
      <w:r>
        <w:t xml:space="preserve">Assemble the MODPATH model for particle tracking. </w:t>
      </w:r>
    </w:p>
    <w:p w14:paraId="355E9C50" w14:textId="77777777" w:rsidR="00A2046C" w:rsidRDefault="00A2046C" w:rsidP="00A2046C">
      <w:pPr>
        <w:pStyle w:val="H1bodytext"/>
        <w:numPr>
          <w:ilvl w:val="0"/>
          <w:numId w:val="3"/>
        </w:numPr>
      </w:pPr>
      <w:r>
        <w:t>Execute the MODFLOW and MODPATH models and calculate the analytical solution.</w:t>
      </w:r>
    </w:p>
    <w:p w14:paraId="099F865A" w14:textId="77777777" w:rsidR="00A2046C" w:rsidRDefault="00A2046C" w:rsidP="00A2046C">
      <w:pPr>
        <w:pStyle w:val="H1bodytext"/>
        <w:numPr>
          <w:ilvl w:val="0"/>
          <w:numId w:val="3"/>
        </w:numPr>
      </w:pPr>
      <w:r>
        <w:t>Assess the pass/fail status of the test by comparing the MODPATH results to the analytical results.</w:t>
      </w:r>
    </w:p>
    <w:p w14:paraId="47F1E3A4" w14:textId="77777777" w:rsidR="00DE07B5" w:rsidRPr="00DE07B5" w:rsidRDefault="00DE07B5" w:rsidP="00DE07B5">
      <w:pPr>
        <w:pStyle w:val="H1bodytext"/>
        <w:ind w:left="1440"/>
        <w:rPr>
          <w:i/>
        </w:rPr>
      </w:pPr>
      <w:r>
        <w:rPr>
          <w:i/>
        </w:rPr>
        <w:t>Analytical Calculation Setup</w:t>
      </w:r>
    </w:p>
    <w:p w14:paraId="74AAAB70" w14:textId="690E3682" w:rsidR="00B150CE" w:rsidRPr="00B8604E" w:rsidRDefault="00DE07B5" w:rsidP="00B8604E">
      <w:pPr>
        <w:pStyle w:val="H1bodytext"/>
        <w:ind w:left="1440"/>
      </w:pPr>
      <w:r>
        <w:t xml:space="preserve">The analytical solutions for </w:t>
      </w:r>
      <w:proofErr w:type="spellStart"/>
      <w:r>
        <w:rPr>
          <w:rFonts w:ascii="Cambria Math" w:hAnsi="Cambria Math"/>
          <w:i/>
        </w:rPr>
        <w:t>y</w:t>
      </w:r>
      <w:r>
        <w:rPr>
          <w:rFonts w:ascii="Cambria Math" w:hAnsi="Cambria Math"/>
          <w:i/>
          <w:vertAlign w:val="subscript"/>
        </w:rPr>
        <w:t>max</w:t>
      </w:r>
      <w:proofErr w:type="spellEnd"/>
      <w:r>
        <w:t xml:space="preserve"> and </w:t>
      </w:r>
      <w:r>
        <w:rPr>
          <w:rFonts w:ascii="Cambria Math" w:hAnsi="Cambria Math"/>
          <w:i/>
        </w:rPr>
        <w:t>x</w:t>
      </w:r>
      <w:r>
        <w:rPr>
          <w:rFonts w:ascii="Cambria Math" w:hAnsi="Cambria Math"/>
          <w:i/>
          <w:vertAlign w:val="subscript"/>
        </w:rPr>
        <w:t>0</w:t>
      </w:r>
      <w:r>
        <w:t xml:space="preserve"> were set up according to the equations listed in [Section number]. </w:t>
      </w:r>
      <w:r w:rsidR="00B150CE">
        <w:t xml:space="preserve">The values used to calculate the analytical solution are shown in </w:t>
      </w:r>
      <w:r w:rsidR="00B150CE">
        <w:fldChar w:fldCharType="begin"/>
      </w:r>
      <w:r w:rsidR="00B150CE">
        <w:instrText xml:space="preserve"> REF _Ref523385877 \h </w:instrText>
      </w:r>
      <w:r w:rsidR="00B150CE">
        <w:fldChar w:fldCharType="separate"/>
      </w:r>
      <w:r w:rsidR="00B150CE">
        <w:t xml:space="preserve">Table </w:t>
      </w:r>
      <w:r w:rsidR="00B150CE">
        <w:rPr>
          <w:noProof/>
        </w:rPr>
        <w:t>3</w:t>
      </w:r>
      <w:r w:rsidR="00B150CE">
        <w:noBreakHyphen/>
      </w:r>
      <w:r w:rsidR="00B150CE">
        <w:rPr>
          <w:noProof/>
        </w:rPr>
        <w:t>5</w:t>
      </w:r>
      <w:r w:rsidR="00B150CE">
        <w:fldChar w:fldCharType="end"/>
      </w:r>
      <w:r w:rsidR="00B150CE">
        <w:t xml:space="preserve">. The extraction rate (Q) used is a value similar to those use in remediation at the Hanford </w:t>
      </w:r>
      <w:r>
        <w:t>S</w:t>
      </w:r>
      <w:r w:rsidR="00B150CE">
        <w:t xml:space="preserve">ite, the hydraulic conductivity (K) falls within the range of the K seen in the Ringold Wooded Island Formation Member unit E (CP-47631, </w:t>
      </w:r>
      <w:r w:rsidR="00B150CE">
        <w:rPr>
          <w:i/>
        </w:rPr>
        <w:t>Model Package Report: Central Plateau Groundwater Model</w:t>
      </w:r>
      <w:r w:rsidR="00B150CE">
        <w:t xml:space="preserve">), and the gradient also falls within the range of gradients seen at the Hanford </w:t>
      </w:r>
      <w:r>
        <w:t>S</w:t>
      </w:r>
      <w:r w:rsidR="00B150CE">
        <w:t xml:space="preserve">ite (ECF-Hanford-17-0241, </w:t>
      </w:r>
      <w:r w:rsidR="00B150CE">
        <w:rPr>
          <w:i/>
        </w:rPr>
        <w:t>Hydraulic Gradient and Velocity Calculations for RCRA Sites in 2017</w:t>
      </w:r>
      <w:r w:rsidR="00B150CE">
        <w:t xml:space="preserve">). </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1560"/>
        <w:gridCol w:w="1530"/>
      </w:tblGrid>
      <w:tr w:rsidR="00B150CE" w14:paraId="0C8BCEA3" w14:textId="77777777" w:rsidTr="00DE07B5">
        <w:trPr>
          <w:trHeight w:val="303"/>
          <w:tblHeader/>
          <w:jc w:val="center"/>
        </w:trPr>
        <w:tc>
          <w:tcPr>
            <w:tcW w:w="5850" w:type="dxa"/>
            <w:gridSpan w:val="3"/>
            <w:tcBorders>
              <w:top w:val="nil"/>
              <w:left w:val="nil"/>
              <w:bottom w:val="single" w:sz="4" w:space="0" w:color="auto"/>
              <w:right w:val="nil"/>
            </w:tcBorders>
            <w:noWrap/>
            <w:vAlign w:val="bottom"/>
            <w:hideMark/>
          </w:tcPr>
          <w:p w14:paraId="527FD143" w14:textId="77777777" w:rsidR="00B150CE" w:rsidRPr="00DE07B5" w:rsidRDefault="00B150CE" w:rsidP="00DE07B5">
            <w:pPr>
              <w:pStyle w:val="TableNumberCaption"/>
            </w:pPr>
            <w:bookmarkStart w:id="5" w:name="_Ref523385877"/>
            <w:bookmarkStart w:id="6" w:name="_Ref523385866"/>
            <w:r w:rsidRPr="00DE07B5">
              <w:t xml:space="preserve">Table </w:t>
            </w:r>
            <w:r w:rsidRPr="00DE07B5">
              <w:fldChar w:fldCharType="begin"/>
            </w:r>
            <w:r w:rsidRPr="00DE07B5">
              <w:instrText xml:space="preserve"> STYLEREF 1 \s </w:instrText>
            </w:r>
            <w:r w:rsidRPr="00DE07B5">
              <w:fldChar w:fldCharType="separate"/>
            </w:r>
            <w:r w:rsidRPr="00DE07B5">
              <w:t>3</w:t>
            </w:r>
            <w:r w:rsidRPr="00DE07B5">
              <w:fldChar w:fldCharType="end"/>
            </w:r>
            <w:r w:rsidRPr="00DE07B5">
              <w:noBreakHyphen/>
            </w:r>
            <w:r w:rsidRPr="00DE07B5">
              <w:fldChar w:fldCharType="begin"/>
            </w:r>
            <w:r w:rsidRPr="00DE07B5">
              <w:instrText xml:space="preserve"> SEQ Table \* ARABIC \s 1 </w:instrText>
            </w:r>
            <w:r w:rsidRPr="00DE07B5">
              <w:fldChar w:fldCharType="separate"/>
            </w:r>
            <w:r w:rsidRPr="00DE07B5">
              <w:t>5</w:t>
            </w:r>
            <w:r w:rsidRPr="00DE07B5">
              <w:fldChar w:fldCharType="end"/>
            </w:r>
            <w:bookmarkEnd w:id="5"/>
            <w:r w:rsidRPr="00DE07B5">
              <w:t xml:space="preserve">. </w:t>
            </w:r>
            <w:r w:rsidR="00DE07B5" w:rsidRPr="00DE07B5">
              <w:t>Analytical Solution Parameter Values for Test Case 3</w:t>
            </w:r>
            <w:bookmarkEnd w:id="6"/>
          </w:p>
        </w:tc>
      </w:tr>
      <w:tr w:rsidR="00B150CE" w14:paraId="4B06FCB5" w14:textId="77777777" w:rsidTr="00DE07B5">
        <w:trPr>
          <w:trHeight w:val="303"/>
          <w:tblHeader/>
          <w:jc w:val="center"/>
        </w:trPr>
        <w:tc>
          <w:tcPr>
            <w:tcW w:w="2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A82E7C7" w14:textId="77777777" w:rsidR="00B150CE" w:rsidRDefault="00B150CE">
            <w:pPr>
              <w:pStyle w:val="TableHead"/>
              <w:spacing w:line="256" w:lineRule="auto"/>
              <w:rPr>
                <w:rFonts w:cs="Arial"/>
                <w:szCs w:val="18"/>
              </w:rPr>
            </w:pPr>
            <w:r>
              <w:rPr>
                <w:rFonts w:cs="Arial"/>
                <w:szCs w:val="18"/>
              </w:rPr>
              <w:t>Variable name</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B02AFB6" w14:textId="77777777" w:rsidR="00B150CE" w:rsidRDefault="00B150CE">
            <w:pPr>
              <w:pStyle w:val="TableHead"/>
              <w:spacing w:line="256" w:lineRule="auto"/>
              <w:rPr>
                <w:rFonts w:cs="Arial"/>
                <w:szCs w:val="18"/>
              </w:rPr>
            </w:pPr>
            <w:r>
              <w:rPr>
                <w:rFonts w:cs="Arial"/>
                <w:szCs w:val="18"/>
              </w:rPr>
              <w:t>Variable Value</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11B9A9A" w14:textId="77777777" w:rsidR="00B150CE" w:rsidRDefault="00B150CE">
            <w:pPr>
              <w:pStyle w:val="TableHead"/>
              <w:spacing w:line="256" w:lineRule="auto"/>
              <w:rPr>
                <w:rFonts w:cs="Arial"/>
                <w:szCs w:val="18"/>
              </w:rPr>
            </w:pPr>
            <w:r>
              <w:rPr>
                <w:rFonts w:cs="Arial"/>
                <w:szCs w:val="18"/>
              </w:rPr>
              <w:t>Units</w:t>
            </w:r>
          </w:p>
        </w:tc>
      </w:tr>
      <w:tr w:rsidR="00B150CE" w14:paraId="5C6BED81" w14:textId="77777777" w:rsidTr="00DE07B5">
        <w:trPr>
          <w:trHeight w:val="303"/>
          <w:jc w:val="center"/>
        </w:trPr>
        <w:tc>
          <w:tcPr>
            <w:tcW w:w="2760" w:type="dxa"/>
            <w:tcBorders>
              <w:top w:val="single" w:sz="4" w:space="0" w:color="auto"/>
              <w:left w:val="single" w:sz="4" w:space="0" w:color="auto"/>
              <w:bottom w:val="single" w:sz="4" w:space="0" w:color="auto"/>
              <w:right w:val="single" w:sz="4" w:space="0" w:color="auto"/>
            </w:tcBorders>
            <w:noWrap/>
            <w:vAlign w:val="bottom"/>
            <w:hideMark/>
          </w:tcPr>
          <w:p w14:paraId="661981D8" w14:textId="77777777" w:rsidR="00B150CE" w:rsidRDefault="00B150CE">
            <w:pPr>
              <w:pStyle w:val="TableBody"/>
              <w:spacing w:line="256" w:lineRule="auto"/>
              <w:rPr>
                <w:rFonts w:cs="Arial"/>
                <w:szCs w:val="18"/>
              </w:rPr>
            </w:pPr>
            <w:r>
              <w:rPr>
                <w:rFonts w:cs="Arial"/>
                <w:szCs w:val="18"/>
              </w:rPr>
              <w:t>Extraction rate (Q)</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B97305B" w14:textId="77777777" w:rsidR="00B150CE" w:rsidRDefault="00B150CE">
            <w:pPr>
              <w:pStyle w:val="TableBody"/>
              <w:spacing w:line="256" w:lineRule="auto"/>
              <w:jc w:val="center"/>
              <w:rPr>
                <w:rFonts w:cs="Arial"/>
                <w:szCs w:val="18"/>
              </w:rPr>
            </w:pPr>
            <w:r>
              <w:rPr>
                <w:rFonts w:cs="Arial"/>
                <w:szCs w:val="18"/>
              </w:rPr>
              <w:t>100 (19,455)</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7226FAAF" w14:textId="77777777" w:rsidR="00B150CE" w:rsidRDefault="00B150CE">
            <w:pPr>
              <w:pStyle w:val="TableBody"/>
              <w:spacing w:line="256" w:lineRule="auto"/>
              <w:rPr>
                <w:rFonts w:cs="Arial"/>
                <w:szCs w:val="18"/>
              </w:rPr>
            </w:pPr>
            <w:r>
              <w:rPr>
                <w:rFonts w:cs="Arial"/>
                <w:szCs w:val="18"/>
              </w:rPr>
              <w:t>gal/min (ft</w:t>
            </w:r>
            <w:r>
              <w:rPr>
                <w:rFonts w:cs="Arial"/>
                <w:szCs w:val="18"/>
                <w:vertAlign w:val="superscript"/>
              </w:rPr>
              <w:t>3</w:t>
            </w:r>
            <w:r>
              <w:rPr>
                <w:rFonts w:cs="Arial"/>
                <w:szCs w:val="18"/>
              </w:rPr>
              <w:t>/day)</w:t>
            </w:r>
          </w:p>
        </w:tc>
      </w:tr>
      <w:tr w:rsidR="00B150CE" w14:paraId="1F1F6C4B" w14:textId="77777777" w:rsidTr="00DE07B5">
        <w:trPr>
          <w:trHeight w:val="303"/>
          <w:jc w:val="center"/>
        </w:trPr>
        <w:tc>
          <w:tcPr>
            <w:tcW w:w="2760" w:type="dxa"/>
            <w:tcBorders>
              <w:top w:val="single" w:sz="4" w:space="0" w:color="auto"/>
              <w:left w:val="single" w:sz="4" w:space="0" w:color="auto"/>
              <w:bottom w:val="single" w:sz="4" w:space="0" w:color="auto"/>
              <w:right w:val="single" w:sz="4" w:space="0" w:color="auto"/>
            </w:tcBorders>
            <w:noWrap/>
            <w:vAlign w:val="bottom"/>
            <w:hideMark/>
          </w:tcPr>
          <w:p w14:paraId="3383574A" w14:textId="77777777" w:rsidR="00B150CE" w:rsidRDefault="00B150CE">
            <w:pPr>
              <w:pStyle w:val="TableBody"/>
              <w:spacing w:line="256" w:lineRule="auto"/>
              <w:rPr>
                <w:rFonts w:cs="Arial"/>
                <w:szCs w:val="18"/>
              </w:rPr>
            </w:pPr>
            <w:r>
              <w:rPr>
                <w:rFonts w:cs="Arial"/>
                <w:szCs w:val="18"/>
              </w:rPr>
              <w:t>Hydraulic conductivity (K)</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50B87B29" w14:textId="77777777" w:rsidR="00B150CE" w:rsidRDefault="00B150CE">
            <w:pPr>
              <w:pStyle w:val="TableBody"/>
              <w:spacing w:line="256" w:lineRule="auto"/>
              <w:jc w:val="center"/>
              <w:rPr>
                <w:rFonts w:cs="Arial"/>
                <w:szCs w:val="18"/>
              </w:rPr>
            </w:pPr>
            <w:r>
              <w:rPr>
                <w:rFonts w:cs="Arial"/>
                <w:szCs w:val="18"/>
              </w:rPr>
              <w:t>1000</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5059C676" w14:textId="77777777" w:rsidR="00B150CE" w:rsidRDefault="00B150CE">
            <w:pPr>
              <w:pStyle w:val="TableBody"/>
              <w:spacing w:line="256" w:lineRule="auto"/>
              <w:rPr>
                <w:rFonts w:cs="Arial"/>
                <w:szCs w:val="18"/>
              </w:rPr>
            </w:pPr>
            <w:r>
              <w:rPr>
                <w:rFonts w:cs="Arial"/>
                <w:szCs w:val="18"/>
              </w:rPr>
              <w:t>ft/day</w:t>
            </w:r>
          </w:p>
        </w:tc>
      </w:tr>
      <w:tr w:rsidR="00B150CE" w14:paraId="41921B2D" w14:textId="77777777" w:rsidTr="00DE07B5">
        <w:trPr>
          <w:trHeight w:val="303"/>
          <w:jc w:val="center"/>
        </w:trPr>
        <w:tc>
          <w:tcPr>
            <w:tcW w:w="2760" w:type="dxa"/>
            <w:tcBorders>
              <w:top w:val="single" w:sz="4" w:space="0" w:color="auto"/>
              <w:left w:val="single" w:sz="4" w:space="0" w:color="auto"/>
              <w:bottom w:val="single" w:sz="4" w:space="0" w:color="auto"/>
              <w:right w:val="single" w:sz="4" w:space="0" w:color="auto"/>
            </w:tcBorders>
            <w:noWrap/>
            <w:vAlign w:val="bottom"/>
            <w:hideMark/>
          </w:tcPr>
          <w:p w14:paraId="138A4168" w14:textId="77777777" w:rsidR="00B150CE" w:rsidRDefault="00B150CE">
            <w:pPr>
              <w:pStyle w:val="TableBody"/>
              <w:spacing w:line="256" w:lineRule="auto"/>
              <w:rPr>
                <w:rFonts w:cs="Arial"/>
                <w:szCs w:val="18"/>
              </w:rPr>
            </w:pPr>
            <w:r>
              <w:rPr>
                <w:rFonts w:cs="Arial"/>
                <w:szCs w:val="18"/>
              </w:rPr>
              <w:t>h</w:t>
            </w:r>
            <w:r>
              <w:rPr>
                <w:rFonts w:cs="Arial"/>
                <w:szCs w:val="18"/>
                <w:vertAlign w:val="subscript"/>
              </w:rPr>
              <w:t>1</w:t>
            </w:r>
            <w:r>
              <w:rPr>
                <w:rFonts w:cs="Arial"/>
                <w:szCs w:val="18"/>
              </w:rPr>
              <w:t xml:space="preserve"> head</w:t>
            </w:r>
            <w:r w:rsidR="00DE07B5">
              <w:rPr>
                <w:rFonts w:cs="Arial"/>
                <w:szCs w:val="18"/>
              </w:rPr>
              <w:t xml:space="preserve"> (h</w:t>
            </w:r>
            <w:r w:rsidR="00DE07B5">
              <w:rPr>
                <w:rFonts w:cs="Arial"/>
                <w:szCs w:val="18"/>
                <w:vertAlign w:val="subscript"/>
              </w:rPr>
              <w:t>1</w:t>
            </w:r>
            <w:r w:rsidR="00DE07B5">
              <w:rPr>
                <w:rFonts w:cs="Arial"/>
                <w:szCs w:val="18"/>
              </w:rPr>
              <w:t>)</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39FBE330" w14:textId="77777777" w:rsidR="00B150CE" w:rsidRDefault="00B150CE">
            <w:pPr>
              <w:pStyle w:val="TableBody"/>
              <w:spacing w:line="256" w:lineRule="auto"/>
              <w:jc w:val="center"/>
              <w:rPr>
                <w:rFonts w:cs="Arial"/>
                <w:szCs w:val="18"/>
              </w:rPr>
            </w:pPr>
            <w:r>
              <w:rPr>
                <w:rFonts w:cs="Arial"/>
                <w:szCs w:val="18"/>
              </w:rPr>
              <w:t>200</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0F4768F4" w14:textId="77777777" w:rsidR="00B150CE" w:rsidRDefault="00B150CE">
            <w:pPr>
              <w:pStyle w:val="TableBody"/>
              <w:spacing w:line="256" w:lineRule="auto"/>
              <w:rPr>
                <w:rFonts w:cs="Arial"/>
                <w:szCs w:val="18"/>
              </w:rPr>
            </w:pPr>
            <w:r>
              <w:rPr>
                <w:rFonts w:cs="Arial"/>
                <w:szCs w:val="18"/>
              </w:rPr>
              <w:t>ft</w:t>
            </w:r>
          </w:p>
        </w:tc>
      </w:tr>
      <w:tr w:rsidR="00B150CE" w14:paraId="02795E5D" w14:textId="77777777" w:rsidTr="00DE07B5">
        <w:trPr>
          <w:trHeight w:val="303"/>
          <w:jc w:val="center"/>
        </w:trPr>
        <w:tc>
          <w:tcPr>
            <w:tcW w:w="2760" w:type="dxa"/>
            <w:tcBorders>
              <w:top w:val="single" w:sz="4" w:space="0" w:color="auto"/>
              <w:left w:val="single" w:sz="4" w:space="0" w:color="auto"/>
              <w:bottom w:val="single" w:sz="4" w:space="0" w:color="auto"/>
              <w:right w:val="single" w:sz="4" w:space="0" w:color="auto"/>
            </w:tcBorders>
            <w:noWrap/>
            <w:vAlign w:val="bottom"/>
            <w:hideMark/>
          </w:tcPr>
          <w:p w14:paraId="1D297294" w14:textId="77777777" w:rsidR="00B150CE" w:rsidRPr="00DE07B5" w:rsidRDefault="00B150CE">
            <w:pPr>
              <w:pStyle w:val="TableBody"/>
              <w:spacing w:line="256" w:lineRule="auto"/>
              <w:rPr>
                <w:rFonts w:cs="Arial"/>
                <w:szCs w:val="18"/>
              </w:rPr>
            </w:pPr>
            <w:r>
              <w:rPr>
                <w:rFonts w:cs="Arial"/>
                <w:szCs w:val="18"/>
              </w:rPr>
              <w:t>h</w:t>
            </w:r>
            <w:r>
              <w:rPr>
                <w:rFonts w:cs="Arial"/>
                <w:szCs w:val="18"/>
                <w:vertAlign w:val="subscript"/>
              </w:rPr>
              <w:t>2</w:t>
            </w:r>
            <w:r>
              <w:rPr>
                <w:rFonts w:cs="Arial"/>
                <w:szCs w:val="18"/>
              </w:rPr>
              <w:t xml:space="preserve"> head</w:t>
            </w:r>
            <w:r w:rsidR="00DE07B5">
              <w:rPr>
                <w:rFonts w:cs="Arial"/>
                <w:szCs w:val="18"/>
              </w:rPr>
              <w:t xml:space="preserve"> (h</w:t>
            </w:r>
            <w:r w:rsidR="00DE07B5">
              <w:rPr>
                <w:rFonts w:cs="Arial"/>
                <w:szCs w:val="18"/>
                <w:vertAlign w:val="subscript"/>
              </w:rPr>
              <w:t>2</w:t>
            </w:r>
            <w:r w:rsidR="00DE07B5">
              <w:rPr>
                <w:rFonts w:cs="Arial"/>
                <w:szCs w:val="18"/>
              </w:rPr>
              <w:t>)</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5A1D5A73" w14:textId="77777777" w:rsidR="00B150CE" w:rsidRDefault="00B150CE">
            <w:pPr>
              <w:pStyle w:val="TableBody"/>
              <w:spacing w:line="256" w:lineRule="auto"/>
              <w:jc w:val="center"/>
              <w:rPr>
                <w:rFonts w:cs="Arial"/>
                <w:szCs w:val="18"/>
              </w:rPr>
            </w:pPr>
            <w:r>
              <w:rPr>
                <w:rFonts w:cs="Arial"/>
                <w:szCs w:val="18"/>
              </w:rPr>
              <w:t>199.048</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3323E0F1" w14:textId="77777777" w:rsidR="00B150CE" w:rsidRDefault="00B150CE">
            <w:pPr>
              <w:pStyle w:val="TableBody"/>
              <w:spacing w:line="256" w:lineRule="auto"/>
              <w:rPr>
                <w:rFonts w:cs="Arial"/>
                <w:szCs w:val="18"/>
              </w:rPr>
            </w:pPr>
            <w:r>
              <w:rPr>
                <w:rFonts w:cs="Arial"/>
                <w:szCs w:val="18"/>
              </w:rPr>
              <w:t>ft</w:t>
            </w:r>
          </w:p>
        </w:tc>
      </w:tr>
      <w:tr w:rsidR="00B150CE" w14:paraId="61EE3CFA" w14:textId="77777777" w:rsidTr="00DE07B5">
        <w:trPr>
          <w:trHeight w:val="303"/>
          <w:jc w:val="center"/>
        </w:trPr>
        <w:tc>
          <w:tcPr>
            <w:tcW w:w="2760" w:type="dxa"/>
            <w:tcBorders>
              <w:top w:val="single" w:sz="4" w:space="0" w:color="auto"/>
              <w:left w:val="single" w:sz="4" w:space="0" w:color="auto"/>
              <w:bottom w:val="single" w:sz="4" w:space="0" w:color="auto"/>
              <w:right w:val="single" w:sz="4" w:space="0" w:color="auto"/>
            </w:tcBorders>
            <w:noWrap/>
            <w:vAlign w:val="bottom"/>
            <w:hideMark/>
          </w:tcPr>
          <w:p w14:paraId="0525BCFA" w14:textId="77777777" w:rsidR="00B150CE" w:rsidRDefault="00B150CE">
            <w:pPr>
              <w:pStyle w:val="TableBody"/>
              <w:spacing w:line="256" w:lineRule="auto"/>
              <w:rPr>
                <w:rFonts w:cs="Arial"/>
                <w:szCs w:val="18"/>
              </w:rPr>
            </w:pPr>
            <w:r>
              <w:rPr>
                <w:rFonts w:cs="Arial"/>
                <w:szCs w:val="18"/>
              </w:rPr>
              <w:t>Distance between h</w:t>
            </w:r>
            <w:r>
              <w:rPr>
                <w:rFonts w:cs="Arial"/>
                <w:szCs w:val="18"/>
                <w:vertAlign w:val="subscript"/>
              </w:rPr>
              <w:t>1</w:t>
            </w:r>
            <w:r>
              <w:rPr>
                <w:rFonts w:cs="Arial"/>
                <w:szCs w:val="18"/>
              </w:rPr>
              <w:t xml:space="preserve"> and h</w:t>
            </w:r>
            <w:r>
              <w:rPr>
                <w:rFonts w:cs="Arial"/>
                <w:szCs w:val="18"/>
                <w:vertAlign w:val="subscript"/>
              </w:rPr>
              <w:t>2</w:t>
            </w:r>
            <w:r>
              <w:rPr>
                <w:rFonts w:cs="Arial"/>
                <w:szCs w:val="18"/>
              </w:rPr>
              <w:t xml:space="preserve"> (L)</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3CF763A" w14:textId="77777777" w:rsidR="00B150CE" w:rsidRDefault="00B150CE">
            <w:pPr>
              <w:pStyle w:val="TableBody"/>
              <w:spacing w:line="256" w:lineRule="auto"/>
              <w:jc w:val="center"/>
              <w:rPr>
                <w:rFonts w:cs="Arial"/>
                <w:szCs w:val="18"/>
              </w:rPr>
            </w:pPr>
            <w:r>
              <w:rPr>
                <w:rFonts w:cs="Arial"/>
                <w:szCs w:val="18"/>
              </w:rPr>
              <w:t>80,000</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18F74A68" w14:textId="77777777" w:rsidR="00B150CE" w:rsidRDefault="00B150CE">
            <w:pPr>
              <w:pStyle w:val="TableBody"/>
              <w:spacing w:line="256" w:lineRule="auto"/>
              <w:rPr>
                <w:rFonts w:cs="Arial"/>
                <w:szCs w:val="18"/>
              </w:rPr>
            </w:pPr>
            <w:r>
              <w:rPr>
                <w:rFonts w:cs="Arial"/>
                <w:szCs w:val="18"/>
              </w:rPr>
              <w:t>ft</w:t>
            </w:r>
          </w:p>
        </w:tc>
      </w:tr>
    </w:tbl>
    <w:p w14:paraId="5F322A7B" w14:textId="77777777" w:rsidR="00B150CE" w:rsidRDefault="00B150CE" w:rsidP="00B150CE">
      <w:pPr>
        <w:pStyle w:val="H2bodytext"/>
        <w:ind w:left="0"/>
      </w:pPr>
    </w:p>
    <w:p w14:paraId="22948D13" w14:textId="77777777" w:rsidR="00DE07B5" w:rsidRDefault="00DE07B5" w:rsidP="00DE07B5">
      <w:pPr>
        <w:pStyle w:val="H1bodytext"/>
        <w:ind w:left="1440"/>
        <w:rPr>
          <w:i/>
        </w:rPr>
      </w:pPr>
      <w:r w:rsidRPr="00637BE7">
        <w:rPr>
          <w:i/>
        </w:rPr>
        <w:t xml:space="preserve">Assemble the MODFLOW </w:t>
      </w:r>
      <w:r w:rsidR="0022476E">
        <w:rPr>
          <w:i/>
        </w:rPr>
        <w:t>M</w:t>
      </w:r>
      <w:r w:rsidRPr="00637BE7">
        <w:rPr>
          <w:i/>
        </w:rPr>
        <w:t>odel</w:t>
      </w:r>
    </w:p>
    <w:p w14:paraId="2D014D65" w14:textId="7CA1424B" w:rsidR="00C05263" w:rsidRDefault="0022476E" w:rsidP="0022476E">
      <w:pPr>
        <w:pStyle w:val="H1bodytext"/>
        <w:ind w:left="1440"/>
      </w:pPr>
      <w:r>
        <w:t xml:space="preserve">The MODFLOW model </w:t>
      </w:r>
      <w:r w:rsidR="00B8604E">
        <w:t>was assembled to reflect the analytical solution’s requirements</w:t>
      </w:r>
      <w:r w:rsidR="00362FBA">
        <w:t xml:space="preserve"> and use the same values used in the analytical solution, shown in</w:t>
      </w:r>
      <w:r w:rsidR="00B8604E">
        <w:t xml:space="preserve"> </w:t>
      </w:r>
      <w:r w:rsidR="00B8604E">
        <w:fldChar w:fldCharType="begin"/>
      </w:r>
      <w:r w:rsidR="00B8604E">
        <w:instrText xml:space="preserve"> REF _Ref523385877 \h </w:instrText>
      </w:r>
      <w:r w:rsidR="00B8604E">
        <w:fldChar w:fldCharType="separate"/>
      </w:r>
      <w:r w:rsidR="00B8604E">
        <w:t xml:space="preserve">Table </w:t>
      </w:r>
      <w:r w:rsidR="00B8604E">
        <w:rPr>
          <w:noProof/>
        </w:rPr>
        <w:t>3</w:t>
      </w:r>
      <w:r w:rsidR="00B8604E">
        <w:noBreakHyphen/>
      </w:r>
      <w:r w:rsidR="00B8604E">
        <w:rPr>
          <w:noProof/>
        </w:rPr>
        <w:t>5</w:t>
      </w:r>
      <w:r w:rsidR="00B8604E">
        <w:fldChar w:fldCharType="end"/>
      </w:r>
      <w:r w:rsidR="00B8604E">
        <w:t>.</w:t>
      </w:r>
      <w:r w:rsidR="00C126A8">
        <w:t xml:space="preserve"> Other values required in the setup of the MODFLOW model are </w:t>
      </w:r>
      <w:r w:rsidR="00346324">
        <w:t>shown</w:t>
      </w:r>
      <w:r w:rsidR="00C126A8">
        <w:t xml:space="preserve"> in </w:t>
      </w:r>
      <w:r w:rsidR="00C126A8">
        <w:fldChar w:fldCharType="begin"/>
      </w:r>
      <w:r w:rsidR="00C126A8">
        <w:instrText xml:space="preserve"> REF _Ref523385923 \h </w:instrText>
      </w:r>
      <w:r w:rsidR="00C126A8">
        <w:fldChar w:fldCharType="separate"/>
      </w:r>
      <w:r w:rsidR="00C126A8">
        <w:t xml:space="preserve">Table </w:t>
      </w:r>
      <w:r w:rsidR="00C126A8">
        <w:rPr>
          <w:noProof/>
        </w:rPr>
        <w:t>3</w:t>
      </w:r>
      <w:r w:rsidR="00C126A8">
        <w:noBreakHyphen/>
      </w:r>
      <w:r w:rsidR="00C126A8">
        <w:rPr>
          <w:noProof/>
        </w:rPr>
        <w:t>6</w:t>
      </w:r>
      <w:r w:rsidR="00C126A8">
        <w:fldChar w:fldCharType="end"/>
      </w:r>
      <w:r w:rsidR="00C126A8">
        <w:t>.</w:t>
      </w:r>
      <w:r w:rsidR="00E34FF7">
        <w:t xml:space="preserve"> </w:t>
      </w:r>
      <w:r w:rsidR="00C05263">
        <w:t>The</w:t>
      </w:r>
      <w:r w:rsidR="00AC7852">
        <w:t xml:space="preserve"> MODFLOW</w:t>
      </w:r>
      <w:r w:rsidR="00C05263">
        <w:t xml:space="preserve"> model has one</w:t>
      </w:r>
      <w:r w:rsidR="00AC7852">
        <w:t xml:space="preserve"> 200-foot thick</w:t>
      </w:r>
      <w:r w:rsidR="00C05263">
        <w:t xml:space="preserve"> layer and is 80,000 feet long in the x direction, and 40,000 feet long in the y direction</w:t>
      </w:r>
      <w:r w:rsidR="00AC7852">
        <w:t xml:space="preserve">. It is unconfined. The </w:t>
      </w:r>
      <w:r w:rsidR="009434DC">
        <w:t xml:space="preserve">right and left </w:t>
      </w:r>
      <w:r w:rsidR="00AC7852">
        <w:t xml:space="preserve">boundaries are each constant head </w:t>
      </w:r>
      <w:proofErr w:type="gramStart"/>
      <w:r w:rsidR="00AC7852">
        <w:t>boundaries</w:t>
      </w:r>
      <w:proofErr w:type="gramEnd"/>
      <w:r w:rsidR="00AC7852">
        <w:t xml:space="preserve"> to simulate h</w:t>
      </w:r>
      <w:r w:rsidR="00AC7852">
        <w:softHyphen/>
      </w:r>
      <w:r w:rsidR="00AC7852">
        <w:rPr>
          <w:vertAlign w:val="subscript"/>
        </w:rPr>
        <w:t>1</w:t>
      </w:r>
      <w:r w:rsidR="00AC7852">
        <w:t xml:space="preserve"> and h</w:t>
      </w:r>
      <w:r w:rsidR="00AC7852">
        <w:rPr>
          <w:vertAlign w:val="subscript"/>
        </w:rPr>
        <w:t>2</w:t>
      </w:r>
      <w:r w:rsidR="009434DC">
        <w:t>, respectively,</w:t>
      </w:r>
      <w:r w:rsidR="00AC7852">
        <w:t xml:space="preserve"> in the analytical solution.</w:t>
      </w:r>
      <w:r w:rsidR="009434DC">
        <w:t xml:space="preserve"> These boundaries are assigned the same </w:t>
      </w:r>
      <w:r w:rsidR="009434DC">
        <w:t>h</w:t>
      </w:r>
      <w:r w:rsidR="009434DC">
        <w:softHyphen/>
      </w:r>
      <w:r w:rsidR="009434DC">
        <w:rPr>
          <w:vertAlign w:val="subscript"/>
        </w:rPr>
        <w:t>1</w:t>
      </w:r>
      <w:r w:rsidR="009434DC">
        <w:t xml:space="preserve"> and h</w:t>
      </w:r>
      <w:r w:rsidR="009434DC">
        <w:rPr>
          <w:vertAlign w:val="subscript"/>
        </w:rPr>
        <w:t>2</w:t>
      </w:r>
      <w:r w:rsidR="009434DC">
        <w:t xml:space="preserve"> values as the analytic solution.</w:t>
      </w:r>
      <w:r w:rsidR="00AC7852">
        <w:t xml:space="preserve"> The distance between these boundaries, the L in the analytical solution, is the length of the model in the x-direction.</w:t>
      </w:r>
      <w:r w:rsidR="009434DC">
        <w:t xml:space="preserve"> The well is placed </w:t>
      </w:r>
      <w:r w:rsidR="00AB6466">
        <w:t>at the halfway point in the y direction, and two-thirds of the way to the right in the x-direction. This was done to avoid boundary effects.</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197"/>
        <w:gridCol w:w="1350"/>
      </w:tblGrid>
      <w:tr w:rsidR="009434DC" w14:paraId="1B59FB7E" w14:textId="77777777" w:rsidTr="00204E57">
        <w:trPr>
          <w:trHeight w:val="291"/>
          <w:tblHeader/>
          <w:jc w:val="center"/>
        </w:trPr>
        <w:tc>
          <w:tcPr>
            <w:tcW w:w="5670" w:type="dxa"/>
            <w:gridSpan w:val="3"/>
            <w:tcBorders>
              <w:top w:val="nil"/>
              <w:left w:val="nil"/>
              <w:bottom w:val="single" w:sz="4" w:space="0" w:color="auto"/>
              <w:right w:val="nil"/>
            </w:tcBorders>
            <w:noWrap/>
            <w:vAlign w:val="bottom"/>
            <w:hideMark/>
          </w:tcPr>
          <w:p w14:paraId="06A8F8B5" w14:textId="77777777" w:rsidR="009434DC" w:rsidRDefault="009434DC" w:rsidP="00204E57">
            <w:pPr>
              <w:pStyle w:val="TableNumberCaption"/>
            </w:pPr>
            <w:bookmarkStart w:id="7" w:name="_Ref523385923"/>
            <w:r>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6</w:t>
            </w:r>
            <w:r>
              <w:fldChar w:fldCharType="end"/>
            </w:r>
            <w:bookmarkEnd w:id="7"/>
            <w:r>
              <w:t>. MODFLOW Parameter Values for Test Case 3</w:t>
            </w:r>
          </w:p>
        </w:tc>
      </w:tr>
      <w:tr w:rsidR="009434DC" w14:paraId="4D98A5F0" w14:textId="77777777" w:rsidTr="00204E57">
        <w:trPr>
          <w:trHeight w:val="291"/>
          <w:tblHeader/>
          <w:jc w:val="center"/>
        </w:trPr>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611CC0A" w14:textId="77777777" w:rsidR="009434DC" w:rsidRDefault="009434DC" w:rsidP="00204E57">
            <w:pPr>
              <w:pStyle w:val="TableBody"/>
              <w:spacing w:line="256" w:lineRule="auto"/>
              <w:rPr>
                <w:rFonts w:cs="Arial"/>
                <w:b/>
                <w:szCs w:val="18"/>
              </w:rPr>
            </w:pPr>
            <w:r>
              <w:rPr>
                <w:rFonts w:cs="Arial"/>
                <w:b/>
                <w:szCs w:val="18"/>
              </w:rPr>
              <w:t>Variable name</w:t>
            </w:r>
          </w:p>
        </w:tc>
        <w:tc>
          <w:tcPr>
            <w:tcW w:w="2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3CD8F79" w14:textId="77777777" w:rsidR="009434DC" w:rsidRDefault="009434DC" w:rsidP="00204E57">
            <w:pPr>
              <w:pStyle w:val="TableBody"/>
              <w:spacing w:line="256" w:lineRule="auto"/>
              <w:jc w:val="center"/>
              <w:rPr>
                <w:rFonts w:cs="Arial"/>
                <w:b/>
                <w:szCs w:val="18"/>
              </w:rPr>
            </w:pPr>
            <w:r>
              <w:rPr>
                <w:rFonts w:cs="Arial"/>
                <w:b/>
                <w:szCs w:val="18"/>
              </w:rPr>
              <w:t>Variable Value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005E7C2" w14:textId="77777777" w:rsidR="009434DC" w:rsidRDefault="009434DC" w:rsidP="00204E57">
            <w:pPr>
              <w:pStyle w:val="TableBody"/>
              <w:spacing w:line="256" w:lineRule="auto"/>
              <w:jc w:val="center"/>
              <w:rPr>
                <w:rFonts w:cs="Arial"/>
                <w:b/>
                <w:szCs w:val="18"/>
              </w:rPr>
            </w:pPr>
            <w:r>
              <w:rPr>
                <w:rFonts w:cs="Arial"/>
                <w:b/>
                <w:szCs w:val="18"/>
              </w:rPr>
              <w:t>Units</w:t>
            </w:r>
          </w:p>
        </w:tc>
      </w:tr>
      <w:tr w:rsidR="009434DC" w14:paraId="1359067A" w14:textId="77777777" w:rsidTr="00204E57">
        <w:trPr>
          <w:trHeight w:val="291"/>
          <w:jc w:val="center"/>
        </w:trPr>
        <w:tc>
          <w:tcPr>
            <w:tcW w:w="2123" w:type="dxa"/>
            <w:tcBorders>
              <w:top w:val="single" w:sz="4" w:space="0" w:color="auto"/>
              <w:left w:val="single" w:sz="4" w:space="0" w:color="auto"/>
              <w:bottom w:val="single" w:sz="4" w:space="0" w:color="auto"/>
              <w:right w:val="single" w:sz="4" w:space="0" w:color="auto"/>
            </w:tcBorders>
            <w:noWrap/>
            <w:vAlign w:val="bottom"/>
            <w:hideMark/>
          </w:tcPr>
          <w:p w14:paraId="7422C552" w14:textId="77777777" w:rsidR="009434DC" w:rsidRDefault="009434DC" w:rsidP="00204E57">
            <w:pPr>
              <w:pStyle w:val="TableBody"/>
              <w:spacing w:line="256" w:lineRule="auto"/>
              <w:rPr>
                <w:rFonts w:cs="Arial"/>
                <w:szCs w:val="18"/>
              </w:rPr>
            </w:pPr>
            <w:r>
              <w:rPr>
                <w:rFonts w:cs="Arial"/>
                <w:szCs w:val="18"/>
              </w:rPr>
              <w:t>Pumping well location</w:t>
            </w:r>
          </w:p>
        </w:tc>
        <w:tc>
          <w:tcPr>
            <w:tcW w:w="2197" w:type="dxa"/>
            <w:tcBorders>
              <w:top w:val="single" w:sz="4" w:space="0" w:color="auto"/>
              <w:left w:val="single" w:sz="4" w:space="0" w:color="auto"/>
              <w:bottom w:val="single" w:sz="4" w:space="0" w:color="auto"/>
              <w:right w:val="single" w:sz="4" w:space="0" w:color="auto"/>
            </w:tcBorders>
            <w:noWrap/>
            <w:vAlign w:val="bottom"/>
            <w:hideMark/>
          </w:tcPr>
          <w:p w14:paraId="74F8D286" w14:textId="77777777" w:rsidR="009434DC" w:rsidRDefault="009434DC" w:rsidP="00204E57">
            <w:pPr>
              <w:pStyle w:val="TableBody"/>
              <w:spacing w:line="256" w:lineRule="auto"/>
              <w:jc w:val="center"/>
              <w:rPr>
                <w:rFonts w:cs="Arial"/>
                <w:szCs w:val="18"/>
              </w:rPr>
            </w:pPr>
            <w:r>
              <w:rPr>
                <w:rFonts w:cs="Arial"/>
                <w:szCs w:val="18"/>
              </w:rPr>
              <w:t>row 401, column 1067</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8B142B6" w14:textId="77777777" w:rsidR="009434DC" w:rsidRDefault="009434DC" w:rsidP="00204E57">
            <w:pPr>
              <w:pStyle w:val="TableBody"/>
              <w:spacing w:line="256" w:lineRule="auto"/>
              <w:rPr>
                <w:rFonts w:cs="Arial"/>
                <w:szCs w:val="18"/>
              </w:rPr>
            </w:pPr>
            <w:r>
              <w:rPr>
                <w:rFonts w:cs="Arial"/>
                <w:szCs w:val="18"/>
              </w:rPr>
              <w:t>N/A</w:t>
            </w:r>
          </w:p>
        </w:tc>
      </w:tr>
      <w:tr w:rsidR="009434DC" w14:paraId="3B4956C7" w14:textId="77777777" w:rsidTr="00204E57">
        <w:trPr>
          <w:trHeight w:val="291"/>
          <w:jc w:val="center"/>
        </w:trPr>
        <w:tc>
          <w:tcPr>
            <w:tcW w:w="2123" w:type="dxa"/>
            <w:tcBorders>
              <w:top w:val="single" w:sz="4" w:space="0" w:color="auto"/>
              <w:left w:val="single" w:sz="4" w:space="0" w:color="auto"/>
              <w:bottom w:val="single" w:sz="4" w:space="0" w:color="auto"/>
              <w:right w:val="single" w:sz="4" w:space="0" w:color="auto"/>
            </w:tcBorders>
            <w:noWrap/>
            <w:vAlign w:val="bottom"/>
            <w:hideMark/>
          </w:tcPr>
          <w:p w14:paraId="595A3F4D" w14:textId="77777777" w:rsidR="009434DC" w:rsidRDefault="009434DC" w:rsidP="00204E57">
            <w:pPr>
              <w:pStyle w:val="TableBody"/>
              <w:spacing w:line="256" w:lineRule="auto"/>
              <w:rPr>
                <w:rFonts w:cs="Arial"/>
                <w:szCs w:val="18"/>
              </w:rPr>
            </w:pPr>
            <w:r>
              <w:rPr>
                <w:rFonts w:cs="Arial"/>
                <w:szCs w:val="18"/>
              </w:rPr>
              <w:t>Constant head (left)</w:t>
            </w:r>
          </w:p>
        </w:tc>
        <w:tc>
          <w:tcPr>
            <w:tcW w:w="2197" w:type="dxa"/>
            <w:tcBorders>
              <w:top w:val="single" w:sz="4" w:space="0" w:color="auto"/>
              <w:left w:val="single" w:sz="4" w:space="0" w:color="auto"/>
              <w:bottom w:val="single" w:sz="4" w:space="0" w:color="auto"/>
              <w:right w:val="single" w:sz="4" w:space="0" w:color="auto"/>
            </w:tcBorders>
            <w:noWrap/>
            <w:vAlign w:val="bottom"/>
            <w:hideMark/>
          </w:tcPr>
          <w:p w14:paraId="763B43A9" w14:textId="77777777" w:rsidR="009434DC" w:rsidRDefault="009434DC" w:rsidP="00204E57">
            <w:pPr>
              <w:pStyle w:val="TableBody"/>
              <w:spacing w:line="256" w:lineRule="auto"/>
              <w:jc w:val="center"/>
              <w:rPr>
                <w:rFonts w:cs="Arial"/>
                <w:szCs w:val="18"/>
              </w:rPr>
            </w:pPr>
            <w:r>
              <w:rPr>
                <w:rFonts w:cs="Arial"/>
                <w:szCs w:val="18"/>
              </w:rPr>
              <w:t>200</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A9FB0AA" w14:textId="77777777" w:rsidR="009434DC" w:rsidRDefault="009434DC" w:rsidP="00204E57">
            <w:pPr>
              <w:pStyle w:val="TableBody"/>
              <w:spacing w:line="256" w:lineRule="auto"/>
              <w:rPr>
                <w:rFonts w:cs="Arial"/>
                <w:szCs w:val="18"/>
              </w:rPr>
            </w:pPr>
            <w:r>
              <w:rPr>
                <w:rFonts w:cs="Arial"/>
                <w:szCs w:val="18"/>
              </w:rPr>
              <w:t>ft</w:t>
            </w:r>
          </w:p>
        </w:tc>
      </w:tr>
      <w:tr w:rsidR="009434DC" w14:paraId="39CE6C12" w14:textId="77777777" w:rsidTr="00204E57">
        <w:trPr>
          <w:trHeight w:val="291"/>
          <w:jc w:val="center"/>
        </w:trPr>
        <w:tc>
          <w:tcPr>
            <w:tcW w:w="2123" w:type="dxa"/>
            <w:tcBorders>
              <w:top w:val="single" w:sz="4" w:space="0" w:color="auto"/>
              <w:left w:val="single" w:sz="4" w:space="0" w:color="auto"/>
              <w:bottom w:val="single" w:sz="4" w:space="0" w:color="auto"/>
              <w:right w:val="single" w:sz="4" w:space="0" w:color="auto"/>
            </w:tcBorders>
            <w:noWrap/>
            <w:vAlign w:val="bottom"/>
            <w:hideMark/>
          </w:tcPr>
          <w:p w14:paraId="0792F526" w14:textId="77777777" w:rsidR="009434DC" w:rsidRDefault="009434DC" w:rsidP="00204E57">
            <w:pPr>
              <w:pStyle w:val="TableBody"/>
              <w:spacing w:line="256" w:lineRule="auto"/>
              <w:rPr>
                <w:rFonts w:cs="Arial"/>
                <w:szCs w:val="18"/>
              </w:rPr>
            </w:pPr>
            <w:r>
              <w:rPr>
                <w:rFonts w:cs="Arial"/>
                <w:szCs w:val="18"/>
              </w:rPr>
              <w:t>Constant head (right)</w:t>
            </w:r>
          </w:p>
        </w:tc>
        <w:tc>
          <w:tcPr>
            <w:tcW w:w="2197" w:type="dxa"/>
            <w:tcBorders>
              <w:top w:val="single" w:sz="4" w:space="0" w:color="auto"/>
              <w:left w:val="single" w:sz="4" w:space="0" w:color="auto"/>
              <w:bottom w:val="single" w:sz="4" w:space="0" w:color="auto"/>
              <w:right w:val="single" w:sz="4" w:space="0" w:color="auto"/>
            </w:tcBorders>
            <w:noWrap/>
            <w:vAlign w:val="bottom"/>
            <w:hideMark/>
          </w:tcPr>
          <w:p w14:paraId="2BD37904" w14:textId="77777777" w:rsidR="009434DC" w:rsidRDefault="009434DC" w:rsidP="00204E57">
            <w:pPr>
              <w:pStyle w:val="TableBody"/>
              <w:spacing w:line="256" w:lineRule="auto"/>
              <w:jc w:val="center"/>
              <w:rPr>
                <w:rFonts w:cs="Arial"/>
                <w:szCs w:val="18"/>
              </w:rPr>
            </w:pPr>
            <w:r>
              <w:rPr>
                <w:rFonts w:cs="Arial"/>
                <w:szCs w:val="18"/>
              </w:rPr>
              <w:t>199.048</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AD6497F" w14:textId="77777777" w:rsidR="009434DC" w:rsidRDefault="009434DC" w:rsidP="00204E57">
            <w:pPr>
              <w:pStyle w:val="TableBody"/>
              <w:spacing w:line="256" w:lineRule="auto"/>
              <w:rPr>
                <w:rFonts w:cs="Arial"/>
                <w:szCs w:val="18"/>
              </w:rPr>
            </w:pPr>
            <w:r>
              <w:rPr>
                <w:rFonts w:cs="Arial"/>
                <w:szCs w:val="18"/>
              </w:rPr>
              <w:t>ft</w:t>
            </w:r>
          </w:p>
        </w:tc>
      </w:tr>
      <w:tr w:rsidR="009434DC" w14:paraId="6F8A7C17" w14:textId="77777777" w:rsidTr="00204E57">
        <w:trPr>
          <w:trHeight w:val="291"/>
          <w:jc w:val="center"/>
        </w:trPr>
        <w:tc>
          <w:tcPr>
            <w:tcW w:w="2123" w:type="dxa"/>
            <w:tcBorders>
              <w:top w:val="single" w:sz="4" w:space="0" w:color="auto"/>
              <w:left w:val="single" w:sz="4" w:space="0" w:color="auto"/>
              <w:bottom w:val="single" w:sz="4" w:space="0" w:color="auto"/>
              <w:right w:val="single" w:sz="4" w:space="0" w:color="auto"/>
            </w:tcBorders>
            <w:noWrap/>
            <w:vAlign w:val="bottom"/>
            <w:hideMark/>
          </w:tcPr>
          <w:p w14:paraId="3F14CDC6" w14:textId="77777777" w:rsidR="009434DC" w:rsidRDefault="009434DC" w:rsidP="00204E57">
            <w:pPr>
              <w:pStyle w:val="TableBody"/>
              <w:spacing w:line="256" w:lineRule="auto"/>
              <w:rPr>
                <w:rFonts w:cs="Arial"/>
                <w:szCs w:val="18"/>
              </w:rPr>
            </w:pPr>
            <w:r>
              <w:rPr>
                <w:rFonts w:cs="Arial"/>
                <w:szCs w:val="18"/>
              </w:rPr>
              <w:t>Number of layers</w:t>
            </w:r>
          </w:p>
        </w:tc>
        <w:tc>
          <w:tcPr>
            <w:tcW w:w="2197" w:type="dxa"/>
            <w:tcBorders>
              <w:top w:val="single" w:sz="4" w:space="0" w:color="auto"/>
              <w:left w:val="single" w:sz="4" w:space="0" w:color="auto"/>
              <w:bottom w:val="single" w:sz="4" w:space="0" w:color="auto"/>
              <w:right w:val="single" w:sz="4" w:space="0" w:color="auto"/>
            </w:tcBorders>
            <w:noWrap/>
            <w:vAlign w:val="bottom"/>
            <w:hideMark/>
          </w:tcPr>
          <w:p w14:paraId="1C26F99A" w14:textId="77777777" w:rsidR="009434DC" w:rsidRDefault="009434DC" w:rsidP="00204E57">
            <w:pPr>
              <w:pStyle w:val="TableBody"/>
              <w:spacing w:line="256" w:lineRule="auto"/>
              <w:jc w:val="center"/>
              <w:rPr>
                <w:rFonts w:cs="Arial"/>
                <w:szCs w:val="18"/>
              </w:rPr>
            </w:pPr>
            <w:r>
              <w:rPr>
                <w:rFonts w:cs="Arial"/>
                <w:szCs w:val="18"/>
              </w:rPr>
              <w:t>1</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E42462A" w14:textId="77777777" w:rsidR="009434DC" w:rsidRDefault="009434DC" w:rsidP="00204E57">
            <w:pPr>
              <w:pStyle w:val="TableBody"/>
              <w:spacing w:line="256" w:lineRule="auto"/>
              <w:rPr>
                <w:rFonts w:cs="Arial"/>
                <w:szCs w:val="18"/>
              </w:rPr>
            </w:pPr>
            <w:r>
              <w:rPr>
                <w:rFonts w:cs="Arial"/>
                <w:szCs w:val="18"/>
              </w:rPr>
              <w:t>N/A</w:t>
            </w:r>
          </w:p>
        </w:tc>
      </w:tr>
      <w:tr w:rsidR="009434DC" w14:paraId="34A998B8" w14:textId="77777777" w:rsidTr="00204E57">
        <w:trPr>
          <w:trHeight w:val="291"/>
          <w:jc w:val="center"/>
        </w:trPr>
        <w:tc>
          <w:tcPr>
            <w:tcW w:w="2123" w:type="dxa"/>
            <w:tcBorders>
              <w:top w:val="single" w:sz="4" w:space="0" w:color="auto"/>
              <w:left w:val="single" w:sz="4" w:space="0" w:color="auto"/>
              <w:bottom w:val="single" w:sz="4" w:space="0" w:color="auto"/>
              <w:right w:val="single" w:sz="4" w:space="0" w:color="auto"/>
            </w:tcBorders>
            <w:noWrap/>
            <w:vAlign w:val="bottom"/>
            <w:hideMark/>
          </w:tcPr>
          <w:p w14:paraId="2EC77F75" w14:textId="77777777" w:rsidR="009434DC" w:rsidRDefault="009434DC" w:rsidP="00204E57">
            <w:pPr>
              <w:pStyle w:val="TableBody"/>
              <w:spacing w:line="256" w:lineRule="auto"/>
              <w:rPr>
                <w:rFonts w:cs="Arial"/>
                <w:szCs w:val="18"/>
              </w:rPr>
            </w:pPr>
            <w:r>
              <w:rPr>
                <w:rFonts w:cs="Arial"/>
                <w:szCs w:val="18"/>
              </w:rPr>
              <w:t>Starting head</w:t>
            </w:r>
          </w:p>
        </w:tc>
        <w:tc>
          <w:tcPr>
            <w:tcW w:w="2197" w:type="dxa"/>
            <w:tcBorders>
              <w:top w:val="single" w:sz="4" w:space="0" w:color="auto"/>
              <w:left w:val="single" w:sz="4" w:space="0" w:color="auto"/>
              <w:bottom w:val="single" w:sz="4" w:space="0" w:color="auto"/>
              <w:right w:val="single" w:sz="4" w:space="0" w:color="auto"/>
            </w:tcBorders>
            <w:noWrap/>
            <w:vAlign w:val="bottom"/>
            <w:hideMark/>
          </w:tcPr>
          <w:p w14:paraId="36718425" w14:textId="77777777" w:rsidR="009434DC" w:rsidRDefault="009434DC" w:rsidP="00204E57">
            <w:pPr>
              <w:pStyle w:val="TableBody"/>
              <w:spacing w:line="256" w:lineRule="auto"/>
              <w:jc w:val="center"/>
              <w:rPr>
                <w:rFonts w:cs="Arial"/>
                <w:szCs w:val="18"/>
              </w:rPr>
            </w:pPr>
            <w:r>
              <w:rPr>
                <w:rFonts w:cs="Arial"/>
                <w:szCs w:val="18"/>
              </w:rPr>
              <w:t>200</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BE754B6" w14:textId="77777777" w:rsidR="009434DC" w:rsidRDefault="009434DC" w:rsidP="00204E57">
            <w:pPr>
              <w:pStyle w:val="TableBody"/>
              <w:spacing w:line="256" w:lineRule="auto"/>
              <w:rPr>
                <w:rFonts w:cs="Arial"/>
                <w:szCs w:val="18"/>
              </w:rPr>
            </w:pPr>
            <w:r>
              <w:rPr>
                <w:rFonts w:cs="Arial"/>
                <w:szCs w:val="18"/>
              </w:rPr>
              <w:t>ft</w:t>
            </w:r>
          </w:p>
        </w:tc>
      </w:tr>
    </w:tbl>
    <w:p w14:paraId="51B422D4" w14:textId="77777777" w:rsidR="009434DC" w:rsidRPr="00AC7852" w:rsidRDefault="009434DC" w:rsidP="0022476E">
      <w:pPr>
        <w:pStyle w:val="H1bodytext"/>
        <w:ind w:left="1440"/>
      </w:pPr>
    </w:p>
    <w:p w14:paraId="094CC401" w14:textId="640849BA" w:rsidR="00B8604E" w:rsidRDefault="00E34FF7" w:rsidP="0022476E">
      <w:pPr>
        <w:pStyle w:val="H1bodytext"/>
        <w:ind w:left="1440"/>
      </w:pPr>
      <w:r>
        <w:t>Listed below are the analytical solution’s requirements and how the MODFLOW model addressed those requirements:</w:t>
      </w:r>
    </w:p>
    <w:p w14:paraId="22FE21D6" w14:textId="6345E04E" w:rsidR="00E34FF7" w:rsidRDefault="00E34FF7" w:rsidP="00C05263">
      <w:pPr>
        <w:pStyle w:val="H1bodytext"/>
        <w:numPr>
          <w:ilvl w:val="0"/>
          <w:numId w:val="2"/>
        </w:numPr>
      </w:pPr>
      <w:r>
        <w:t>Requirement: The aquifer is homogeneous, isotropic, and infinite in horizontal extent.</w:t>
      </w:r>
    </w:p>
    <w:p w14:paraId="0ABB0EBE" w14:textId="05BE3410" w:rsidR="00E34FF7" w:rsidRDefault="00E34FF7" w:rsidP="00E34FF7">
      <w:pPr>
        <w:pStyle w:val="H1bodytext"/>
        <w:numPr>
          <w:ilvl w:val="1"/>
          <w:numId w:val="2"/>
        </w:numPr>
      </w:pPr>
      <w:r>
        <w:t>Addressed: The aquifer’s vertical and horizontal hydraulic conductivities are constant through the model and equal each other. Though the nature of finite-difference grid modeling does not allow for infinite extents, the grid was made to extend for a long distance in the X and Y directions, to minimize boundary effects.</w:t>
      </w:r>
    </w:p>
    <w:p w14:paraId="0A64C2D2" w14:textId="4AD4D062" w:rsidR="00E34FF7" w:rsidRDefault="00E34FF7" w:rsidP="00E34FF7">
      <w:pPr>
        <w:pStyle w:val="H1bodytext"/>
        <w:numPr>
          <w:ilvl w:val="0"/>
          <w:numId w:val="2"/>
        </w:numPr>
      </w:pPr>
      <w:r>
        <w:t>Requirement: The flow conditions are uniform and steady-state.</w:t>
      </w:r>
    </w:p>
    <w:p w14:paraId="67D3F3C0" w14:textId="560FCC63" w:rsidR="00E34FF7" w:rsidRDefault="00E34FF7" w:rsidP="00E34FF7">
      <w:pPr>
        <w:pStyle w:val="H1bodytext"/>
        <w:numPr>
          <w:ilvl w:val="1"/>
          <w:numId w:val="2"/>
        </w:numPr>
      </w:pPr>
      <w:r>
        <w:t>Addressed: No variations are present in the constant head boundaries or well extraction rate. The model was set up as a steady-state model.</w:t>
      </w:r>
    </w:p>
    <w:p w14:paraId="5692AEFB" w14:textId="1327D761" w:rsidR="00E34FF7" w:rsidRDefault="00E34FF7" w:rsidP="00E34FF7">
      <w:pPr>
        <w:pStyle w:val="H1bodytext"/>
        <w:numPr>
          <w:ilvl w:val="0"/>
          <w:numId w:val="2"/>
        </w:numPr>
      </w:pPr>
      <w:r>
        <w:t>Requirement: The unconfined aquifer has a horizontal lower confining layer with no leakage, rainfall infiltration, or other vertical recharge.</w:t>
      </w:r>
    </w:p>
    <w:p w14:paraId="00822C26" w14:textId="7E03B246" w:rsidR="00E34FF7" w:rsidRDefault="00E34FF7" w:rsidP="00E34FF7">
      <w:pPr>
        <w:pStyle w:val="H1bodytext"/>
        <w:numPr>
          <w:ilvl w:val="1"/>
          <w:numId w:val="2"/>
        </w:numPr>
      </w:pPr>
      <w:r>
        <w:t xml:space="preserve">Addressed: MODFLOW </w:t>
      </w:r>
      <w:commentRangeStart w:id="8"/>
      <w:r>
        <w:t>requires</w:t>
      </w:r>
      <w:commentRangeEnd w:id="8"/>
      <w:r>
        <w:rPr>
          <w:rStyle w:val="CommentReference"/>
          <w:rFonts w:ascii="Times New Roman" w:hAnsi="Times New Roman"/>
        </w:rPr>
        <w:commentReference w:id="8"/>
      </w:r>
      <w:r>
        <w:t xml:space="preserve"> that the bottom layer of any model behave as though it overlies a horizontal confining layer with no vertical recharge.</w:t>
      </w:r>
    </w:p>
    <w:p w14:paraId="544FB1F8" w14:textId="40A3E45E" w:rsidR="00E34FF7" w:rsidRDefault="00E34FF7" w:rsidP="00E34FF7">
      <w:pPr>
        <w:pStyle w:val="H1bodytext"/>
        <w:numPr>
          <w:ilvl w:val="0"/>
          <w:numId w:val="2"/>
        </w:numPr>
      </w:pPr>
      <w:r>
        <w:t>Requirement: The specific yield of the aquifer is neglected.</w:t>
      </w:r>
    </w:p>
    <w:p w14:paraId="6A7CCCE7" w14:textId="47E9D1DC" w:rsidR="00E34FF7" w:rsidRDefault="00E34FF7" w:rsidP="00E34FF7">
      <w:pPr>
        <w:pStyle w:val="H1bodytext"/>
        <w:numPr>
          <w:ilvl w:val="1"/>
          <w:numId w:val="2"/>
        </w:numPr>
      </w:pPr>
      <w:r>
        <w:t>Addressed: Specific yield is only calculated for transient solutions, and this is a steady-state solution.</w:t>
      </w:r>
    </w:p>
    <w:p w14:paraId="106B4852" w14:textId="43585C1A" w:rsidR="00E34FF7" w:rsidRDefault="00E34FF7" w:rsidP="00E34FF7">
      <w:pPr>
        <w:pStyle w:val="H1bodytext"/>
        <w:numPr>
          <w:ilvl w:val="0"/>
          <w:numId w:val="2"/>
        </w:numPr>
      </w:pPr>
      <w:r>
        <w:t xml:space="preserve">Requirement: Vertical gradients are </w:t>
      </w:r>
      <w:commentRangeStart w:id="9"/>
      <w:r>
        <w:t>negligible</w:t>
      </w:r>
      <w:commentRangeEnd w:id="9"/>
      <w:r>
        <w:rPr>
          <w:rStyle w:val="CommentReference"/>
          <w:rFonts w:ascii="Times New Roman" w:hAnsi="Times New Roman"/>
        </w:rPr>
        <w:commentReference w:id="9"/>
      </w:r>
      <w:r>
        <w:t>.</w:t>
      </w:r>
    </w:p>
    <w:p w14:paraId="7EC2215D" w14:textId="02AE293A" w:rsidR="00E34FF7" w:rsidRDefault="00E34FF7" w:rsidP="00E34FF7">
      <w:pPr>
        <w:pStyle w:val="H1bodytext"/>
        <w:numPr>
          <w:ilvl w:val="0"/>
          <w:numId w:val="2"/>
        </w:numPr>
      </w:pPr>
      <w:r>
        <w:t>Requirement: The pumping well is fully penetrating, open over the thickness of the aquifer, and pumps at a constant rate.</w:t>
      </w:r>
    </w:p>
    <w:p w14:paraId="78E68414" w14:textId="63273EED" w:rsidR="00362FBA" w:rsidRDefault="00E34FF7" w:rsidP="00362FBA">
      <w:pPr>
        <w:pStyle w:val="H1bodytext"/>
        <w:numPr>
          <w:ilvl w:val="1"/>
          <w:numId w:val="2"/>
        </w:numPr>
      </w:pPr>
      <w:r>
        <w:t xml:space="preserve">Addressed: This model uses the Well Package, </w:t>
      </w:r>
      <w:commentRangeStart w:id="10"/>
      <w:r w:rsidR="00C126A8">
        <w:t>which assumes wells cover the length of the cell they’re in</w:t>
      </w:r>
      <w:commentRangeEnd w:id="10"/>
      <w:r w:rsidR="00C126A8">
        <w:rPr>
          <w:rStyle w:val="CommentReference"/>
          <w:rFonts w:ascii="Times New Roman" w:hAnsi="Times New Roman"/>
        </w:rPr>
        <w:commentReference w:id="10"/>
      </w:r>
      <w:r w:rsidR="00C126A8">
        <w:t>. This model has only one layer, which is the aquifer, so the well is fully penetrating and open over the thickness of the model. The well is set up to pump at a constant rate.</w:t>
      </w:r>
    </w:p>
    <w:p w14:paraId="440E4E5E" w14:textId="20044221" w:rsidR="0022476E" w:rsidRDefault="0022476E" w:rsidP="00DE07B5">
      <w:pPr>
        <w:pStyle w:val="H1bodytext"/>
        <w:ind w:left="1440"/>
        <w:rPr>
          <w:i/>
        </w:rPr>
      </w:pPr>
      <w:r>
        <w:rPr>
          <w:i/>
        </w:rPr>
        <w:lastRenderedPageBreak/>
        <w:t>Assemble the MODPATH Model</w:t>
      </w:r>
    </w:p>
    <w:p w14:paraId="515F5052" w14:textId="3D20ABA7" w:rsidR="00973FEE" w:rsidRDefault="00973FEE" w:rsidP="00DE07B5">
      <w:pPr>
        <w:pStyle w:val="H1bodytext"/>
        <w:ind w:left="1440"/>
      </w:pPr>
      <w:r>
        <w:t xml:space="preserve">Setup for the MODPATH model required defining the locations of the particles, as well as the porosity. </w:t>
      </w:r>
      <w:r w:rsidR="00B52927">
        <w:t xml:space="preserve">The porosity was set to 0.3. The particle placement was chosen to highlight the largest possible capture zone defined by reverse particle tracking. </w:t>
      </w:r>
      <w:r w:rsidR="00B52927">
        <w:t>Two particles were seeded at the right boundary of the well cell, one at 49.9% and one at 50.1% of the cell length in the y direction.</w:t>
      </w:r>
      <w:r w:rsidR="00B52927">
        <w:t xml:space="preserve"> </w:t>
      </w:r>
      <w:r w:rsidR="00B52927">
        <w:t>In the z direction, the particles were both seeded at 50% of the cell height.</w:t>
      </w:r>
      <w:r w:rsidR="00B52927">
        <w:t xml:space="preserve"> Because the hydraulic gradient goes from left to right, particles placed at the right side of the cell will capture the stagnation in the x direction. As particles are placed closer to the center, the path traveled to get to those points get closer to the </w:t>
      </w:r>
      <w:proofErr w:type="spellStart"/>
      <w:r w:rsidR="00B52927">
        <w:rPr>
          <w:rFonts w:ascii="Cambria Math" w:hAnsi="Cambria Math"/>
          <w:i/>
        </w:rPr>
        <w:t>y</w:t>
      </w:r>
      <w:r w:rsidR="00B52927">
        <w:rPr>
          <w:rFonts w:ascii="Cambria Math" w:hAnsi="Cambria Math"/>
          <w:i/>
          <w:vertAlign w:val="subscript"/>
        </w:rPr>
        <w:t>max</w:t>
      </w:r>
      <w:proofErr w:type="spellEnd"/>
      <w:r w:rsidR="00B52927">
        <w:t xml:space="preserve"> and </w:t>
      </w:r>
      <w:r w:rsidR="00B52927">
        <w:rPr>
          <w:rFonts w:ascii="Cambria Math" w:hAnsi="Cambria Math"/>
          <w:i/>
        </w:rPr>
        <w:t>x</w:t>
      </w:r>
      <w:r w:rsidR="00B52927">
        <w:rPr>
          <w:rFonts w:ascii="Cambria Math" w:hAnsi="Cambria Math"/>
          <w:i/>
          <w:vertAlign w:val="subscript"/>
        </w:rPr>
        <w:t>0</w:t>
      </w:r>
      <w:r w:rsidR="00B52927">
        <w:t xml:space="preserve"> of the analytical solution. The particles for this test case were placed as close to the center as possible, while still resulting in unique particle paths.</w:t>
      </w:r>
    </w:p>
    <w:p w14:paraId="73E1471C" w14:textId="4C758B15" w:rsidR="0022476E" w:rsidRDefault="0022476E" w:rsidP="00DE07B5">
      <w:pPr>
        <w:pStyle w:val="H1bodytext"/>
        <w:ind w:left="1440"/>
        <w:rPr>
          <w:i/>
        </w:rPr>
      </w:pPr>
      <w:r>
        <w:rPr>
          <w:i/>
        </w:rPr>
        <w:t>Execute the Models and Calculate the Analytical Solution</w:t>
      </w:r>
    </w:p>
    <w:p w14:paraId="54657B52" w14:textId="40ECBB05" w:rsidR="00C33FAB" w:rsidRPr="00C33FAB" w:rsidRDefault="00C33FAB" w:rsidP="00DE07B5">
      <w:pPr>
        <w:pStyle w:val="H1bodytext"/>
        <w:ind w:left="1440"/>
      </w:pPr>
      <w:r>
        <w:t xml:space="preserve">The MODFLOW and MODPATH models were assembled and executed using a python script. That script is discussed further in [Section x]. </w:t>
      </w:r>
      <w:r w:rsidR="007805CB">
        <w:t xml:space="preserve">The analytical solution was calculated using the same script. </w:t>
      </w:r>
    </w:p>
    <w:p w14:paraId="2471EAA5" w14:textId="77777777" w:rsidR="0022476E" w:rsidRPr="00DE07B5" w:rsidRDefault="0022476E" w:rsidP="00DE07B5">
      <w:pPr>
        <w:pStyle w:val="H1bodytext"/>
        <w:ind w:left="1440"/>
        <w:rPr>
          <w:i/>
        </w:rPr>
      </w:pPr>
      <w:r>
        <w:rPr>
          <w:i/>
        </w:rPr>
        <w:t>Pass/Fail Criteria</w:t>
      </w:r>
    </w:p>
    <w:p w14:paraId="5C6B8C4B" w14:textId="45F5CFF2" w:rsidR="007805CB" w:rsidRDefault="007805CB" w:rsidP="00B150CE">
      <w:pPr>
        <w:pStyle w:val="H1bodytext"/>
        <w:ind w:left="1440"/>
        <w:rPr>
          <w:rFonts w:cstheme="minorHAnsi"/>
        </w:rPr>
      </w:pPr>
      <w:r>
        <w:rPr>
          <w:rFonts w:cstheme="minorHAnsi"/>
        </w:rPr>
        <w:t>The acceptance criteria for this test are as follows:</w:t>
      </w:r>
    </w:p>
    <w:p w14:paraId="02375F71" w14:textId="33B0A835" w:rsidR="007805CB" w:rsidRDefault="007805CB" w:rsidP="007805CB">
      <w:pPr>
        <w:pStyle w:val="H1bodytext"/>
        <w:numPr>
          <w:ilvl w:val="0"/>
          <w:numId w:val="4"/>
        </w:numPr>
        <w:rPr>
          <w:rFonts w:cstheme="minorHAnsi"/>
        </w:rPr>
      </w:pPr>
      <w:r>
        <w:rPr>
          <w:rFonts w:cstheme="minorHAnsi"/>
        </w:rPr>
        <w:t xml:space="preserve">Criterion 1 – The MODPATH simulation produces </w:t>
      </w:r>
      <w:proofErr w:type="gramStart"/>
      <w:r>
        <w:rPr>
          <w:rFonts w:cstheme="minorHAnsi"/>
        </w:rPr>
        <w:t>a</w:t>
      </w:r>
      <w:proofErr w:type="gramEnd"/>
      <w:r>
        <w:rPr>
          <w:rFonts w:cstheme="minorHAnsi"/>
        </w:rPr>
        <w:t xml:space="preserve"> </w:t>
      </w:r>
      <w:proofErr w:type="spellStart"/>
      <w:r w:rsidR="00E446B2">
        <w:rPr>
          <w:rFonts w:ascii="Cambria Math" w:hAnsi="Cambria Math"/>
          <w:i/>
        </w:rPr>
        <w:t>y</w:t>
      </w:r>
      <w:r w:rsidR="00E446B2">
        <w:rPr>
          <w:rFonts w:ascii="Cambria Math" w:hAnsi="Cambria Math"/>
          <w:i/>
          <w:vertAlign w:val="subscript"/>
        </w:rPr>
        <w:t>max</w:t>
      </w:r>
      <w:proofErr w:type="spellEnd"/>
      <w:r>
        <w:rPr>
          <w:rFonts w:cstheme="minorHAnsi"/>
        </w:rPr>
        <w:t xml:space="preserve"> value within 10% of the analytical </w:t>
      </w:r>
      <w:proofErr w:type="spellStart"/>
      <w:r w:rsidR="00E446B2">
        <w:rPr>
          <w:rFonts w:ascii="Cambria Math" w:hAnsi="Cambria Math"/>
          <w:i/>
        </w:rPr>
        <w:t>y</w:t>
      </w:r>
      <w:r w:rsidR="00E446B2">
        <w:rPr>
          <w:rFonts w:ascii="Cambria Math" w:hAnsi="Cambria Math"/>
          <w:i/>
          <w:vertAlign w:val="subscript"/>
        </w:rPr>
        <w:t>max</w:t>
      </w:r>
      <w:proofErr w:type="spellEnd"/>
      <w:r>
        <w:rPr>
          <w:rFonts w:cstheme="minorHAnsi"/>
        </w:rPr>
        <w:t xml:space="preserve"> value.</w:t>
      </w:r>
    </w:p>
    <w:p w14:paraId="6A376738" w14:textId="1EDBE94D" w:rsidR="007805CB" w:rsidRDefault="007805CB" w:rsidP="007805CB">
      <w:pPr>
        <w:pStyle w:val="H1bodytext"/>
        <w:numPr>
          <w:ilvl w:val="0"/>
          <w:numId w:val="4"/>
        </w:numPr>
        <w:rPr>
          <w:rFonts w:cstheme="minorHAnsi"/>
        </w:rPr>
      </w:pPr>
      <w:r>
        <w:rPr>
          <w:rFonts w:cstheme="minorHAnsi"/>
        </w:rPr>
        <w:t xml:space="preserve">Criterion </w:t>
      </w:r>
      <w:r>
        <w:rPr>
          <w:rFonts w:cstheme="minorHAnsi"/>
        </w:rPr>
        <w:t>2</w:t>
      </w:r>
      <w:r>
        <w:rPr>
          <w:rFonts w:cstheme="minorHAnsi"/>
        </w:rPr>
        <w:t xml:space="preserve"> – The MODPATH simulation produces a </w:t>
      </w:r>
      <w:r w:rsidR="00E446B2">
        <w:rPr>
          <w:rFonts w:ascii="Cambria Math" w:hAnsi="Cambria Math"/>
          <w:i/>
        </w:rPr>
        <w:t>x</w:t>
      </w:r>
      <w:r w:rsidR="00E446B2">
        <w:rPr>
          <w:rFonts w:ascii="Cambria Math" w:hAnsi="Cambria Math"/>
          <w:i/>
          <w:vertAlign w:val="subscript"/>
        </w:rPr>
        <w:t>0</w:t>
      </w:r>
      <w:r>
        <w:rPr>
          <w:rFonts w:cstheme="minorHAnsi"/>
        </w:rPr>
        <w:t xml:space="preserve"> value within 10% of the analytical </w:t>
      </w:r>
      <w:r w:rsidR="00E446B2">
        <w:rPr>
          <w:rFonts w:ascii="Cambria Math" w:hAnsi="Cambria Math"/>
          <w:i/>
        </w:rPr>
        <w:t>x</w:t>
      </w:r>
      <w:r w:rsidR="00E446B2">
        <w:rPr>
          <w:rFonts w:ascii="Cambria Math" w:hAnsi="Cambria Math"/>
          <w:i/>
          <w:vertAlign w:val="subscript"/>
        </w:rPr>
        <w:t>0</w:t>
      </w:r>
      <w:r>
        <w:rPr>
          <w:rFonts w:cstheme="minorHAnsi"/>
        </w:rPr>
        <w:t xml:space="preserve"> value.</w:t>
      </w:r>
    </w:p>
    <w:p w14:paraId="40A615A2" w14:textId="6B11E153" w:rsidR="00E446B2" w:rsidRDefault="00E446B2" w:rsidP="00E446B2">
      <w:pPr>
        <w:pStyle w:val="H1bodytext"/>
        <w:ind w:left="1440"/>
        <w:rPr>
          <w:rFonts w:cstheme="minorHAnsi"/>
        </w:rPr>
      </w:pPr>
      <w:r>
        <w:rPr>
          <w:rFonts w:cstheme="minorHAnsi"/>
        </w:rPr>
        <w:t>These criteria ensure that the MODPATH simulation is performing within an acceptable tolerance of the analytical solution.</w:t>
      </w:r>
    </w:p>
    <w:p w14:paraId="27FE1FB8" w14:textId="34D26543" w:rsidR="001F012E" w:rsidRDefault="001F012E" w:rsidP="00E446B2">
      <w:pPr>
        <w:pStyle w:val="H1bodytext"/>
        <w:ind w:left="1440"/>
        <w:rPr>
          <w:b/>
        </w:rPr>
      </w:pPr>
      <w:bookmarkStart w:id="11" w:name="_Hlk524513274"/>
      <w:r w:rsidRPr="009D4467">
        <w:rPr>
          <w:b/>
        </w:rPr>
        <w:t xml:space="preserve">Sources of </w:t>
      </w:r>
      <w:commentRangeStart w:id="12"/>
      <w:r w:rsidRPr="009D4467">
        <w:rPr>
          <w:b/>
        </w:rPr>
        <w:t>Error</w:t>
      </w:r>
      <w:bookmarkEnd w:id="11"/>
      <w:commentRangeEnd w:id="12"/>
      <w:r w:rsidR="000075C3">
        <w:rPr>
          <w:rStyle w:val="CommentReference"/>
          <w:rFonts w:ascii="Times New Roman" w:hAnsi="Times New Roman"/>
        </w:rPr>
        <w:commentReference w:id="12"/>
      </w:r>
    </w:p>
    <w:p w14:paraId="333CEBEB" w14:textId="34C31CA4" w:rsidR="003B06EE" w:rsidRDefault="003B06EE" w:rsidP="00FF76F2">
      <w:pPr>
        <w:pStyle w:val="H1bodytext"/>
        <w:ind w:left="1440"/>
      </w:pPr>
      <w:r>
        <w:t xml:space="preserve">There are several sources of error in this test case. The first is that an infinite model can never be truly reproduced with a finite-difference model. This was addressed by making the model much larger than the </w:t>
      </w:r>
      <w:proofErr w:type="spellStart"/>
      <w:r>
        <w:rPr>
          <w:rFonts w:ascii="Cambria Math" w:hAnsi="Cambria Math"/>
          <w:i/>
        </w:rPr>
        <w:t>y</w:t>
      </w:r>
      <w:r>
        <w:rPr>
          <w:rFonts w:ascii="Cambria Math" w:hAnsi="Cambria Math"/>
          <w:i/>
          <w:vertAlign w:val="subscript"/>
        </w:rPr>
        <w:t>max</w:t>
      </w:r>
      <w:proofErr w:type="spellEnd"/>
      <w:r>
        <w:t xml:space="preserve"> and </w:t>
      </w:r>
      <w:r>
        <w:rPr>
          <w:rFonts w:ascii="Cambria Math" w:hAnsi="Cambria Math"/>
          <w:i/>
        </w:rPr>
        <w:t>x</w:t>
      </w:r>
      <w:r>
        <w:rPr>
          <w:rFonts w:ascii="Cambria Math" w:hAnsi="Cambria Math"/>
          <w:i/>
          <w:vertAlign w:val="subscript"/>
        </w:rPr>
        <w:t>0</w:t>
      </w:r>
      <w:r>
        <w:t xml:space="preserve"> of</w:t>
      </w:r>
      <w:r>
        <w:t xml:space="preserve"> the analytical solution.</w:t>
      </w:r>
      <w:r w:rsidR="000075C3">
        <w:t xml:space="preserve"> Another source of error is the way the particle tracks are calculated by MODPATH. </w:t>
      </w:r>
      <w:commentRangeStart w:id="13"/>
      <w:r w:rsidR="000075C3">
        <w:t xml:space="preserve">MODPATH calculates </w:t>
      </w:r>
      <w:commentRangeEnd w:id="13"/>
      <w:r w:rsidR="000075C3">
        <w:rPr>
          <w:rStyle w:val="CommentReference"/>
          <w:rFonts w:ascii="Times New Roman" w:hAnsi="Times New Roman"/>
        </w:rPr>
        <w:commentReference w:id="13"/>
      </w:r>
      <w:r w:rsidR="000075C3">
        <w:t xml:space="preserve">particle movement from cell face to cell face, therefore, curves in the analytical solution will not be perfectly mimicked. </w:t>
      </w:r>
    </w:p>
    <w:p w14:paraId="4CE0AD1F" w14:textId="667A5682" w:rsidR="00FF76F2" w:rsidRDefault="00FF76F2" w:rsidP="00FF76F2">
      <w:pPr>
        <w:pStyle w:val="H1bodytext"/>
        <w:ind w:left="1440"/>
      </w:pPr>
      <w:r>
        <w:t xml:space="preserve">One source of error in </w:t>
      </w:r>
      <w:commentRangeStart w:id="14"/>
      <w:r>
        <w:t>this</w:t>
      </w:r>
      <w:commentRangeEnd w:id="14"/>
      <w:r w:rsidR="003B06EE">
        <w:rPr>
          <w:rStyle w:val="CommentReference"/>
          <w:rFonts w:ascii="Times New Roman" w:hAnsi="Times New Roman"/>
        </w:rPr>
        <w:commentReference w:id="14"/>
      </w:r>
      <w:r>
        <w:t xml:space="preserve"> test case is that the maximum y extent on the southern particle track is slightly less than the maximum y extent on the northern particle track. </w:t>
      </w:r>
      <w:r w:rsidR="003B06EE">
        <w:t>The reason for this is unclear.</w:t>
      </w:r>
    </w:p>
    <w:p w14:paraId="6557D480" w14:textId="77777777" w:rsidR="000075C3" w:rsidRPr="009D4467" w:rsidRDefault="000075C3" w:rsidP="000075C3">
      <w:pPr>
        <w:pStyle w:val="H1bodytext"/>
        <w:ind w:firstLine="720"/>
        <w:rPr>
          <w:b/>
        </w:rPr>
      </w:pPr>
      <w:r w:rsidRPr="009D4467">
        <w:rPr>
          <w:b/>
        </w:rPr>
        <w:t>File Structure</w:t>
      </w:r>
    </w:p>
    <w:p w14:paraId="7580194C" w14:textId="438DDE53" w:rsidR="000075C3" w:rsidRDefault="000075C3" w:rsidP="000075C3">
      <w:pPr>
        <w:pStyle w:val="H1bodytext"/>
        <w:ind w:left="1440"/>
      </w:pPr>
      <w:r>
        <w:t xml:space="preserve">All files for Test Case </w:t>
      </w:r>
      <w:r>
        <w:t>3</w:t>
      </w:r>
      <w:r>
        <w:t xml:space="preserve"> are contained within the “Test_Case_</w:t>
      </w:r>
      <w:r>
        <w:t>3</w:t>
      </w:r>
      <w:r>
        <w:t>” folder in the root directory. The structure within that folder is as follows:</w:t>
      </w:r>
    </w:p>
    <w:p w14:paraId="4E5780E7" w14:textId="77777777" w:rsidR="000075C3" w:rsidRDefault="000075C3" w:rsidP="000075C3">
      <w:pPr>
        <w:pStyle w:val="H1bodytext"/>
        <w:numPr>
          <w:ilvl w:val="0"/>
          <w:numId w:val="5"/>
        </w:numPr>
      </w:pPr>
      <w:r>
        <w:lastRenderedPageBreak/>
        <w:t>/</w:t>
      </w:r>
      <w:proofErr w:type="spellStart"/>
      <w:r>
        <w:t>gw_codes</w:t>
      </w:r>
      <w:proofErr w:type="spellEnd"/>
      <w:r>
        <w:t xml:space="preserve"> (This folder contains the executables used in the test case)</w:t>
      </w:r>
    </w:p>
    <w:p w14:paraId="0DF90758" w14:textId="77777777" w:rsidR="000075C3" w:rsidRDefault="000075C3" w:rsidP="000075C3">
      <w:pPr>
        <w:pStyle w:val="H1bodytext"/>
        <w:numPr>
          <w:ilvl w:val="1"/>
          <w:numId w:val="5"/>
        </w:numPr>
      </w:pPr>
      <w:r>
        <w:t>mf2k-chprc08spl.exe</w:t>
      </w:r>
    </w:p>
    <w:p w14:paraId="259B8440" w14:textId="77777777" w:rsidR="000075C3" w:rsidRDefault="000075C3" w:rsidP="000075C3">
      <w:pPr>
        <w:pStyle w:val="H1bodytext"/>
        <w:numPr>
          <w:ilvl w:val="2"/>
          <w:numId w:val="5"/>
        </w:numPr>
      </w:pPr>
      <w:r>
        <w:t>Description: executable of single-precision MODFLOW, “CHPRC Build 8”. Used in S01_tc1.py to execute the MODFLOW model.</w:t>
      </w:r>
    </w:p>
    <w:p w14:paraId="5A2D5773" w14:textId="77777777" w:rsidR="000075C3" w:rsidRDefault="000075C3" w:rsidP="000075C3">
      <w:pPr>
        <w:pStyle w:val="H1bodytext"/>
        <w:numPr>
          <w:ilvl w:val="1"/>
          <w:numId w:val="5"/>
        </w:numPr>
      </w:pPr>
      <w:r>
        <w:t>mp6.exe</w:t>
      </w:r>
    </w:p>
    <w:p w14:paraId="1880CC91" w14:textId="77777777" w:rsidR="000075C3" w:rsidRDefault="000075C3" w:rsidP="000075C3">
      <w:pPr>
        <w:pStyle w:val="H1bodytext"/>
        <w:numPr>
          <w:ilvl w:val="2"/>
          <w:numId w:val="5"/>
        </w:numPr>
      </w:pPr>
      <w:r>
        <w:t>Description: executable of MODPATH, version 6. Used in S01_tc1.py to execute the MODPATH model.</w:t>
      </w:r>
    </w:p>
    <w:p w14:paraId="3A61F2A0" w14:textId="77777777" w:rsidR="00E51E52" w:rsidRDefault="00E51E52" w:rsidP="00E51E52">
      <w:pPr>
        <w:pStyle w:val="H1bodytext"/>
        <w:numPr>
          <w:ilvl w:val="0"/>
          <w:numId w:val="5"/>
        </w:numPr>
      </w:pPr>
      <w:r>
        <w:t>/output (This folder contains the post-processing files used to determine the pass/fail status of the test case)</w:t>
      </w:r>
    </w:p>
    <w:p w14:paraId="5AA5ADB4" w14:textId="47847D14" w:rsidR="00E51E52" w:rsidRDefault="00E51E52" w:rsidP="00E51E52">
      <w:pPr>
        <w:pStyle w:val="H1bodytext"/>
        <w:numPr>
          <w:ilvl w:val="1"/>
          <w:numId w:val="5"/>
        </w:numPr>
      </w:pPr>
      <w:r>
        <w:t>backwards</w:t>
      </w:r>
      <w:r>
        <w:t>.png</w:t>
      </w:r>
    </w:p>
    <w:p w14:paraId="2105BA78" w14:textId="189321DB" w:rsidR="00E51E52" w:rsidRDefault="00E51E52" w:rsidP="00E51E52">
      <w:pPr>
        <w:pStyle w:val="H1bodytext"/>
        <w:numPr>
          <w:ilvl w:val="2"/>
          <w:numId w:val="5"/>
        </w:numPr>
      </w:pPr>
      <w:r>
        <w:t xml:space="preserve">Description: image comparing the </w:t>
      </w:r>
      <w:r>
        <w:t>analytical solution to the MODPATH pathlines, cropped to show only the are of interest, not the full model.</w:t>
      </w:r>
    </w:p>
    <w:p w14:paraId="73CF4C88" w14:textId="3251239E" w:rsidR="00E51E52" w:rsidRDefault="00E00B43" w:rsidP="00E51E52">
      <w:pPr>
        <w:pStyle w:val="H1bodytext"/>
        <w:numPr>
          <w:ilvl w:val="1"/>
          <w:numId w:val="5"/>
        </w:numPr>
      </w:pPr>
      <w:r>
        <w:t>t</w:t>
      </w:r>
      <w:r w:rsidR="00E51E52">
        <w:t>c</w:t>
      </w:r>
      <w:r w:rsidR="00E51E52">
        <w:t>3</w:t>
      </w:r>
      <w:r w:rsidR="00E51E52">
        <w:t>_results.csv</w:t>
      </w:r>
    </w:p>
    <w:p w14:paraId="7E55B441" w14:textId="7C36A7D6" w:rsidR="000075C3" w:rsidRDefault="00E51E52" w:rsidP="00D27D2C">
      <w:pPr>
        <w:pStyle w:val="H1bodytext"/>
        <w:numPr>
          <w:ilvl w:val="2"/>
          <w:numId w:val="5"/>
        </w:numPr>
      </w:pPr>
      <w:r>
        <w:t xml:space="preserve">Description: This file contains the pass/fail results for </w:t>
      </w:r>
      <w:r>
        <w:t>both the pass/fail criteria</w:t>
      </w:r>
      <w:r>
        <w:t xml:space="preserve">. The pass/fail results are listed in columns </w:t>
      </w:r>
      <w:r>
        <w:t>D, H, and K. The remaining columns</w:t>
      </w:r>
      <w:r>
        <w:t xml:space="preserve"> contain the information used to determine the pass/fail result</w:t>
      </w:r>
      <w:r>
        <w:t>s</w:t>
      </w:r>
      <w:r>
        <w:t>.</w:t>
      </w:r>
    </w:p>
    <w:p w14:paraId="622D6898" w14:textId="77777777" w:rsidR="00E00B43" w:rsidRDefault="00E00B43" w:rsidP="00E00B43">
      <w:pPr>
        <w:pStyle w:val="H1bodytext"/>
        <w:numPr>
          <w:ilvl w:val="0"/>
          <w:numId w:val="5"/>
        </w:numPr>
      </w:pPr>
      <w:r>
        <w:t xml:space="preserve">/workspace (This folder is empty before the test cases are </w:t>
      </w:r>
      <w:proofErr w:type="gramStart"/>
      <w:r>
        <w:t>run, but</w:t>
      </w:r>
      <w:proofErr w:type="gramEnd"/>
      <w:r>
        <w:t xml:space="preserve"> will be populated with all the MODFLOW and MODPATH files used in the test case).</w:t>
      </w:r>
    </w:p>
    <w:p w14:paraId="03126C83" w14:textId="003F0A61" w:rsidR="00E00B43" w:rsidRDefault="00E00B43" w:rsidP="00E00B43">
      <w:pPr>
        <w:pStyle w:val="H1bodytext"/>
        <w:numPr>
          <w:ilvl w:val="1"/>
          <w:numId w:val="5"/>
        </w:numPr>
      </w:pPr>
      <w:r>
        <w:t>Many of the test files which will be populated here each are titled “test_case_</w:t>
      </w:r>
      <w:r>
        <w:t>3</w:t>
      </w:r>
      <w:r>
        <w:t>”, and end with the following file types, listed in alphabetical order: BAS, CHD, DIS, LPF, NAM, OC, PCG, WEL, CBC, GLO, LIST, HDS, MPBAS, MPNAM, MPSIM, MPEND, MPLST, MPPTH</w:t>
      </w:r>
    </w:p>
    <w:p w14:paraId="74D9872C" w14:textId="0EE416CD" w:rsidR="00E00B43" w:rsidRDefault="00E00B43" w:rsidP="00E00B43">
      <w:pPr>
        <w:pStyle w:val="H1bodytext"/>
        <w:numPr>
          <w:ilvl w:val="1"/>
          <w:numId w:val="5"/>
        </w:numPr>
      </w:pPr>
      <w:proofErr w:type="spellStart"/>
      <w:r>
        <w:t>starting_</w:t>
      </w:r>
      <w:r>
        <w:t>pts</w:t>
      </w:r>
      <w:r>
        <w:t>.loc</w:t>
      </w:r>
      <w:proofErr w:type="spellEnd"/>
    </w:p>
    <w:p w14:paraId="58239BEB" w14:textId="192060CA" w:rsidR="00E00B43" w:rsidRDefault="00E00B43" w:rsidP="00E00B43">
      <w:pPr>
        <w:pStyle w:val="H1bodytext"/>
        <w:numPr>
          <w:ilvl w:val="2"/>
          <w:numId w:val="5"/>
        </w:numPr>
      </w:pPr>
      <w:bookmarkStart w:id="15" w:name="_Hlk524521521"/>
      <w:r>
        <w:t>Description: this is the file of starting location points.</w:t>
      </w:r>
      <w:r>
        <w:t xml:space="preserve"> The starting locations must match the description in [Section x]</w:t>
      </w:r>
      <w:r>
        <w:t>.</w:t>
      </w:r>
    </w:p>
    <w:bookmarkEnd w:id="15"/>
    <w:p w14:paraId="69217DBB" w14:textId="77777777" w:rsidR="00E00B43" w:rsidRDefault="00E00B43" w:rsidP="00E00B43">
      <w:pPr>
        <w:pStyle w:val="H1bodytext"/>
        <w:numPr>
          <w:ilvl w:val="1"/>
          <w:numId w:val="5"/>
        </w:numPr>
      </w:pPr>
      <w:r>
        <w:t>MPATH6.LOG</w:t>
      </w:r>
    </w:p>
    <w:p w14:paraId="44E15656" w14:textId="0A2DD497" w:rsidR="00E00B43" w:rsidRDefault="00E00B43" w:rsidP="00E00B43">
      <w:pPr>
        <w:pStyle w:val="H1bodytext"/>
        <w:numPr>
          <w:ilvl w:val="2"/>
          <w:numId w:val="5"/>
        </w:numPr>
      </w:pPr>
      <w:r>
        <w:t xml:space="preserve">Description: This is a log file created by </w:t>
      </w:r>
      <w:proofErr w:type="spellStart"/>
      <w:r>
        <w:t>modpath</w:t>
      </w:r>
      <w:proofErr w:type="spellEnd"/>
      <w:r>
        <w:t>.</w:t>
      </w:r>
    </w:p>
    <w:p w14:paraId="1B4168F8" w14:textId="33E7E550" w:rsidR="00E00B43" w:rsidRDefault="00D27D2C" w:rsidP="00D27D2C">
      <w:pPr>
        <w:pStyle w:val="H1bodytext"/>
        <w:numPr>
          <w:ilvl w:val="0"/>
          <w:numId w:val="5"/>
        </w:numPr>
      </w:pPr>
      <w:r>
        <w:t>fetter.py</w:t>
      </w:r>
    </w:p>
    <w:p w14:paraId="2ECA1B2E" w14:textId="598F4783" w:rsidR="00D27D2C" w:rsidRDefault="00D27D2C" w:rsidP="00D27D2C">
      <w:pPr>
        <w:pStyle w:val="H1bodytext"/>
        <w:numPr>
          <w:ilvl w:val="1"/>
          <w:numId w:val="5"/>
        </w:numPr>
      </w:pPr>
      <w:r>
        <w:lastRenderedPageBreak/>
        <w:t>Description: This python script defines the equations used to calculate the analytical solutions.</w:t>
      </w:r>
    </w:p>
    <w:p w14:paraId="68B752B7" w14:textId="54466107" w:rsidR="00D27D2C" w:rsidRDefault="00D27D2C" w:rsidP="00D27D2C">
      <w:pPr>
        <w:pStyle w:val="H1bodytext"/>
        <w:numPr>
          <w:ilvl w:val="0"/>
          <w:numId w:val="5"/>
        </w:numPr>
      </w:pPr>
      <w:r>
        <w:t>particle_starting_locs_backwards.csv</w:t>
      </w:r>
    </w:p>
    <w:p w14:paraId="0E617B50" w14:textId="0F2EB271" w:rsidR="00D27D2C" w:rsidRDefault="00D27D2C" w:rsidP="00D27D2C">
      <w:pPr>
        <w:pStyle w:val="H1bodytext"/>
        <w:numPr>
          <w:ilvl w:val="1"/>
          <w:numId w:val="5"/>
        </w:numPr>
      </w:pPr>
      <w:r>
        <w:t>Description: this file contains the starting location data for the particles and is used to create “</w:t>
      </w:r>
      <w:proofErr w:type="spellStart"/>
      <w:r>
        <w:t>starting_pts.loc</w:t>
      </w:r>
      <w:proofErr w:type="spellEnd"/>
      <w:r>
        <w:t>”.</w:t>
      </w:r>
    </w:p>
    <w:p w14:paraId="500FF4C9" w14:textId="2F07AD70" w:rsidR="00D27D2C" w:rsidRDefault="00D27D2C" w:rsidP="00D27D2C">
      <w:pPr>
        <w:pStyle w:val="H1bodytext"/>
        <w:numPr>
          <w:ilvl w:val="0"/>
          <w:numId w:val="5"/>
        </w:numPr>
      </w:pPr>
      <w:r>
        <w:t>runme.bat</w:t>
      </w:r>
    </w:p>
    <w:p w14:paraId="549575E8" w14:textId="4D2732AC" w:rsidR="00D27D2C" w:rsidRDefault="00D27D2C" w:rsidP="00D27D2C">
      <w:pPr>
        <w:pStyle w:val="H1bodytext"/>
        <w:numPr>
          <w:ilvl w:val="1"/>
          <w:numId w:val="5"/>
        </w:numPr>
      </w:pPr>
      <w:r>
        <w:t>Description:</w:t>
      </w:r>
      <w:r w:rsidRPr="00D27D2C">
        <w:t xml:space="preserve"> </w:t>
      </w:r>
      <w:r>
        <w:t xml:space="preserve">A batch file which executes </w:t>
      </w:r>
      <w:r>
        <w:t>“</w:t>
      </w:r>
      <w:r w:rsidR="00CC3E2A" w:rsidRPr="00CC3E2A">
        <w:t>S01_tc3</w:t>
      </w:r>
      <w:r>
        <w:t>.</w:t>
      </w:r>
      <w:r>
        <w:t>py” and “S02_pp_tc3.py”</w:t>
      </w:r>
      <w:r>
        <w:t>. Called by the runme.bat file in the root directory.</w:t>
      </w:r>
    </w:p>
    <w:p w14:paraId="738C9F3B" w14:textId="3B06D443" w:rsidR="00D27D2C" w:rsidRDefault="00CC3E2A" w:rsidP="00D27D2C">
      <w:pPr>
        <w:pStyle w:val="H1bodytext"/>
        <w:numPr>
          <w:ilvl w:val="0"/>
          <w:numId w:val="5"/>
        </w:numPr>
      </w:pPr>
      <w:r w:rsidRPr="00CC3E2A">
        <w:t>S01_tc3</w:t>
      </w:r>
      <w:r>
        <w:t>.py</w:t>
      </w:r>
    </w:p>
    <w:p w14:paraId="44B9B969" w14:textId="33D07D49" w:rsidR="00CC3E2A" w:rsidRDefault="00CC3E2A" w:rsidP="00CC3E2A">
      <w:pPr>
        <w:pStyle w:val="H1bodytext"/>
        <w:numPr>
          <w:ilvl w:val="1"/>
          <w:numId w:val="5"/>
        </w:numPr>
      </w:pPr>
      <w:r>
        <w:t xml:space="preserve">Description: </w:t>
      </w:r>
      <w:r>
        <w:t>A python script that creates the files for the MODFLOW and MODPATH models, executes the models,</w:t>
      </w:r>
      <w:r>
        <w:t xml:space="preserve"> and calculates the analytical results. It does some post-processing</w:t>
      </w:r>
      <w:r w:rsidR="0018516E">
        <w:t xml:space="preserve"> by creating</w:t>
      </w:r>
      <w:r>
        <w:t xml:space="preserve"> creates the “backwards.png” file in /output.</w:t>
      </w:r>
    </w:p>
    <w:p w14:paraId="3FA9BDC5" w14:textId="3D3D1656" w:rsidR="0018516E" w:rsidRDefault="0018516E" w:rsidP="0018516E">
      <w:pPr>
        <w:pStyle w:val="H1bodytext"/>
        <w:numPr>
          <w:ilvl w:val="0"/>
          <w:numId w:val="5"/>
        </w:numPr>
      </w:pPr>
      <w:r>
        <w:t>S02_pp_tc3.py</w:t>
      </w:r>
    </w:p>
    <w:p w14:paraId="70622C04" w14:textId="0D1A9119" w:rsidR="0018516E" w:rsidRDefault="0018516E" w:rsidP="0018516E">
      <w:pPr>
        <w:pStyle w:val="H1bodytext"/>
        <w:numPr>
          <w:ilvl w:val="1"/>
          <w:numId w:val="5"/>
        </w:numPr>
      </w:pPr>
      <w:r>
        <w:t>P</w:t>
      </w:r>
      <w:r w:rsidR="00CC3E2A">
        <w:t xml:space="preserve">ost-processes the </w:t>
      </w:r>
      <w:proofErr w:type="gramStart"/>
      <w:r w:rsidR="00CC3E2A">
        <w:t>results, and</w:t>
      </w:r>
      <w:proofErr w:type="gramEnd"/>
      <w:r w:rsidR="00CC3E2A">
        <w:t xml:space="preserve"> prints the pass/fail status of the test to “tc</w:t>
      </w:r>
      <w:r>
        <w:t>3</w:t>
      </w:r>
      <w:r w:rsidR="00CC3E2A">
        <w:t>_results.csv” in /output and “All_tc_results.xlsx” in the root directory.</w:t>
      </w:r>
      <w:bookmarkStart w:id="16" w:name="_GoBack"/>
      <w:bookmarkEnd w:id="16"/>
    </w:p>
    <w:sectPr w:rsidR="001851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ry Weber" w:date="2018-09-12T16:09:00Z" w:initials="MW">
    <w:p w14:paraId="36F3C503" w14:textId="77777777" w:rsidR="00A2046C" w:rsidRDefault="00A2046C">
      <w:pPr>
        <w:pStyle w:val="CommentText"/>
      </w:pPr>
      <w:r>
        <w:rPr>
          <w:rStyle w:val="CommentReference"/>
        </w:rPr>
        <w:annotationRef/>
      </w:r>
      <w:r>
        <w:t>If everything’s covered by the equation, then we don’t have to do this</w:t>
      </w:r>
    </w:p>
  </w:comment>
  <w:comment w:id="8" w:author="Mary Weber" w:date="2018-09-12T16:43:00Z" w:initials="MW">
    <w:p w14:paraId="6EDB2E4C" w14:textId="78851C36" w:rsidR="00E34FF7" w:rsidRDefault="00E34FF7">
      <w:pPr>
        <w:pStyle w:val="CommentText"/>
      </w:pPr>
      <w:r>
        <w:rPr>
          <w:rStyle w:val="CommentReference"/>
        </w:rPr>
        <w:annotationRef/>
      </w:r>
      <w:r>
        <w:t xml:space="preserve">Pretty sure this is </w:t>
      </w:r>
      <w:proofErr w:type="gramStart"/>
      <w:r>
        <w:t>true</w:t>
      </w:r>
      <w:proofErr w:type="gramEnd"/>
      <w:r>
        <w:t xml:space="preserve"> and I found it out when looking up how to make the model confined. Look again to be sure.</w:t>
      </w:r>
    </w:p>
  </w:comment>
  <w:comment w:id="9" w:author="Mary Weber" w:date="2018-09-12T16:44:00Z" w:initials="MW">
    <w:p w14:paraId="7024C188" w14:textId="061CF987" w:rsidR="00E34FF7" w:rsidRDefault="00E34FF7">
      <w:pPr>
        <w:pStyle w:val="CommentText"/>
      </w:pPr>
      <w:r>
        <w:rPr>
          <w:rStyle w:val="CommentReference"/>
        </w:rPr>
        <w:annotationRef/>
      </w:r>
      <w:r>
        <w:t>I’m guessing MODFLOW also covers this, but I need some text to point to</w:t>
      </w:r>
    </w:p>
  </w:comment>
  <w:comment w:id="10" w:author="Mary Weber" w:date="2018-09-12T16:46:00Z" w:initials="MW">
    <w:p w14:paraId="2BE2AA8F" w14:textId="2FA25152" w:rsidR="00C126A8" w:rsidRDefault="00C126A8">
      <w:pPr>
        <w:pStyle w:val="CommentText"/>
      </w:pPr>
      <w:r>
        <w:rPr>
          <w:rStyle w:val="CommentReference"/>
        </w:rPr>
        <w:annotationRef/>
      </w:r>
      <w:r>
        <w:t>I’m pretty sure this is right, but I need to check</w:t>
      </w:r>
    </w:p>
  </w:comment>
  <w:comment w:id="12" w:author="Mary Weber" w:date="2018-09-13T11:46:00Z" w:initials="MW">
    <w:p w14:paraId="0A97A114" w14:textId="1F1629F0" w:rsidR="000075C3" w:rsidRDefault="000075C3">
      <w:pPr>
        <w:pStyle w:val="CommentText"/>
      </w:pPr>
      <w:r>
        <w:rPr>
          <w:rStyle w:val="CommentReference"/>
        </w:rPr>
        <w:annotationRef/>
      </w:r>
      <w:r>
        <w:t xml:space="preserve">Are there any assumptions (e.g., vertical flow, not met by </w:t>
      </w:r>
      <w:proofErr w:type="spellStart"/>
      <w:r>
        <w:t>modflow</w:t>
      </w:r>
      <w:proofErr w:type="spellEnd"/>
      <w:r>
        <w:t>?)</w:t>
      </w:r>
    </w:p>
  </w:comment>
  <w:comment w:id="13" w:author="Mary Weber" w:date="2018-09-13T11:48:00Z" w:initials="MW">
    <w:p w14:paraId="3C2E984B" w14:textId="0A2271F4" w:rsidR="000075C3" w:rsidRDefault="000075C3">
      <w:pPr>
        <w:pStyle w:val="CommentText"/>
      </w:pPr>
      <w:r>
        <w:rPr>
          <w:rStyle w:val="CommentReference"/>
        </w:rPr>
        <w:annotationRef/>
      </w:r>
      <w:r>
        <w:t>Is this the best way to phrase this?</w:t>
      </w:r>
    </w:p>
  </w:comment>
  <w:comment w:id="14" w:author="Mary Weber" w:date="2018-09-13T11:39:00Z" w:initials="MW">
    <w:p w14:paraId="4B7B4872" w14:textId="2C4099DC" w:rsidR="003B06EE" w:rsidRDefault="003B06EE">
      <w:pPr>
        <w:pStyle w:val="CommentText"/>
      </w:pPr>
      <w:r>
        <w:rPr>
          <w:rStyle w:val="CommentReference"/>
        </w:rPr>
        <w:annotationRef/>
      </w:r>
      <w:r>
        <w:t>I don’t think this is technically a source of error, I think it’s a result of some minor calculation error I can’t fully explain, but I think it’s important to bring up. Just not sure how to word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F3C503" w15:done="0"/>
  <w15:commentEx w15:paraId="6EDB2E4C" w15:done="0"/>
  <w15:commentEx w15:paraId="7024C188" w15:done="0"/>
  <w15:commentEx w15:paraId="2BE2AA8F" w15:done="0"/>
  <w15:commentEx w15:paraId="0A97A114" w15:done="0"/>
  <w15:commentEx w15:paraId="3C2E984B" w15:done="0"/>
  <w15:commentEx w15:paraId="4B7B48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F3C503" w16cid:durableId="1F43B8D0"/>
  <w16cid:commentId w16cid:paraId="6EDB2E4C" w16cid:durableId="1F43C0AD"/>
  <w16cid:commentId w16cid:paraId="7024C188" w16cid:durableId="1F43C0EB"/>
  <w16cid:commentId w16cid:paraId="2BE2AA8F" w16cid:durableId="1F43C179"/>
  <w16cid:commentId w16cid:paraId="0A97A114" w16cid:durableId="1F44CC92"/>
  <w16cid:commentId w16cid:paraId="3C2E984B" w16cid:durableId="1F44CCFC"/>
  <w16cid:commentId w16cid:paraId="4B7B4872" w16cid:durableId="1F44C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5AC1"/>
    <w:multiLevelType w:val="hybridMultilevel"/>
    <w:tmpl w:val="B85C1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545CC8"/>
    <w:multiLevelType w:val="hybridMultilevel"/>
    <w:tmpl w:val="73B0B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40121CB"/>
    <w:multiLevelType w:val="hybridMultilevel"/>
    <w:tmpl w:val="53401A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8A1A66"/>
    <w:multiLevelType w:val="hybridMultilevel"/>
    <w:tmpl w:val="03648C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CE"/>
    <w:rsid w:val="000075C3"/>
    <w:rsid w:val="000C4DD5"/>
    <w:rsid w:val="001109A6"/>
    <w:rsid w:val="0018516E"/>
    <w:rsid w:val="001B4A17"/>
    <w:rsid w:val="001F012E"/>
    <w:rsid w:val="0022476E"/>
    <w:rsid w:val="00242936"/>
    <w:rsid w:val="00295036"/>
    <w:rsid w:val="00346324"/>
    <w:rsid w:val="00362FBA"/>
    <w:rsid w:val="003B06EE"/>
    <w:rsid w:val="0041082A"/>
    <w:rsid w:val="00491EFF"/>
    <w:rsid w:val="004A0E19"/>
    <w:rsid w:val="00621B51"/>
    <w:rsid w:val="00711A88"/>
    <w:rsid w:val="007805CB"/>
    <w:rsid w:val="008F1AEC"/>
    <w:rsid w:val="00915974"/>
    <w:rsid w:val="009434DC"/>
    <w:rsid w:val="00973FEE"/>
    <w:rsid w:val="009A5880"/>
    <w:rsid w:val="00A119B8"/>
    <w:rsid w:val="00A2046C"/>
    <w:rsid w:val="00A72796"/>
    <w:rsid w:val="00AB41BA"/>
    <w:rsid w:val="00AB6466"/>
    <w:rsid w:val="00AC7852"/>
    <w:rsid w:val="00B150CE"/>
    <w:rsid w:val="00B52927"/>
    <w:rsid w:val="00B8604E"/>
    <w:rsid w:val="00C05263"/>
    <w:rsid w:val="00C126A8"/>
    <w:rsid w:val="00C33FAB"/>
    <w:rsid w:val="00C7406B"/>
    <w:rsid w:val="00CC3E2A"/>
    <w:rsid w:val="00D27D2C"/>
    <w:rsid w:val="00DE07B5"/>
    <w:rsid w:val="00E00B43"/>
    <w:rsid w:val="00E34FF7"/>
    <w:rsid w:val="00E446B2"/>
    <w:rsid w:val="00E51E52"/>
    <w:rsid w:val="00EA2B88"/>
    <w:rsid w:val="00FF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43AE"/>
  <w15:chartTrackingRefBased/>
  <w15:docId w15:val="{0C154DFD-A21D-4883-A65C-39FBF845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0C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B150C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B150C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B150C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B150C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B150C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B150C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B150CE"/>
    <w:pPr>
      <w:numPr>
        <w:ilvl w:val="6"/>
        <w:numId w:val="1"/>
      </w:numPr>
      <w:spacing w:before="240" w:after="60"/>
      <w:outlineLvl w:val="6"/>
    </w:pPr>
  </w:style>
  <w:style w:type="paragraph" w:styleId="Heading8">
    <w:name w:val="heading 8"/>
    <w:basedOn w:val="Normal"/>
    <w:next w:val="Normal"/>
    <w:link w:val="Heading8Char"/>
    <w:semiHidden/>
    <w:unhideWhenUsed/>
    <w:qFormat/>
    <w:rsid w:val="00B150C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B150C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0C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B150C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B150CE"/>
    <w:rPr>
      <w:rFonts w:ascii="Arial" w:eastAsia="Times New Roman" w:hAnsi="Arial" w:cs="Arial"/>
      <w:b/>
      <w:kern w:val="32"/>
      <w:szCs w:val="26"/>
    </w:rPr>
  </w:style>
  <w:style w:type="character" w:customStyle="1" w:styleId="Heading4Char">
    <w:name w:val="Heading 4 Char"/>
    <w:basedOn w:val="DefaultParagraphFont"/>
    <w:link w:val="Heading4"/>
    <w:semiHidden/>
    <w:rsid w:val="00B150C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B150C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B150C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B150C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B150C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B150CE"/>
    <w:rPr>
      <w:rFonts w:ascii="Arial" w:eastAsia="Times New Roman" w:hAnsi="Arial" w:cs="Arial"/>
    </w:rPr>
  </w:style>
  <w:style w:type="paragraph" w:customStyle="1" w:styleId="H1bodytext">
    <w:name w:val="H1 body text"/>
    <w:rsid w:val="00B150CE"/>
    <w:pPr>
      <w:spacing w:after="240" w:line="240" w:lineRule="auto"/>
      <w:ind w:left="720"/>
    </w:pPr>
    <w:rPr>
      <w:rFonts w:ascii="Arial" w:eastAsia="Times New Roman" w:hAnsi="Arial" w:cs="Times New Roman"/>
      <w:szCs w:val="20"/>
    </w:rPr>
  </w:style>
  <w:style w:type="paragraph" w:styleId="Caption">
    <w:name w:val="caption"/>
    <w:basedOn w:val="Normal"/>
    <w:next w:val="Normal"/>
    <w:uiPriority w:val="35"/>
    <w:semiHidden/>
    <w:unhideWhenUsed/>
    <w:qFormat/>
    <w:rsid w:val="00B150CE"/>
    <w:pPr>
      <w:spacing w:after="200"/>
    </w:pPr>
    <w:rPr>
      <w:i/>
      <w:iCs/>
      <w:color w:val="44546A" w:themeColor="text2"/>
      <w:sz w:val="18"/>
      <w:szCs w:val="18"/>
    </w:rPr>
  </w:style>
  <w:style w:type="paragraph" w:customStyle="1" w:styleId="H2bodytext">
    <w:name w:val="H2 body text"/>
    <w:basedOn w:val="Normal"/>
    <w:rsid w:val="00B150CE"/>
    <w:pPr>
      <w:spacing w:after="240"/>
      <w:ind w:left="1440"/>
    </w:pPr>
    <w:rPr>
      <w:rFonts w:ascii="Arial" w:hAnsi="Arial"/>
      <w:sz w:val="22"/>
      <w:szCs w:val="20"/>
    </w:rPr>
  </w:style>
  <w:style w:type="paragraph" w:customStyle="1" w:styleId="FigureNumberCaption">
    <w:name w:val="Figure Number&amp;Caption"/>
    <w:basedOn w:val="Normal"/>
    <w:next w:val="Normal"/>
    <w:rsid w:val="00B150CE"/>
    <w:pPr>
      <w:spacing w:before="160" w:after="160" w:line="252" w:lineRule="auto"/>
      <w:jc w:val="center"/>
    </w:pPr>
    <w:rPr>
      <w:rFonts w:ascii="Arial Narrow" w:hAnsi="Arial Narrow"/>
      <w:b/>
      <w:sz w:val="22"/>
      <w:szCs w:val="20"/>
    </w:rPr>
  </w:style>
  <w:style w:type="character" w:customStyle="1" w:styleId="FigureChar">
    <w:name w:val="Figure Char"/>
    <w:basedOn w:val="DefaultParagraphFont"/>
    <w:link w:val="Figure"/>
    <w:locked/>
    <w:rsid w:val="00B150CE"/>
    <w:rPr>
      <w:rFonts w:ascii="Times New Roman" w:eastAsia="Times New Roman" w:hAnsi="Times New Roman" w:cs="Times New Roman"/>
      <w:sz w:val="24"/>
      <w:szCs w:val="20"/>
    </w:rPr>
  </w:style>
  <w:style w:type="paragraph" w:customStyle="1" w:styleId="Figure">
    <w:name w:val="Figure"/>
    <w:basedOn w:val="BodyText"/>
    <w:link w:val="FigureChar"/>
    <w:rsid w:val="00B150CE"/>
    <w:pPr>
      <w:spacing w:line="252" w:lineRule="auto"/>
      <w:jc w:val="center"/>
    </w:pPr>
    <w:rPr>
      <w:szCs w:val="20"/>
    </w:rPr>
  </w:style>
  <w:style w:type="paragraph" w:customStyle="1" w:styleId="FigureNotes">
    <w:name w:val="Figure Notes"/>
    <w:basedOn w:val="FigureNumberCaption"/>
    <w:qFormat/>
    <w:rsid w:val="00B150CE"/>
    <w:pPr>
      <w:spacing w:before="60" w:after="60"/>
      <w:jc w:val="left"/>
    </w:pPr>
    <w:rPr>
      <w:rFonts w:ascii="Times New Roman" w:hAnsi="Times New Roman"/>
      <w:b w:val="0"/>
      <w:sz w:val="18"/>
    </w:rPr>
  </w:style>
  <w:style w:type="character" w:customStyle="1" w:styleId="TableBodyChar">
    <w:name w:val="Table Body Char"/>
    <w:basedOn w:val="DefaultParagraphFont"/>
    <w:link w:val="TableBody"/>
    <w:locked/>
    <w:rsid w:val="00B150CE"/>
    <w:rPr>
      <w:rFonts w:ascii="Arial" w:eastAsia="Times New Roman" w:hAnsi="Arial" w:cs="Times New Roman"/>
      <w:sz w:val="18"/>
      <w:szCs w:val="20"/>
    </w:rPr>
  </w:style>
  <w:style w:type="paragraph" w:customStyle="1" w:styleId="TableBody">
    <w:name w:val="Table Body"/>
    <w:aliases w:val="tb"/>
    <w:basedOn w:val="H1bodytext"/>
    <w:next w:val="H1bodytext"/>
    <w:link w:val="TableBodyChar"/>
    <w:rsid w:val="00B150CE"/>
    <w:pPr>
      <w:spacing w:before="60" w:after="60"/>
      <w:ind w:left="0"/>
    </w:pPr>
    <w:rPr>
      <w:sz w:val="18"/>
    </w:rPr>
  </w:style>
  <w:style w:type="paragraph" w:customStyle="1" w:styleId="TableNumberCaption">
    <w:name w:val="Table Number&amp;Caption"/>
    <w:basedOn w:val="FigureNumberCaption"/>
    <w:rsid w:val="00B150CE"/>
    <w:pPr>
      <w:spacing w:after="40"/>
    </w:pPr>
  </w:style>
  <w:style w:type="paragraph" w:customStyle="1" w:styleId="TableHead">
    <w:name w:val="Table Head"/>
    <w:aliases w:val="th"/>
    <w:basedOn w:val="TableBody"/>
    <w:next w:val="TableBody"/>
    <w:rsid w:val="00B150CE"/>
    <w:pPr>
      <w:jc w:val="center"/>
    </w:pPr>
    <w:rPr>
      <w:b/>
    </w:rPr>
  </w:style>
  <w:style w:type="paragraph" w:styleId="BodyText">
    <w:name w:val="Body Text"/>
    <w:basedOn w:val="Normal"/>
    <w:link w:val="BodyTextChar"/>
    <w:uiPriority w:val="99"/>
    <w:semiHidden/>
    <w:unhideWhenUsed/>
    <w:rsid w:val="00B150CE"/>
    <w:pPr>
      <w:spacing w:after="120"/>
    </w:pPr>
  </w:style>
  <w:style w:type="character" w:customStyle="1" w:styleId="BodyTextChar">
    <w:name w:val="Body Text Char"/>
    <w:basedOn w:val="DefaultParagraphFont"/>
    <w:link w:val="BodyText"/>
    <w:uiPriority w:val="99"/>
    <w:semiHidden/>
    <w:rsid w:val="00B150C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2046C"/>
    <w:rPr>
      <w:sz w:val="16"/>
      <w:szCs w:val="16"/>
    </w:rPr>
  </w:style>
  <w:style w:type="paragraph" w:styleId="CommentText">
    <w:name w:val="annotation text"/>
    <w:basedOn w:val="Normal"/>
    <w:link w:val="CommentTextChar"/>
    <w:uiPriority w:val="99"/>
    <w:semiHidden/>
    <w:unhideWhenUsed/>
    <w:rsid w:val="00A2046C"/>
    <w:rPr>
      <w:sz w:val="20"/>
      <w:szCs w:val="20"/>
    </w:rPr>
  </w:style>
  <w:style w:type="character" w:customStyle="1" w:styleId="CommentTextChar">
    <w:name w:val="Comment Text Char"/>
    <w:basedOn w:val="DefaultParagraphFont"/>
    <w:link w:val="CommentText"/>
    <w:uiPriority w:val="99"/>
    <w:semiHidden/>
    <w:rsid w:val="00A204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2046C"/>
    <w:rPr>
      <w:b/>
      <w:bCs/>
    </w:rPr>
  </w:style>
  <w:style w:type="character" w:customStyle="1" w:styleId="CommentSubjectChar">
    <w:name w:val="Comment Subject Char"/>
    <w:basedOn w:val="CommentTextChar"/>
    <w:link w:val="CommentSubject"/>
    <w:uiPriority w:val="99"/>
    <w:semiHidden/>
    <w:rsid w:val="00A2046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204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6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5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9</cp:revision>
  <dcterms:created xsi:type="dcterms:W3CDTF">2018-09-12T21:08:00Z</dcterms:created>
  <dcterms:modified xsi:type="dcterms:W3CDTF">2018-09-13T19:31:00Z</dcterms:modified>
</cp:coreProperties>
</file>