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COWORK DOCX WASM PROOF</w:t>
      </w:r>
    </w:p>
    <w:p>
      <w:r>
        <w:t>Offline sandbox conversion marker: DOCX-7319.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Units</w:t>
            </w:r>
          </w:p>
        </w:tc>
        <w:tc>
          <w:tcPr>
            <w:tcW w:type="dxa" w:w="2880"/>
          </w:tcPr>
          <w:p>
            <w:r>
              <w:t>Amount</w:t>
            </w:r>
          </w:p>
        </w:tc>
      </w:tr>
      <w:tr>
        <w:tc>
          <w:tcPr>
            <w:tcW w:type="dxa" w:w="2880"/>
          </w:tcPr>
          <w:p>
            <w:r>
              <w:t>Alpha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120</w:t>
            </w:r>
          </w:p>
        </w:tc>
      </w:tr>
      <w:tr>
        <w:tc>
          <w:tcPr>
            <w:tcW w:type="dxa" w:w="2880"/>
          </w:tcPr>
          <w:p>
            <w:r>
              <w:t>Beta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240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2743200" cy="960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-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960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SECOND PAGE DOCX-8420</w:t>
      </w:r>
    </w:p>
    <w:p>
      <w:r>
        <w:t>Explicit page break and nonblank second page.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COWORK WASM FOOTER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COWORK WASM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