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888888" w:sz="6" w:space="2"/>
        </w:pBdr>
        <w:spacing w:after="100" w:before="320"/>
      </w:pPr>
      <w:r>
        <w:rPr>
          <w:b/>
          <w:bCs/>
          <w:color w:val="1a1a1a"/>
          <w:sz w:val="30"/>
          <w:szCs w:val="30"/>
        </w:rPr>
        <w:t xml:space="preserve">The Daily Surface — Project Notes</w:t>
      </w:r>
    </w:p>
    <w:p>
      <w:pPr>
        <w:spacing w:after="220"/>
      </w:pPr>
      <w:r>
        <w:rPr>
          <w:b/>
          <w:bCs/>
          <w:color w:val="555555"/>
          <w:sz w:val="20"/>
          <w:szCs w:val="20"/>
        </w:rPr>
        <w:t xml:space="preserve">Generated 20260703a</w:t>
      </w:r>
      <w:r>
        <w:rPr>
          <w:i/>
          <w:iCs/>
          <w:color w:val="888888"/>
          <w:sz w:val="18"/>
          <w:szCs w:val="18"/>
        </w:rPr>
        <w:t xml:space="preserve">   ·   git-versioned; pull for current</w:t>
      </w:r>
    </w:p>
    <w:p>
      <w:pPr>
        <w:spacing w:after="140" w:before="60"/>
        <w:jc w:val="left"/>
      </w:pPr>
      <w:r>
        <w:rPr>
          <w:i/>
          <w:iCs/>
          <w:color w:val="666666"/>
          <w:sz w:val="21"/>
          <w:szCs w:val="21"/>
        </w:rPr>
        <w:t xml:space="preserve">The accreting development record of the daily-surface project (the first project under the MIL program). Dated discoveries, rejected alternatives, and the reasoning behind each turn. A PhilosophyDocument (see the Development Methodology); maintained by dated, newest-first accretion, never truncated.</w:t>
      </w:r>
    </w:p>
    <w:p>
      <w:pPr>
        <w:pStyle w:val="Heading2"/>
        <w:spacing w:after="60" w:before="220"/>
      </w:pPr>
      <w:r>
        <w:rPr>
          <w:b/>
          <w:bCs/>
          <w:color w:val="333333"/>
          <w:sz w:val="24"/>
          <w:szCs w:val="24"/>
        </w:rPr>
        <w:t xml:space="preserve">How this document is kept</w:t>
      </w:r>
    </w:p>
    <w:p>
      <w:pPr>
        <w:spacing w:after="140"/>
      </w:pPr>
      <w:r>
        <w:t xml:space="preserve">This is the daily-surface project's own Notes, kept in the project repo beside its code — distinct from the program-level MIL Program Design Notes, which records program-wide design. Per the documentation cadence, every code commit also lands at least one dated entry here, written as the work is done. The reader scans down to the latest summary for current bearings, then reads up through newer entries.</w:t>
      </w:r>
    </w:p>
    <w:p>
      <w:pPr>
        <w:spacing w:after="160" w:before="160"/>
        <w:jc w:val="center"/>
      </w:pPr>
      <w:r>
        <w:rPr>
          <w:i/>
          <w:iCs/>
          <w:color w:val="666666"/>
          <w:sz w:val="21"/>
          <w:szCs w:val="21"/>
        </w:rPr>
        <w:t xml:space="preserve">▲ Newest entries insert here, directly below this line. ▲</w:t>
      </w:r>
    </w:p>
    <w:p>
      <w:pPr>
        <w:pStyle w:val="Heading1"/>
        <w:pBdr>
          <w:bottom w:val="single" w:color="888888" w:sz="6" w:space="2"/>
        </w:pBdr>
        <w:spacing w:after="100" w:before="320"/>
      </w:pPr>
      <w:r>
        <w:rPr>
          <w:b/>
          <w:bCs/>
          <w:color w:val="1a1a1a"/>
          <w:sz w:val="30"/>
          <w:szCs w:val="30"/>
        </w:rPr>
        <w:t xml:space="preserve">Entry — July 3, 2026: v0.2.14/v0.2.15 — the foreground becomes a proportional time-canvas</w:t>
      </w:r>
    </w:p>
    <w:p>
      <w:pPr>
        <w:spacing w:after="140" w:before="60"/>
        <w:jc w:val="left"/>
      </w:pPr>
      <w:r>
        <w:rPr>
          <w:i/>
          <w:iCs/>
          <w:color w:val="666666"/>
          <w:sz w:val="21"/>
          <w:szCs w:val="21"/>
        </w:rPr>
        <w:t xml:space="preserve">The load-bearing build. The foreground surface was rebuilt from a sequential list into a to-scale time-canvas, making the meld literal: duration is size, and tasks and events render in one visual currency. Committed as v0.2.14, re-committed clean as v0.2.15 after a phone-download file-collision deployed the old file twice (a stale index.html in the downloads folder auto-renamed the new file to index-1, and the old one got uploaded — diagnosed by the repo file's stale timestamp against a v0.2.14-labelled deploy). Built against stub event data; verified rendering and behavior in a real browser before delivery.</w:t>
      </w:r>
    </w:p>
    <w:p>
      <w:pPr>
        <w:pStyle w:val="Heading2"/>
        <w:spacing w:after="60" w:before="220"/>
      </w:pPr>
      <w:r>
        <w:rPr>
          <w:b/>
          <w:bCs/>
          <w:color w:val="333333"/>
          <w:sz w:val="24"/>
          <w:szCs w:val="24"/>
        </w:rPr>
        <w:t xml:space="preserve">The decision: to-scale, not sequential</w:t>
      </w:r>
    </w:p>
    <w:p>
      <w:pPr>
        <w:spacing w:after="140"/>
      </w:pPr>
      <w:r>
        <w:t xml:space="preserve">The prior foreground was a sequential list — it showed order but not magnitude; every block was the same height regardless of duration. The change makes block height proportional to duration (spoons→minutes for tasks, the four time-points for events), against an hour-grid background, so time is distance and duration is size. This was decided the way the honest-time concept was decided: against a working prototype operated by hand, not against a description. Two throwaway proofs-of-concept were built and driven first (the honest-time display, then the proportional canvas with sample spooned tasks); only once seeing time to-scale confirmed it felt right was the real build authorized. The to-scale view earns its added complexity because it unifies the two systems — tasks (spoons) and events (time-points) render in the same currency (pixels-per-minute), which is the meld made visual: task list and calendar on one surface, directly comparable by size, prioritized and accomplished together.</w:t>
      </w:r>
    </w:p>
    <w:p>
      <w:pPr>
        <w:pStyle w:val="Heading2"/>
        <w:spacing w:after="60" w:before="220"/>
      </w:pPr>
      <w:r>
        <w:rPr>
          <w:b/>
          <w:bCs/>
          <w:color w:val="333333"/>
          <w:sz w:val="24"/>
          <w:szCs w:val="24"/>
        </w:rPr>
        <w:t xml:space="preserve">The complexity that to-scale forced, and why it was already solved</w:t>
      </w:r>
    </w:p>
    <w:p>
      <w:pPr>
        <w:spacing w:after="140"/>
      </w:pPr>
      <w:r>
        <w:t xml:space="preserve">Proportional scale raises two problems a sequential list dodges: (1) a full day is taller than a screen, and (2) things must visibly fit-or-not inside the open gap. Both were already answered by the existing design, which is why the build was smaller than feared. (1) is moot because "now" is always anchored at the top of the screen and the view scrolls downward into the future — so the canvas renders now-forward only, self-compressing as the day burns, with no fixed day-window and no viewport/zoom machinery required. This also confirmed the 24-hour-day commitment (no banker's-hours window; work has happened at every hour across the author's history). (2) was already solved by the existing scheduler: a task that doesn't fit the current gap drops to the nearest available slot; if none fits, it lists after the last reserved block. The canvas renders that existing decision to scale rather than inventing new placement — overflow tasks list below the canvas, dashed. So the scheduler decides fit; the canvas only draws the decision.</w:t>
      </w:r>
    </w:p>
    <w:p>
      <w:pPr>
        <w:pStyle w:val="Heading2"/>
        <w:spacing w:after="60" w:before="220"/>
      </w:pPr>
      <w:r>
        <w:rPr>
          <w:b/>
          <w:bCs/>
          <w:color w:val="333333"/>
          <w:sz w:val="24"/>
          <w:szCs w:val="24"/>
        </w:rPr>
        <w:t xml:space="preserve">The fourth data point: preparation time</w:t>
      </w:r>
    </w:p>
    <w:p>
      <w:pPr>
        <w:spacing w:after="140"/>
      </w:pPr>
      <w:r>
        <w:t xml:space="preserve">Prep was added as the fourth event data point, joining travel, event-start, and event-end. It fits the prompt system's existing grammar (ready → displace → do): prep is "ready," travel is "displace," event is "do." The reserved block is now three segments in order — prepare → travel → event — and its front edge (the leave/prep edge that tasks pack against) moved back to start − travel − prep. Visual encoding: prep and travel are both hatched (spent-but-invisible reserved time), prep in yellow and travel in orange; the event is solid green (the actual appointment). Hatching distinguishes reserved-and-spoken-for time from the solid real thing. Tasks are solid, colored by their priority swatch — so on the canvas a task's height shows duration and its color shows priority at once.</w:t>
      </w:r>
    </w:p>
    <w:p>
      <w:pPr>
        <w:pStyle w:val="Heading2"/>
        <w:spacing w:after="60" w:before="220"/>
      </w:pPr>
      <w:r>
        <w:rPr>
          <w:b/>
          <w:bCs/>
          <w:color w:val="333333"/>
          <w:sz w:val="24"/>
          <w:szCs w:val="24"/>
        </w:rPr>
        <w:t xml:space="preserve">The word "honest" comes off the surface</w:t>
      </w:r>
    </w:p>
    <w:p>
      <w:pPr>
        <w:spacing w:after="140"/>
      </w:pPr>
      <w:r>
        <w:t xml:space="preserve">The surface calls the fillable gap "open time," not "honest time." "Honest" is the author's process vocabulary — the name for what the meld fixes (a calendar lies about available time) — and belongs in these Notes, not on the instrument. Calling it "honest" on the surface would editorialize, implying the surface is correcting a lie rather than simply showing the true open time. The instrument shows the number; the framing stays in the process record.</w:t>
      </w:r>
    </w:p>
    <w:p>
      <w:pPr>
        <w:pStyle w:val="Heading2"/>
        <w:spacing w:after="60" w:before="220"/>
      </w:pPr>
      <w:r>
        <w:rPr>
          <w:b/>
          <w:bCs/>
          <w:color w:val="333333"/>
          <w:sz w:val="24"/>
          <w:szCs w:val="24"/>
        </w:rPr>
        <w:t xml:space="preserve">The database decision: events in Google, prep/travel in the event, tasks in Supabase</w:t>
      </w:r>
    </w:p>
    <w:p>
      <w:pPr>
        <w:spacing w:after="140"/>
      </w:pPr>
      <w:r>
        <w:t xml:space="preserve">A design fork that reaches to the data model was resolved before any integration code was written (process before tool). Prep and travel are the author's data — they do not exist in Google Calendar's native model — so where they live had to be decided. Three options: (A) write them into the Google event itself via extendedProperties.private (a hidden, API-accessible key-value field purpose-built for third-party app data); (B) keep a small local table of {eventId, prep, travel} deltas keyed to the Google event, app stays read-only; (C) a full local event mirror (rejected outright — it is the only option that creates the sync/orphan/reconciliation nightmare, and neither A nor B requires it).</w:t>
      </w:r>
    </w:p>
    <w:p>
      <w:pPr>
        <w:spacing w:after="140"/>
      </w:pPr>
      <w:r>
        <w:t xml:space="preserve">Resolved to A, on two grounds that emerged in discussion. First, the author wants event entry from the surface (add an event on the surface → write to Google), which makes the app a writer to the calendar regardless — so the read-only purity that argued for B is being given up anyway by a decided feature. Second, storing prep/travel in the event gives them a use outside the app: when creating an event directly in Google Calendar, the values can be preset there too. Once the app writes to Google and events live only in Google, there is nothing to mirror and nothing to clean — one source of truth, fully. The two entry paths mirror the two stores: add a task → Supabase; add an event → Google. Each system owns exactly what is its own; no parallel event copy, no reconciler.</w:t>
      </w:r>
    </w:p>
    <w:p>
      <w:pPr>
        <w:pStyle w:val="Heading2"/>
        <w:spacing w:after="60" w:before="220"/>
      </w:pPr>
      <w:r>
        <w:rPr>
          <w:b/>
          <w:bCs/>
          <w:color w:val="333333"/>
          <w:sz w:val="24"/>
          <w:szCs w:val="24"/>
        </w:rPr>
        <w:t xml:space="preserve">Build order: canvas first (stub data), Google layer next</w:t>
      </w:r>
    </w:p>
    <w:p>
      <w:pPr>
        <w:spacing w:after="140"/>
      </w:pPr>
      <w:r>
        <w:t xml:space="preserve">Deliberately sequenced so each step verifies one thing. Step 1 (this commit): the proportional canvas built into the real app, rendering against stub/sample event data, no Google dependency — proves the visual works in the real app, isolated from auth. Step 2 (next session): the Google Calendar read/write layer beneath it — real event read, surface-side event entry, prep/travel in extendedProperties. Keeping "does the canvas work" separate from "does Google auth work" means a failure localizes to one layer instead of entangling two. This makes the Google write integration a prerequisite for the </w:t>
      </w:r>
      <w:r>
        <w:rPr>
          <w:i/>
          <w:iCs/>
        </w:rPr>
        <w:t xml:space="preserve">real</w:t>
      </w:r>
      <w:r>
        <w:t xml:space="preserve"> meld (real events), but not for proving the canvas, which is why the stub-first step is legitimate.</w:t>
      </w:r>
    </w:p>
    <w:p>
      <w:pPr>
        <w:pStyle w:val="Heading2"/>
        <w:spacing w:after="60" w:before="220"/>
      </w:pPr>
      <w:r>
        <w:rPr>
          <w:b/>
          <w:bCs/>
          <w:color w:val="333333"/>
          <w:sz w:val="24"/>
          <w:szCs w:val="24"/>
        </w:rPr>
        <w:t xml:space="preserve">Settled parameters</w:t>
      </w:r>
    </w:p>
    <w:p>
      <w:pPr>
        <w:spacing w:after="140"/>
      </w:pPr>
      <w:r>
        <w:t xml:space="preserve">Scale: 1.6 pixels per minute (default; may become user-adjustable later — a zoom control was in the prototype). Task color: priority swatch (warm-to-cool: red 9, orange 7, yellow 5, beige 3, light blue 1), solid fill. Reserved segments: hatched (prep yellow, travel orange), event solid green. Now-anchored top, scroll down into the day, 24-hour, no fixed window.</w:t>
      </w:r>
    </w:p>
    <w:p>
      <w:pPr>
        <w:pStyle w:val="Heading2"/>
        <w:spacing w:after="60" w:before="220"/>
      </w:pPr>
      <w:r>
        <w:rPr>
          <w:b/>
          <w:bCs/>
          <w:color w:val="333333"/>
          <w:sz w:val="24"/>
          <w:szCs w:val="24"/>
        </w:rPr>
        <w:t xml:space="preserve">Implementation notes (behavioral, not source)</w:t>
      </w:r>
    </w:p>
    <w:p>
      <w:pPr>
        <w:spacing w:after="140"/>
      </w:pPr>
      <w:r>
        <w:t xml:space="preserve">The change was confined to the foreground rendering and the schedule's event-block construction; task storage, sorts, capture, day-history, the prompt-firing engine, the long-press popup, the edit modal, and the Background/Relaxation/Morning/Evening tabs were untouched. readAppt gained optional prep/travel (default 0). The schedule now reserves prep+travel ahead of each event (front edge = start − travel − prep) so tasks pack against the true leave-edge; the appt rail item carries prep/travel/event sub-timings for the three-segment render. Existing appointments with no prep/travel render as a solid event block only (no hatching) until the values are supplied — which, per the build order, arrives with the Google layer.</w:t>
      </w:r>
    </w:p>
    <w:p>
      <w:pPr>
        <w:spacing w:after="140" w:before="60"/>
        <w:jc w:val="left"/>
      </w:pPr>
      <w:r>
        <w:rPr>
          <w:i/>
          <w:iCs/>
          <w:color w:val="666666"/>
          <w:sz w:val="21"/>
          <w:szCs w:val="21"/>
        </w:rPr>
        <w:t xml:space="preserve">Prepared with the assistance of and drafting by Claude AI; concepts and direction by J. Mark Weller.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2026-07-03T16:54:18.482Z</dcterms:created>
  <dcterms:modified xsi:type="dcterms:W3CDTF">2026-07-03T16:54:18.495Z</dcterms:modified>
</cp:coreProperties>
</file>

<file path=docProps/custom.xml><?xml version="1.0" encoding="utf-8"?>
<Properties xmlns="http://schemas.openxmlformats.org/officeDocument/2006/custom-properties" xmlns:vt="http://schemas.openxmlformats.org/officeDocument/2006/docPropsVTypes"/>
</file>