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60" w:before="0" w:line="300" w:lineRule="auto"/>
      </w:pPr>
      <w:r>
        <w:rPr>
          <w:rFonts w:ascii="Arial" w:cs="Arial" w:eastAsia="Arial" w:hAnsi="Arial"/>
          <w:b/>
          <w:bCs/>
          <w:sz w:val="36"/>
          <w:szCs w:val="36"/>
        </w:rPr>
        <w:t xml:space="preserve">FundPath: Presentation Script</w:t>
      </w:r>
    </w:p>
    <w:p>
      <w:pPr>
        <w:keepNext w:val="false"/>
        <w:spacing w:after="200" w:before="0" w:line="300" w:lineRule="auto"/>
      </w:pPr>
      <w:r>
        <w:rPr>
          <w:rFonts w:ascii="Arial" w:cs="Arial" w:eastAsia="Arial" w:hAnsi="Arial"/>
          <w:color w:val="55655C"/>
          <w:sz w:val="22"/>
          <w:szCs w:val="22"/>
        </w:rPr>
        <w:t xml:space="preserve">BIT 301  ·  University of Lusaka  ·  3 speakers  ·  about 12 minutes plus questions</w:t>
      </w:r>
    </w:p>
    <w:p>
      <w:pPr>
        <w:keepNext w:val="false"/>
        <w:spacing w:after="240" w:before="0" w:line="300" w:lineRule="auto"/>
      </w:pPr>
      <w:r>
        <w:rPr>
          <w:rFonts w:ascii="Arial" w:cs="Arial" w:eastAsia="Arial" w:hAnsi="Arial"/>
          <w:b/>
          <w:bCs/>
          <w:sz w:val="22"/>
          <w:szCs w:val="22"/>
        </w:rPr>
        <w:t xml:space="preserve">How to use this. </w:t>
      </w:r>
      <w:r>
        <w:rPr>
          <w:rFonts w:ascii="Arial" w:cs="Arial" w:eastAsia="Arial" w:hAnsi="Arial"/>
          <w:sz w:val="22"/>
          <w:szCs w:val="22"/>
        </w:rPr>
        <w:t xml:space="preserve">Speak naturally; this is a guide, not a text to read word for word. Replace [Speaker 2 name] and [Speaker 3 name] with your teammates’ names. Figures come from the Ministry of Local Government and Rural Development and news reports cited on the slides; applications in the prototype are demo data.</w:t>
      </w:r>
    </w:p>
    <w:p>
      <w:pPr>
        <w:keepNext/>
        <w:pBdr>
          <w:bottom w:val="single" w:color="8C2B2B" w:sz="6" w:space="2"/>
        </w:pBdr>
        <w:spacing w:after="40" w:before="260"/>
      </w:pPr>
      <w:r>
        <w:rPr>
          <w:rFonts w:ascii="Arial" w:cs="Arial" w:eastAsia="Arial" w:hAnsi="Arial"/>
          <w:b/>
          <w:bCs/>
          <w:color w:val="8C2B2B"/>
          <w:sz w:val="28"/>
          <w:szCs w:val="28"/>
        </w:rPr>
        <w:t xml:space="preserve">Speaker 1: Chimwemwe Siyingwa</w:t>
      </w:r>
    </w:p>
    <w:p>
      <w:pPr>
        <w:keepNext/>
        <w:spacing w:after="160" w:before="0" w:line="300" w:lineRule="auto"/>
      </w:pPr>
      <w:r>
        <w:rPr>
          <w:rFonts w:ascii="Arial" w:cs="Arial" w:eastAsia="Arial" w:hAnsi="Arial"/>
          <w:i/>
          <w:iCs/>
          <w:color w:val="55655C"/>
          <w:sz w:val="22"/>
          <w:szCs w:val="22"/>
        </w:rPr>
        <w:t xml:space="preserve">Slides 1 to 5: introduction, context and the problem  ·  about 4 minutes</w:t>
      </w:r>
    </w:p>
    <w:p>
      <w:pPr>
        <w:keepNext/>
        <w:spacing w:after="40" w:before="80" w:line="300" w:lineRule="auto"/>
      </w:pPr>
      <w:r>
        <w:rPr>
          <w:rFonts w:ascii="Arial" w:cs="Arial" w:eastAsia="Arial" w:hAnsi="Arial"/>
          <w:b/>
          <w:bCs/>
          <w:sz w:val="22"/>
          <w:szCs w:val="22"/>
        </w:rPr>
        <w:t xml:space="preserve">Slide 1: Title</w:t>
      </w:r>
    </w:p>
    <w:p>
      <w:pPr>
        <w:keepNext w:val="false"/>
        <w:spacing w:after="120" w:before="0" w:line="300" w:lineRule="auto"/>
        <w:jc w:val="left"/>
      </w:pPr>
      <w:r>
        <w:rPr>
          <w:rFonts w:ascii="Arial" w:cs="Arial" w:eastAsia="Arial" w:hAnsi="Arial"/>
          <w:sz w:val="22"/>
          <w:szCs w:val="22"/>
        </w:rPr>
        <w:t xml:space="preserve">Good day, everyone. We are a group from the University of Lusaka, studying BIT 301. I am Chimwemwe Siyingwa, and with me are [Speaker 2 name] and [Speaker 3 name], together with the rest of our group. Our project is called FundPath. It is a platform that helps people apply for a Constituency Development Fund loan and plan how they will repay it. We will start with why this matters.</w:t>
      </w:r>
    </w:p>
    <w:p>
      <w:pPr>
        <w:keepNext/>
        <w:spacing w:after="40" w:before="80" w:line="300" w:lineRule="auto"/>
      </w:pPr>
      <w:r>
        <w:rPr>
          <w:rFonts w:ascii="Arial" w:cs="Arial" w:eastAsia="Arial" w:hAnsi="Arial"/>
          <w:b/>
          <w:bCs/>
          <w:sz w:val="22"/>
          <w:szCs w:val="22"/>
        </w:rPr>
        <w:t xml:space="preserve">Slide 2: CDF in numbers</w:t>
      </w:r>
    </w:p>
    <w:p>
      <w:pPr>
        <w:keepNext w:val="false"/>
        <w:spacing w:after="120" w:before="0" w:line="300" w:lineRule="auto"/>
        <w:jc w:val="left"/>
      </w:pPr>
      <w:r>
        <w:rPr>
          <w:rFonts w:ascii="Arial" w:cs="Arial" w:eastAsia="Arial" w:hAnsi="Arial"/>
          <w:sz w:val="22"/>
          <w:szCs w:val="22"/>
        </w:rPr>
        <w:t xml:space="preserve">The Constituency Development Fund, or CDF, is government money shared among every constituency in Zambia. In 2021 each constituency received K1.6 million. In 2026 each receives K40 million. That is 25 times more in five years. With 156 constituencies, the national total is about K6.24 billion this year. More money means more is at stake in how well it is used.</w:t>
      </w:r>
    </w:p>
    <w:p>
      <w:pPr>
        <w:keepNext/>
        <w:spacing w:after="40" w:before="80" w:line="300" w:lineRule="auto"/>
      </w:pPr>
      <w:r>
        <w:rPr>
          <w:rFonts w:ascii="Arial" w:cs="Arial" w:eastAsia="Arial" w:hAnsi="Arial"/>
          <w:b/>
          <w:bCs/>
          <w:sz w:val="22"/>
          <w:szCs w:val="22"/>
        </w:rPr>
        <w:t xml:space="preserve">Slide 3: Where the money goes</w:t>
      </w:r>
    </w:p>
    <w:p>
      <w:pPr>
        <w:keepNext w:val="false"/>
        <w:spacing w:after="120" w:before="0" w:line="300" w:lineRule="auto"/>
        <w:jc w:val="left"/>
      </w:pPr>
      <w:r>
        <w:rPr>
          <w:rFonts w:ascii="Arial" w:cs="Arial" w:eastAsia="Arial" w:hAnsi="Arial"/>
          <w:sz w:val="22"/>
          <w:szCs w:val="22"/>
        </w:rPr>
        <w:t xml:space="preserve">Here is how the money was used in 2025, as reported by the Ministry. K5.26 billion was released, which is 94 percent of what was approved, and 86 percent had been used by December. Most of it went to community projects, about K2.9 billion. Loans were K421 million for 6,694 borrowers, about 8 percent of the money released. Loans are small in value, but they are the only part meant to come back and be lent again.</w:t>
      </w:r>
    </w:p>
    <w:p>
      <w:pPr>
        <w:keepNext/>
        <w:spacing w:after="40" w:before="80" w:line="300" w:lineRule="auto"/>
      </w:pPr>
      <w:r>
        <w:rPr>
          <w:rFonts w:ascii="Arial" w:cs="Arial" w:eastAsia="Arial" w:hAnsi="Arial"/>
          <w:b/>
          <w:bCs/>
          <w:sz w:val="22"/>
          <w:szCs w:val="22"/>
        </w:rPr>
        <w:t xml:space="preserve">Slide 4: How the loan pool works</w:t>
      </w:r>
    </w:p>
    <w:p>
      <w:pPr>
        <w:keepNext w:val="false"/>
        <w:spacing w:after="120" w:before="0" w:line="300" w:lineRule="auto"/>
        <w:jc w:val="left"/>
      </w:pPr>
      <w:r>
        <w:rPr>
          <w:rFonts w:ascii="Arial" w:cs="Arial" w:eastAsia="Arial" w:hAnsi="Arial"/>
          <w:sz w:val="22"/>
          <w:szCs w:val="22"/>
        </w:rPr>
        <w:t xml:space="preserve">This pyramid shows one constituency. It receives K40 million a year. Around 20 percent of that, about K8 million, is for empowerment of youth, women and community groups. Reported estimates say about 60 percent of that, roughly K4.8 million, is given as loans. The CDF Act of 2024 requires each constituency to keep a revolving loan account. A revolving fund only works if repayments come back.</w:t>
      </w:r>
    </w:p>
    <w:p>
      <w:pPr>
        <w:keepNext/>
        <w:spacing w:after="40" w:before="80" w:line="300" w:lineRule="auto"/>
      </w:pPr>
      <w:r>
        <w:rPr>
          <w:rFonts w:ascii="Arial" w:cs="Arial" w:eastAsia="Arial" w:hAnsi="Arial"/>
          <w:b/>
          <w:bCs/>
          <w:sz w:val="22"/>
          <w:szCs w:val="22"/>
        </w:rPr>
        <w:t xml:space="preserve">Slide 5: The problem: the gap between borrowing and repayment</w:t>
      </w:r>
    </w:p>
    <w:p>
      <w:pPr>
        <w:keepNext w:val="false"/>
        <w:spacing w:after="120" w:before="0" w:line="300" w:lineRule="auto"/>
        <w:jc w:val="left"/>
      </w:pPr>
      <w:r>
        <w:rPr>
          <w:rFonts w:ascii="Arial" w:cs="Arial" w:eastAsia="Arial" w:hAnsi="Arial"/>
          <w:sz w:val="22"/>
          <w:szCs w:val="22"/>
        </w:rPr>
        <w:t xml:space="preserve">This is our problem statement. According to the Ministry in September 2026, only K35 of every K100 lent since 2021 has been repaid. Because of this, the 2026 loan component was suspended, and new loans now depend on recoveries. Earlier in the year, in January, the Ministry cited about 9 percent, so even the official numbers differ between briefings. That is part of the problem: there is no single trusted number. As the Minister said, a loan is a loan and must be paid back. That gap between borrowing and repayment is what FundPath is built for. I will now hand over to [Speaker 2 name], who will explain how it works.</w:t>
      </w:r>
    </w:p>
    <w:p>
      <w:pPr>
        <w:keepNext w:val="false"/>
        <w:spacing w:after="160" w:before="0" w:line="300" w:lineRule="auto"/>
      </w:pPr>
      <w:r>
        <w:rPr>
          <w:rFonts w:ascii="Arial" w:cs="Arial" w:eastAsia="Arial" w:hAnsi="Arial"/>
          <w:i/>
          <w:iCs/>
          <w:color w:val="8C2B2B"/>
          <w:sz w:val="22"/>
          <w:szCs w:val="22"/>
        </w:rPr>
        <w:t xml:space="preserve">[Hand-over to Speaker 2]</w:t>
      </w:r>
    </w:p>
    <w:p>
      <w:pPr>
        <w:keepNext/>
        <w:pBdr>
          <w:bottom w:val="single" w:color="8C2B2B" w:sz="6" w:space="2"/>
        </w:pBdr>
        <w:spacing w:after="40" w:before="260"/>
      </w:pPr>
      <w:r>
        <w:rPr>
          <w:rFonts w:ascii="Arial" w:cs="Arial" w:eastAsia="Arial" w:hAnsi="Arial"/>
          <w:b/>
          <w:bCs/>
          <w:color w:val="8C2B2B"/>
          <w:sz w:val="28"/>
          <w:szCs w:val="28"/>
        </w:rPr>
        <w:t xml:space="preserve">Speaker 2: [name]</w:t>
      </w:r>
    </w:p>
    <w:p>
      <w:pPr>
        <w:keepNext/>
        <w:spacing w:after="160" w:before="0" w:line="300" w:lineRule="auto"/>
      </w:pPr>
      <w:r>
        <w:rPr>
          <w:rFonts w:ascii="Arial" w:cs="Arial" w:eastAsia="Arial" w:hAnsi="Arial"/>
          <w:i/>
          <w:iCs/>
          <w:color w:val="55655C"/>
          <w:sz w:val="22"/>
          <w:szCs w:val="22"/>
        </w:rPr>
        <w:t xml:space="preserve">Slides 6 to 9: the process, the solution, scoring and architecture  ·  about 4 minutes</w:t>
      </w:r>
    </w:p>
    <w:p>
      <w:pPr>
        <w:keepNext/>
        <w:spacing w:after="40" w:before="80" w:line="300" w:lineRule="auto"/>
      </w:pPr>
      <w:r>
        <w:rPr>
          <w:rFonts w:ascii="Arial" w:cs="Arial" w:eastAsia="Arial" w:hAnsi="Arial"/>
          <w:b/>
          <w:bCs/>
          <w:sz w:val="22"/>
          <w:szCs w:val="22"/>
        </w:rPr>
        <w:t xml:space="preserve">Slide 6: The CDF loan route today</w:t>
      </w:r>
    </w:p>
    <w:p>
      <w:pPr>
        <w:keepNext w:val="false"/>
        <w:spacing w:after="120" w:before="0" w:line="300" w:lineRule="auto"/>
        <w:jc w:val="left"/>
      </w:pPr>
      <w:r>
        <w:rPr>
          <w:rFonts w:ascii="Arial" w:cs="Arial" w:eastAsia="Arial" w:hAnsi="Arial"/>
          <w:sz w:val="22"/>
          <w:szCs w:val="22"/>
        </w:rPr>
        <w:t xml:space="preserve">Thank you. First, how does someone get a CDF loan today? The council opens an application window. The applicant collects a form from the council or Ward Development Committee, writes a proposal, and the committee screens and appraises it. The council then approves and disburses. That is six steps, and none of them is about repayment. FundPath adds a seventh stage: repay and recover. To be clear, FundPath does not lend. The council and the CDF Committee decide and disburse. We help the applicant apply well and plan repayment if a loan is granted.</w:t>
      </w:r>
    </w:p>
    <w:p>
      <w:pPr>
        <w:keepNext/>
        <w:spacing w:after="40" w:before="80" w:line="300" w:lineRule="auto"/>
      </w:pPr>
      <w:r>
        <w:rPr>
          <w:rFonts w:ascii="Arial" w:cs="Arial" w:eastAsia="Arial" w:hAnsi="Arial"/>
          <w:b/>
          <w:bCs/>
          <w:sz w:val="22"/>
          <w:szCs w:val="22"/>
        </w:rPr>
        <w:t xml:space="preserve">Slide 7: The FundPath solution</w:t>
      </w:r>
    </w:p>
    <w:p>
      <w:pPr>
        <w:keepNext w:val="false"/>
        <w:spacing w:after="120" w:before="0" w:line="300" w:lineRule="auto"/>
        <w:jc w:val="left"/>
      </w:pPr>
      <w:r>
        <w:rPr>
          <w:rFonts w:ascii="Arial" w:cs="Arial" w:eastAsia="Arial" w:hAnsi="Arial"/>
          <w:sz w:val="22"/>
          <w:szCs w:val="22"/>
        </w:rPr>
        <w:t xml:space="preserve">FundPath has five stages for the applicant. Discover: browse CDF opportunities by constituency and sector. Plan and score: enter your cash flows and get a feasibility score from 0 to 100. Get advice: book a verified advisor. Apply: submit once and follow each review stage live. Repay: see your schedule, balance and reminders. Underneath is an administrator layer, where the council side has a dashboard, a review queue, advisor verification and opportunity management.</w:t>
      </w:r>
    </w:p>
    <w:p>
      <w:pPr>
        <w:keepNext/>
        <w:spacing w:after="40" w:before="80" w:line="300" w:lineRule="auto"/>
      </w:pPr>
      <w:r>
        <w:rPr>
          <w:rFonts w:ascii="Arial" w:cs="Arial" w:eastAsia="Arial" w:hAnsi="Arial"/>
          <w:b/>
          <w:bCs/>
          <w:sz w:val="22"/>
          <w:szCs w:val="22"/>
        </w:rPr>
        <w:t xml:space="preserve">Slide 8: The feasibility score</w:t>
      </w:r>
    </w:p>
    <w:p>
      <w:pPr>
        <w:keepNext w:val="false"/>
        <w:spacing w:after="120" w:before="0" w:line="300" w:lineRule="auto"/>
        <w:jc w:val="left"/>
      </w:pPr>
      <w:r>
        <w:rPr>
          <w:rFonts w:ascii="Arial" w:cs="Arial" w:eastAsia="Arial" w:hAnsi="Arial"/>
          <w:sz w:val="22"/>
          <w:szCs w:val="22"/>
        </w:rPr>
        <w:t xml:space="preserve">The score has three parts. Forty percent is the cost-to-revenue ratio, forty percent compares the amount requested against the available pool, and twenty percent is how complete the application is. A score of 70 or more is High and can be fast-tracked to the committee. Between 45 and 69 is Medium, and the applicant is advised to revise. Below 45 is Low and is routed to advisory help. The rules are fixed, so every score can be explained. The weights are our own design, not official CDF policy, and the council always makes the final decision.</w:t>
      </w:r>
    </w:p>
    <w:p>
      <w:pPr>
        <w:keepNext/>
        <w:spacing w:after="40" w:before="80" w:line="300" w:lineRule="auto"/>
      </w:pPr>
      <w:r>
        <w:rPr>
          <w:rFonts w:ascii="Arial" w:cs="Arial" w:eastAsia="Arial" w:hAnsi="Arial"/>
          <w:b/>
          <w:bCs/>
          <w:sz w:val="22"/>
          <w:szCs w:val="22"/>
        </w:rPr>
        <w:t xml:space="preserve">Slide 9: System architecture</w:t>
      </w:r>
    </w:p>
    <w:p>
      <w:pPr>
        <w:keepNext w:val="false"/>
        <w:spacing w:after="120" w:before="0" w:line="300" w:lineRule="auto"/>
        <w:jc w:val="left"/>
      </w:pPr>
      <w:r>
        <w:rPr>
          <w:rFonts w:ascii="Arial" w:cs="Arial" w:eastAsia="Arial" w:hAnsi="Arial"/>
          <w:sz w:val="22"/>
          <w:szCs w:val="22"/>
        </w:rPr>
        <w:t xml:space="preserve">On the technical side, there are three tiers. The client is a React web application. The API is built with Node and Express and has 14 route modules. The data is stored in PostgreSQL on Neon, accessed through Prisma. Every request passes through the same chain: CORS, rate limiting, JWT authentication, a role check and input validation. This means the rules are enforced once on the server. The system is deployed on Render. Next, [Speaker 3 name] will explain the value of this to the business and to society.</w:t>
      </w:r>
    </w:p>
    <w:p>
      <w:pPr>
        <w:keepNext w:val="false"/>
        <w:spacing w:after="160" w:before="0" w:line="300" w:lineRule="auto"/>
      </w:pPr>
      <w:r>
        <w:rPr>
          <w:rFonts w:ascii="Arial" w:cs="Arial" w:eastAsia="Arial" w:hAnsi="Arial"/>
          <w:i/>
          <w:iCs/>
          <w:color w:val="8C2B2B"/>
          <w:sz w:val="22"/>
          <w:szCs w:val="22"/>
        </w:rPr>
        <w:t xml:space="preserve">[Hand-over to Speaker 3]</w:t>
      </w:r>
    </w:p>
    <w:p>
      <w:pPr>
        <w:keepNext/>
        <w:pBdr>
          <w:bottom w:val="single" w:color="8C2B2B" w:sz="6" w:space="2"/>
        </w:pBdr>
        <w:spacing w:after="40" w:before="260"/>
      </w:pPr>
      <w:r>
        <w:rPr>
          <w:rFonts w:ascii="Arial" w:cs="Arial" w:eastAsia="Arial" w:hAnsi="Arial"/>
          <w:b/>
          <w:bCs/>
          <w:color w:val="8C2B2B"/>
          <w:sz w:val="28"/>
          <w:szCs w:val="28"/>
        </w:rPr>
        <w:t xml:space="preserve">Speaker 3: [name]</w:t>
      </w:r>
    </w:p>
    <w:p>
      <w:pPr>
        <w:keepNext/>
        <w:spacing w:after="160" w:before="0" w:line="300" w:lineRule="auto"/>
      </w:pPr>
      <w:r>
        <w:rPr>
          <w:rFonts w:ascii="Arial" w:cs="Arial" w:eastAsia="Arial" w:hAnsi="Arial"/>
          <w:i/>
          <w:iCs/>
          <w:color w:val="55655C"/>
          <w:sz w:val="22"/>
          <w:szCs w:val="22"/>
        </w:rPr>
        <w:t xml:space="preserve">Slides 10 to 13: business value, society, prototype coverage and conclusion  ·  about 4 minutes</w:t>
      </w:r>
    </w:p>
    <w:p>
      <w:pPr>
        <w:keepNext/>
        <w:spacing w:after="40" w:before="80" w:line="300" w:lineRule="auto"/>
      </w:pPr>
      <w:r>
        <w:rPr>
          <w:rFonts w:ascii="Arial" w:cs="Arial" w:eastAsia="Arial" w:hAnsi="Arial"/>
          <w:b/>
          <w:bCs/>
          <w:sz w:val="22"/>
          <w:szCs w:val="22"/>
        </w:rPr>
        <w:t xml:space="preserve">Slide 10: Business value</w:t>
      </w:r>
    </w:p>
    <w:p>
      <w:pPr>
        <w:keepNext w:val="false"/>
        <w:spacing w:after="120" w:before="0" w:line="300" w:lineRule="auto"/>
        <w:jc w:val="left"/>
      </w:pPr>
      <w:r>
        <w:rPr>
          <w:rFonts w:ascii="Arial" w:cs="Arial" w:eastAsia="Arial" w:hAnsi="Arial"/>
          <w:sz w:val="22"/>
          <w:szCs w:val="22"/>
        </w:rPr>
        <w:t xml:space="preserve">Thank you. The business value of FundPath is better recovery. Using the Ministry's 2025 figure of K421 million in loans approved, each 10-point improvement in recovery would return about K42 million to the revolving pool. This is simple arithmetic, not a forecast. Applicants get a clear route and a stronger plan. Advisors earn from paid sessions. Administrators get one live view of backlog, disbursed, repaid and outstanding. And the fund keeps money available to lend again. The realistic customers are councils, the Ministry or donors, not individual borrowers. We would start with a pilot in one constituency, offering support as a service first and the platform as a subscription later.</w:t>
      </w:r>
    </w:p>
    <w:p>
      <w:pPr>
        <w:keepNext/>
        <w:spacing w:after="40" w:before="80" w:line="300" w:lineRule="auto"/>
      </w:pPr>
      <w:r>
        <w:rPr>
          <w:rFonts w:ascii="Arial" w:cs="Arial" w:eastAsia="Arial" w:hAnsi="Arial"/>
          <w:b/>
          <w:bCs/>
          <w:sz w:val="22"/>
          <w:szCs w:val="22"/>
        </w:rPr>
        <w:t xml:space="preserve">Slide 11: Help to society</w:t>
      </w:r>
    </w:p>
    <w:p>
      <w:pPr>
        <w:keepNext w:val="false"/>
        <w:spacing w:after="120" w:before="0" w:line="300" w:lineRule="auto"/>
        <w:jc w:val="left"/>
      </w:pPr>
      <w:r>
        <w:rPr>
          <w:rFonts w:ascii="Arial" w:cs="Arial" w:eastAsia="Arial" w:hAnsi="Arial"/>
          <w:sz w:val="22"/>
          <w:szCs w:val="22"/>
        </w:rPr>
        <w:t xml:space="preserve">Here is the benefit to society. The Ministry reports that 27,048 groups have received empowerment grants, compared with 3,063 enterprises that received loans, about nine to one. Women and youth are among the main users. Grants do not come back, but loans do. So the more reliably loans are repaid, the more people can borrow in future. FundPath supports wider access for first-time borrowers, advice on skills, and visibility of every decision and repayment.</w:t>
      </w:r>
    </w:p>
    <w:p>
      <w:pPr>
        <w:keepNext/>
        <w:spacing w:after="40" w:before="80" w:line="300" w:lineRule="auto"/>
      </w:pPr>
      <w:r>
        <w:rPr>
          <w:rFonts w:ascii="Arial" w:cs="Arial" w:eastAsia="Arial" w:hAnsi="Arial"/>
          <w:b/>
          <w:bCs/>
          <w:sz w:val="22"/>
          <w:szCs w:val="22"/>
        </w:rPr>
        <w:t xml:space="preserve">Slide 12: Prototype coverage</w:t>
      </w:r>
    </w:p>
    <w:p>
      <w:pPr>
        <w:keepNext w:val="false"/>
        <w:spacing w:after="120" w:before="0" w:line="300" w:lineRule="auto"/>
        <w:jc w:val="left"/>
      </w:pPr>
      <w:r>
        <w:rPr>
          <w:rFonts w:ascii="Arial" w:cs="Arial" w:eastAsia="Arial" w:hAnsi="Arial"/>
          <w:sz w:val="22"/>
          <w:szCs w:val="22"/>
        </w:rPr>
        <w:t xml:space="preserve">This map shows the eight constituencies in our prototype: Kitwe, Ndola, Kabwe, Lusaka, Livingstone, Mongu, Chipata and Choma. Each receives K40 million in 2026, so these eight together receive K320 million. We want to be honest: the applications in the prototype are demo data. We have no real borrower records.</w:t>
      </w:r>
    </w:p>
    <w:p>
      <w:pPr>
        <w:keepNext/>
        <w:spacing w:after="40" w:before="80" w:line="300" w:lineRule="auto"/>
      </w:pPr>
      <w:r>
        <w:rPr>
          <w:rFonts w:ascii="Arial" w:cs="Arial" w:eastAsia="Arial" w:hAnsi="Arial"/>
          <w:b/>
          <w:bCs/>
          <w:sz w:val="22"/>
          <w:szCs w:val="22"/>
        </w:rPr>
        <w:t xml:space="preserve">Slide 13: Conclusion</w:t>
      </w:r>
    </w:p>
    <w:p>
      <w:pPr>
        <w:keepNext w:val="false"/>
        <w:spacing w:after="120" w:before="0" w:line="300" w:lineRule="auto"/>
        <w:jc w:val="left"/>
      </w:pPr>
      <w:r>
        <w:rPr>
          <w:rFonts w:ascii="Arial" w:cs="Arial" w:eastAsia="Arial" w:hAnsi="Arial"/>
          <w:sz w:val="22"/>
          <w:szCs w:val="22"/>
        </w:rPr>
        <w:t xml:space="preserve">To conclude. CDF now puts K40 million into each of 156 constituencies. Only 35 percent of loans made since 2021 has been repaid. FundPath helps applicants apply well, plan repayment, and gives the council one clear view. Our next steps are a pilot with one council, and carefully added AI helpers, such as a business-plan coach and early repayment alerts, always with people making the lending decision. Thank you for listening. We are happy to take questions.</w:t>
      </w:r>
    </w:p>
    <w:p>
      <w:pPr>
        <w:keepNext/>
        <w:pageBreakBefore/>
        <w:pBdr>
          <w:bottom w:val="single" w:color="8C2B2B" w:sz="6" w:space="2"/>
        </w:pBdr>
        <w:spacing w:after="80"/>
      </w:pPr>
      <w:r>
        <w:rPr>
          <w:rFonts w:ascii="Arial" w:cs="Arial" w:eastAsia="Arial" w:hAnsi="Arial"/>
          <w:b/>
          <w:bCs/>
          <w:color w:val="8C2B2B"/>
          <w:sz w:val="28"/>
          <w:szCs w:val="28"/>
        </w:rPr>
        <w:t xml:space="preserve">Questions you may be asked</w:t>
      </w:r>
    </w:p>
    <w:p>
      <w:pPr>
        <w:keepNext/>
        <w:spacing w:after="30" w:before="100" w:line="300" w:lineRule="auto"/>
      </w:pPr>
      <w:r>
        <w:rPr>
          <w:rFonts w:ascii="Arial" w:cs="Arial" w:eastAsia="Arial" w:hAnsi="Arial"/>
          <w:b/>
          <w:bCs/>
          <w:sz w:val="22"/>
          <w:szCs w:val="22"/>
        </w:rPr>
        <w:t xml:space="preserve">Is FundPath the lender?</w:t>
      </w:r>
    </w:p>
    <w:p>
      <w:pPr>
        <w:keepNext w:val="false"/>
        <w:spacing w:after="120" w:before="0" w:line="300" w:lineRule="auto"/>
      </w:pPr>
      <w:r>
        <w:rPr>
          <w:rFonts w:ascii="Arial" w:cs="Arial" w:eastAsia="Arial" w:hAnsi="Arial"/>
          <w:sz w:val="22"/>
          <w:szCs w:val="22"/>
        </w:rPr>
        <w:t xml:space="preserve">No. The council and the CDF Committee decide and disburse. FundPath helps applicants apply well and plan repayment, and gives the council a clear view.</w:t>
      </w:r>
    </w:p>
    <w:p>
      <w:pPr>
        <w:keepNext/>
        <w:spacing w:after="30" w:before="100" w:line="300" w:lineRule="auto"/>
      </w:pPr>
      <w:r>
        <w:rPr>
          <w:rFonts w:ascii="Arial" w:cs="Arial" w:eastAsia="Arial" w:hAnsi="Arial"/>
          <w:b/>
          <w:bCs/>
          <w:sz w:val="22"/>
          <w:szCs w:val="22"/>
        </w:rPr>
        <w:t xml:space="preserve">Why do the repayment figures differ (9% and 35%)?</w:t>
      </w:r>
    </w:p>
    <w:p>
      <w:pPr>
        <w:keepNext w:val="false"/>
        <w:spacing w:after="120" w:before="0" w:line="300" w:lineRule="auto"/>
      </w:pPr>
      <w:r>
        <w:rPr>
          <w:rFonts w:ascii="Arial" w:cs="Arial" w:eastAsia="Arial" w:hAnsi="Arial"/>
          <w:sz w:val="22"/>
          <w:szCs w:val="22"/>
        </w:rPr>
        <w:t xml:space="preserve">They come from different Ministry briefings, in January 2026 and September 2026. We use 35 percent as the latest figure and say plainly that official numbers differ. One shared, auditable record is part of what FundPath offers.</w:t>
      </w:r>
    </w:p>
    <w:p>
      <w:pPr>
        <w:keepNext/>
        <w:spacing w:after="30" w:before="100" w:line="300" w:lineRule="auto"/>
      </w:pPr>
      <w:r>
        <w:rPr>
          <w:rFonts w:ascii="Arial" w:cs="Arial" w:eastAsia="Arial" w:hAnsi="Arial"/>
          <w:b/>
          <w:bCs/>
          <w:sz w:val="22"/>
          <w:szCs w:val="22"/>
        </w:rPr>
        <w:t xml:space="preserve">Who pays for it?</w:t>
      </w:r>
    </w:p>
    <w:p>
      <w:pPr>
        <w:keepNext w:val="false"/>
        <w:spacing w:after="120" w:before="0" w:line="300" w:lineRule="auto"/>
      </w:pPr>
      <w:r>
        <w:rPr>
          <w:rFonts w:ascii="Arial" w:cs="Arial" w:eastAsia="Arial" w:hAnsi="Arial"/>
          <w:sz w:val="22"/>
          <w:szCs w:val="22"/>
        </w:rPr>
        <w:t xml:space="preserve">Not the borrowers, who have low incomes. The realistic payers are councils, the Ministry or donors, through a subscription or a share of improved recovery. Advisor commissions are secondary income.</w:t>
      </w:r>
    </w:p>
    <w:p>
      <w:pPr>
        <w:keepNext/>
        <w:spacing w:after="30" w:before="100" w:line="300" w:lineRule="auto"/>
      </w:pPr>
      <w:r>
        <w:rPr>
          <w:rFonts w:ascii="Arial" w:cs="Arial" w:eastAsia="Arial" w:hAnsi="Arial"/>
          <w:b/>
          <w:bCs/>
          <w:sz w:val="22"/>
          <w:szCs w:val="22"/>
        </w:rPr>
        <w:t xml:space="preserve">Is the feasibility score AI?</w:t>
      </w:r>
    </w:p>
    <w:p>
      <w:pPr>
        <w:keepNext w:val="false"/>
        <w:spacing w:after="120" w:before="0" w:line="300" w:lineRule="auto"/>
      </w:pPr>
      <w:r>
        <w:rPr>
          <w:rFonts w:ascii="Arial" w:cs="Arial" w:eastAsia="Arial" w:hAnsi="Arial"/>
          <w:sz w:val="22"/>
          <w:szCs w:val="22"/>
        </w:rPr>
        <w:t xml:space="preserve">No. It is a fixed set of rules, so it can be explained. The weights are our design, not official policy, and the council always decides.</w:t>
      </w:r>
    </w:p>
    <w:p>
      <w:pPr>
        <w:keepNext/>
        <w:spacing w:after="30" w:before="100" w:line="300" w:lineRule="auto"/>
      </w:pPr>
      <w:r>
        <w:rPr>
          <w:rFonts w:ascii="Arial" w:cs="Arial" w:eastAsia="Arial" w:hAnsi="Arial"/>
          <w:b/>
          <w:bCs/>
          <w:sz w:val="22"/>
          <w:szCs w:val="22"/>
        </w:rPr>
        <w:t xml:space="preserve">Is the data real?</w:t>
      </w:r>
    </w:p>
    <w:p>
      <w:pPr>
        <w:keepNext w:val="false"/>
        <w:spacing w:after="120" w:before="0" w:line="300" w:lineRule="auto"/>
      </w:pPr>
      <w:r>
        <w:rPr>
          <w:rFonts w:ascii="Arial" w:cs="Arial" w:eastAsia="Arial" w:hAnsi="Arial"/>
          <w:sz w:val="22"/>
          <w:szCs w:val="22"/>
        </w:rPr>
        <w:t xml:space="preserve">The funding figures come from Ministry and news reports. The applications and repayments in the prototype are demo data.</w:t>
      </w:r>
    </w:p>
    <w:p>
      <w:pPr>
        <w:keepNext/>
        <w:spacing w:after="30" w:before="100" w:line="300" w:lineRule="auto"/>
      </w:pPr>
      <w:r>
        <w:rPr>
          <w:rFonts w:ascii="Arial" w:cs="Arial" w:eastAsia="Arial" w:hAnsi="Arial"/>
          <w:b/>
          <w:bCs/>
          <w:sz w:val="22"/>
          <w:szCs w:val="22"/>
        </w:rPr>
        <w:t xml:space="preserve">What about AI in future?</w:t>
      </w:r>
    </w:p>
    <w:p>
      <w:pPr>
        <w:keepNext w:val="false"/>
        <w:spacing w:after="120" w:before="0" w:line="300" w:lineRule="auto"/>
      </w:pPr>
      <w:r>
        <w:rPr>
          <w:rFonts w:ascii="Arial" w:cs="Arial" w:eastAsia="Arial" w:hAnsi="Arial"/>
          <w:sz w:val="22"/>
          <w:szCs w:val="22"/>
        </w:rPr>
        <w:t xml:space="preserve">A business-plan coach, repayment alerts, and local-language help by SMS or WhatsApp, with people making every lending decision. We would only train prediction models once a pilot produces real data.</w:t>
      </w:r>
    </w:p>
    <w:sectPr>
      <w:footerReference w:type="default" r:id="rId7"/>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2026-10-30T08:08:38.301Z</dcterms:created>
  <dcterms:modified xsi:type="dcterms:W3CDTF">2026-10-30T08:08:38.308Z</dcterms:modified>
</cp:coreProperties>
</file>

<file path=docProps/custom.xml><?xml version="1.0" encoding="utf-8"?>
<Properties xmlns="http://schemas.openxmlformats.org/officeDocument/2006/custom-properties" xmlns:vt="http://schemas.openxmlformats.org/officeDocument/2006/docPropsVTypes"/>
</file>