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4D962" w14:textId="559158E7" w:rsidR="00643095" w:rsidRDefault="00910672">
      <w:r>
        <w:t>MicroTraining</w:t>
      </w:r>
    </w:p>
    <w:tbl>
      <w:tblPr>
        <w:tblStyle w:val="TableGrid"/>
        <w:tblW w:w="0" w:type="auto"/>
        <w:tblLook w:val="04A0" w:firstRow="1" w:lastRow="0" w:firstColumn="1" w:lastColumn="0" w:noHBand="0" w:noVBand="1"/>
      </w:tblPr>
      <w:tblGrid>
        <w:gridCol w:w="1165"/>
        <w:gridCol w:w="8185"/>
      </w:tblGrid>
      <w:tr w:rsidR="00910672" w14:paraId="08EBB51B" w14:textId="77777777" w:rsidTr="00910672">
        <w:tc>
          <w:tcPr>
            <w:tcW w:w="1165" w:type="dxa"/>
          </w:tcPr>
          <w:p w14:paraId="13878E26" w14:textId="40D00BDC" w:rsidR="00910672" w:rsidRPr="00910672" w:rsidRDefault="00910672">
            <w:pPr>
              <w:rPr>
                <w:b/>
                <w:bCs/>
              </w:rPr>
            </w:pPr>
            <w:r w:rsidRPr="00910672">
              <w:rPr>
                <w:b/>
                <w:bCs/>
              </w:rPr>
              <w:t>Slide #:</w:t>
            </w:r>
          </w:p>
        </w:tc>
        <w:tc>
          <w:tcPr>
            <w:tcW w:w="8185" w:type="dxa"/>
          </w:tcPr>
          <w:p w14:paraId="526507DE" w14:textId="730B8F61" w:rsidR="00910672" w:rsidRPr="00910672" w:rsidRDefault="00910672">
            <w:pPr>
              <w:rPr>
                <w:b/>
                <w:bCs/>
              </w:rPr>
            </w:pPr>
            <w:r w:rsidRPr="00910672">
              <w:rPr>
                <w:b/>
                <w:bCs/>
              </w:rPr>
              <w:t>Script:</w:t>
            </w:r>
          </w:p>
        </w:tc>
      </w:tr>
      <w:tr w:rsidR="00910672" w14:paraId="2C6CC279" w14:textId="77777777" w:rsidTr="00910672">
        <w:tc>
          <w:tcPr>
            <w:tcW w:w="1165" w:type="dxa"/>
          </w:tcPr>
          <w:p w14:paraId="558F7E09" w14:textId="615144A8" w:rsidR="00910672" w:rsidRDefault="00910672">
            <w:r>
              <w:t>1</w:t>
            </w:r>
          </w:p>
        </w:tc>
        <w:tc>
          <w:tcPr>
            <w:tcW w:w="8185" w:type="dxa"/>
          </w:tcPr>
          <w:p w14:paraId="7CE30611" w14:textId="4F953642" w:rsidR="00910672" w:rsidRDefault="00910672">
            <w:r w:rsidRPr="00910672">
              <w:rPr>
                <w:b/>
                <w:bCs/>
              </w:rPr>
              <w:t>Harmony</w:t>
            </w:r>
            <w:r>
              <w:t>: Kenny and Polly are coworkers at a social services agency. As Kenny heads to the mailroom, Polly notices something concerning…</w:t>
            </w:r>
          </w:p>
        </w:tc>
      </w:tr>
      <w:tr w:rsidR="00910672" w14:paraId="2253E749" w14:textId="77777777" w:rsidTr="00910672">
        <w:tc>
          <w:tcPr>
            <w:tcW w:w="1165" w:type="dxa"/>
          </w:tcPr>
          <w:p w14:paraId="636D5F04" w14:textId="2A4F5047" w:rsidR="00910672" w:rsidRDefault="00910672">
            <w:r>
              <w:t>2</w:t>
            </w:r>
          </w:p>
        </w:tc>
        <w:tc>
          <w:tcPr>
            <w:tcW w:w="8185" w:type="dxa"/>
          </w:tcPr>
          <w:p w14:paraId="210DB7AE" w14:textId="23497858" w:rsidR="00910672" w:rsidRPr="00910672" w:rsidRDefault="00910672" w:rsidP="00910672">
            <w:r w:rsidRPr="00910672">
              <w:rPr>
                <w:b/>
                <w:bCs/>
              </w:rPr>
              <w:t>Kenny:</w:t>
            </w:r>
            <w:r>
              <w:rPr>
                <w:b/>
                <w:bCs/>
              </w:rPr>
              <w:t xml:space="preserve"> </w:t>
            </w:r>
            <w:r w:rsidRPr="00910672">
              <w:t>“Hey, I’m on my way to the mailroom – I’ve got to send out some file documents. Want to grab lunch after?”</w:t>
            </w:r>
          </w:p>
          <w:p w14:paraId="48729413" w14:textId="77777777" w:rsidR="00910672" w:rsidRDefault="00910672" w:rsidP="00910672">
            <w:pPr>
              <w:rPr>
                <w:b/>
                <w:bCs/>
              </w:rPr>
            </w:pPr>
          </w:p>
          <w:p w14:paraId="264C5013" w14:textId="27FF1A28" w:rsidR="00910672" w:rsidRPr="00910672" w:rsidRDefault="00910672" w:rsidP="00910672">
            <w:r w:rsidRPr="00910672">
              <w:rPr>
                <w:b/>
                <w:bCs/>
              </w:rPr>
              <w:t>Polly:</w:t>
            </w:r>
            <w:r>
              <w:rPr>
                <w:b/>
                <w:bCs/>
              </w:rPr>
              <w:t xml:space="preserve"> </w:t>
            </w:r>
            <w:r w:rsidRPr="00910672">
              <w:t>“What are you mailing?”</w:t>
            </w:r>
          </w:p>
          <w:p w14:paraId="5D9591CF" w14:textId="77777777" w:rsidR="00910672" w:rsidRDefault="00910672" w:rsidP="00910672">
            <w:pPr>
              <w:rPr>
                <w:b/>
                <w:bCs/>
              </w:rPr>
            </w:pPr>
          </w:p>
          <w:p w14:paraId="58A8B5C7" w14:textId="121B7E34" w:rsidR="00910672" w:rsidRPr="00910672" w:rsidRDefault="00910672" w:rsidP="00910672">
            <w:r w:rsidRPr="00910672">
              <w:rPr>
                <w:b/>
                <w:bCs/>
              </w:rPr>
              <w:t>Kenny:</w:t>
            </w:r>
            <w:r>
              <w:rPr>
                <w:b/>
                <w:bCs/>
              </w:rPr>
              <w:t xml:space="preserve"> </w:t>
            </w:r>
            <w:r w:rsidRPr="00910672">
              <w:t>“One of my consumers asked me to send some documents from their file to the Social Security office.”</w:t>
            </w:r>
          </w:p>
          <w:p w14:paraId="0388E88E" w14:textId="77777777" w:rsidR="00910672" w:rsidRDefault="00910672" w:rsidP="00910672">
            <w:pPr>
              <w:rPr>
                <w:b/>
                <w:bCs/>
              </w:rPr>
            </w:pPr>
          </w:p>
          <w:p w14:paraId="5B527B11" w14:textId="7355AFA5" w:rsidR="00910672" w:rsidRPr="00910672" w:rsidRDefault="00910672" w:rsidP="00910672">
            <w:r w:rsidRPr="00910672">
              <w:rPr>
                <w:b/>
                <w:bCs/>
              </w:rPr>
              <w:t>Polly:</w:t>
            </w:r>
            <w:r>
              <w:rPr>
                <w:b/>
                <w:bCs/>
              </w:rPr>
              <w:t xml:space="preserve"> </w:t>
            </w:r>
            <w:r w:rsidRPr="00910672">
              <w:t>“Wait... are you sure that’s okay?”</w:t>
            </w:r>
          </w:p>
          <w:p w14:paraId="729A3916" w14:textId="77777777" w:rsidR="00910672" w:rsidRDefault="00910672" w:rsidP="00910672">
            <w:pPr>
              <w:rPr>
                <w:b/>
                <w:bCs/>
              </w:rPr>
            </w:pPr>
          </w:p>
          <w:p w14:paraId="06482AF9" w14:textId="365770CF" w:rsidR="00910672" w:rsidRPr="00910672" w:rsidRDefault="00910672" w:rsidP="00910672">
            <w:r w:rsidRPr="00910672">
              <w:rPr>
                <w:b/>
                <w:bCs/>
              </w:rPr>
              <w:t>Kenny (laughing):</w:t>
            </w:r>
            <w:r>
              <w:rPr>
                <w:b/>
                <w:bCs/>
              </w:rPr>
              <w:t xml:space="preserve"> </w:t>
            </w:r>
            <w:r w:rsidRPr="00910672">
              <w:t>“Lunch is always okay!”</w:t>
            </w:r>
          </w:p>
          <w:p w14:paraId="460D5D31" w14:textId="77777777" w:rsidR="00910672" w:rsidRDefault="00910672" w:rsidP="00910672">
            <w:pPr>
              <w:rPr>
                <w:b/>
                <w:bCs/>
              </w:rPr>
            </w:pPr>
          </w:p>
          <w:p w14:paraId="19A5463C" w14:textId="325E11F3" w:rsidR="00910672" w:rsidRPr="00910672" w:rsidRDefault="00910672" w:rsidP="00910672">
            <w:r w:rsidRPr="00910672">
              <w:rPr>
                <w:b/>
                <w:bCs/>
              </w:rPr>
              <w:t>Polly:</w:t>
            </w:r>
            <w:r>
              <w:rPr>
                <w:b/>
                <w:bCs/>
              </w:rPr>
              <w:t xml:space="preserve"> </w:t>
            </w:r>
            <w:r w:rsidRPr="00910672">
              <w:t>“I mean the mailing. Are you sure it’s compliant with our agency’s privacy policies?”</w:t>
            </w:r>
          </w:p>
          <w:p w14:paraId="7713191D" w14:textId="77777777" w:rsidR="00910672" w:rsidRDefault="00910672" w:rsidP="00910672">
            <w:pPr>
              <w:rPr>
                <w:b/>
                <w:bCs/>
              </w:rPr>
            </w:pPr>
          </w:p>
          <w:p w14:paraId="748432FA" w14:textId="413925FF" w:rsidR="00910672" w:rsidRPr="00910672" w:rsidRDefault="00910672" w:rsidP="00910672">
            <w:r w:rsidRPr="00910672">
              <w:rPr>
                <w:b/>
                <w:bCs/>
              </w:rPr>
              <w:t>Kenny:</w:t>
            </w:r>
            <w:r>
              <w:rPr>
                <w:b/>
                <w:bCs/>
              </w:rPr>
              <w:t xml:space="preserve"> </w:t>
            </w:r>
            <w:r w:rsidRPr="00910672">
              <w:t>“I figured I’d just slide them in an envelope and send them off. No biggie.”</w:t>
            </w:r>
          </w:p>
          <w:p w14:paraId="75E30C18" w14:textId="77777777" w:rsidR="00910672" w:rsidRDefault="00910672"/>
        </w:tc>
      </w:tr>
      <w:tr w:rsidR="00910672" w14:paraId="1DB2C933" w14:textId="77777777" w:rsidTr="00910672">
        <w:tc>
          <w:tcPr>
            <w:tcW w:w="1165" w:type="dxa"/>
          </w:tcPr>
          <w:p w14:paraId="07DCAB06" w14:textId="48738898" w:rsidR="00910672" w:rsidRDefault="00910672">
            <w:r>
              <w:t>3</w:t>
            </w:r>
          </w:p>
        </w:tc>
        <w:tc>
          <w:tcPr>
            <w:tcW w:w="8185" w:type="dxa"/>
          </w:tcPr>
          <w:p w14:paraId="3799ADF1" w14:textId="6C370D3E" w:rsidR="00910672" w:rsidRDefault="00910672">
            <w:r w:rsidRPr="00910672">
              <w:rPr>
                <w:b/>
                <w:bCs/>
              </w:rPr>
              <w:t>Narrator (Harmony):</w:t>
            </w:r>
            <w:r>
              <w:rPr>
                <w:b/>
                <w:bCs/>
              </w:rPr>
              <w:t xml:space="preserve"> </w:t>
            </w:r>
            <w:r w:rsidRPr="00910672">
              <w:t>Polly knows that mailing consumer records isn’t as simple as putting a stamp on an envelope.</w:t>
            </w:r>
          </w:p>
        </w:tc>
      </w:tr>
      <w:tr w:rsidR="00784CC4" w14:paraId="02C9BEE7" w14:textId="77777777" w:rsidTr="00910672">
        <w:tc>
          <w:tcPr>
            <w:tcW w:w="1165" w:type="dxa"/>
          </w:tcPr>
          <w:p w14:paraId="09C867BB" w14:textId="77777777" w:rsidR="00784CC4" w:rsidRDefault="00784CC4"/>
        </w:tc>
        <w:tc>
          <w:tcPr>
            <w:tcW w:w="8185" w:type="dxa"/>
          </w:tcPr>
          <w:p w14:paraId="1F768A3E" w14:textId="77777777" w:rsidR="00784CC4" w:rsidRDefault="00784CC4" w:rsidP="00784CC4">
            <w:r w:rsidRPr="00910672">
              <w:rPr>
                <w:b/>
                <w:bCs/>
              </w:rPr>
              <w:t>Polly:</w:t>
            </w:r>
            <w:r>
              <w:rPr>
                <w:b/>
                <w:bCs/>
              </w:rPr>
              <w:t xml:space="preserve"> </w:t>
            </w:r>
            <w:r w:rsidRPr="00910672">
              <w:t>“Kenny, your stomach’s call for tacos might be loud, but mailing consumer records is louder in terms of compliance. Let’s double-check the Right to Access PHI under HIPAA before we accidentally turn lunch into a privacy incident.”</w:t>
            </w:r>
          </w:p>
          <w:p w14:paraId="684038A3" w14:textId="77777777" w:rsidR="00784CC4" w:rsidRPr="00910672" w:rsidRDefault="00784CC4">
            <w:pPr>
              <w:rPr>
                <w:b/>
                <w:bCs/>
              </w:rPr>
            </w:pPr>
          </w:p>
        </w:tc>
      </w:tr>
      <w:tr w:rsidR="00910672" w14:paraId="53475A29" w14:textId="77777777" w:rsidTr="00910672">
        <w:tc>
          <w:tcPr>
            <w:tcW w:w="1165" w:type="dxa"/>
          </w:tcPr>
          <w:p w14:paraId="6EDD6A6A" w14:textId="1703F26C" w:rsidR="00910672" w:rsidRDefault="00910672">
            <w:r>
              <w:t>4</w:t>
            </w:r>
          </w:p>
        </w:tc>
        <w:tc>
          <w:tcPr>
            <w:tcW w:w="8185" w:type="dxa"/>
          </w:tcPr>
          <w:p w14:paraId="279482B7" w14:textId="0D582FF0" w:rsidR="00910672" w:rsidRPr="00910672" w:rsidRDefault="00910672" w:rsidP="00910672">
            <w:r w:rsidRPr="00910672">
              <w:rPr>
                <w:b/>
                <w:bCs/>
              </w:rPr>
              <w:t>Polly:</w:t>
            </w:r>
            <w:r>
              <w:rPr>
                <w:b/>
                <w:bCs/>
              </w:rPr>
              <w:t xml:space="preserve"> </w:t>
            </w:r>
            <w:r w:rsidRPr="00910672">
              <w:t>“When mailing out records, we need to ensure we’ve made reasonable efforts to provide only the minimum amount of PHI necessary to accomplish the intended purpose.”</w:t>
            </w:r>
          </w:p>
          <w:p w14:paraId="593CA8BC" w14:textId="77777777" w:rsidR="00910672" w:rsidRDefault="00910672" w:rsidP="00910672">
            <w:pPr>
              <w:rPr>
                <w:b/>
                <w:bCs/>
              </w:rPr>
            </w:pPr>
          </w:p>
          <w:p w14:paraId="07677529" w14:textId="3FAD9016" w:rsidR="00910672" w:rsidRPr="00910672" w:rsidRDefault="00910672" w:rsidP="00910672">
            <w:r w:rsidRPr="00910672">
              <w:rPr>
                <w:b/>
                <w:bCs/>
              </w:rPr>
              <w:t>Kenny:</w:t>
            </w:r>
            <w:r>
              <w:rPr>
                <w:b/>
                <w:bCs/>
              </w:rPr>
              <w:t xml:space="preserve"> </w:t>
            </w:r>
            <w:r w:rsidRPr="00910672">
              <w:t>“I see. There’s a lot more to this than I thought.”</w:t>
            </w:r>
          </w:p>
          <w:p w14:paraId="68605B13" w14:textId="77777777" w:rsidR="00910672" w:rsidRDefault="00910672" w:rsidP="00910672">
            <w:pPr>
              <w:rPr>
                <w:b/>
                <w:bCs/>
              </w:rPr>
            </w:pPr>
          </w:p>
          <w:p w14:paraId="27064EBB" w14:textId="431930E3" w:rsidR="00910672" w:rsidRPr="00910672" w:rsidRDefault="00910672" w:rsidP="00910672">
            <w:r w:rsidRPr="00910672">
              <w:rPr>
                <w:b/>
                <w:bCs/>
              </w:rPr>
              <w:t>Polly:</w:t>
            </w:r>
            <w:r>
              <w:rPr>
                <w:b/>
                <w:bCs/>
              </w:rPr>
              <w:t xml:space="preserve"> </w:t>
            </w:r>
            <w:r w:rsidRPr="00910672">
              <w:t>“Your consumer has a right to access and obtain a copy of their PHI, and they can request it be sent to a third party like the Social Security Office. But it’s a process. Was the request made in writing? Were releases signed? And if needed, was it submitted to our Senior Compliance and Privacy Officer for review?”</w:t>
            </w:r>
          </w:p>
          <w:p w14:paraId="0915C352" w14:textId="77777777" w:rsidR="00910672" w:rsidRDefault="00910672" w:rsidP="00910672">
            <w:pPr>
              <w:rPr>
                <w:b/>
                <w:bCs/>
              </w:rPr>
            </w:pPr>
          </w:p>
          <w:p w14:paraId="3807358C" w14:textId="57A0D391" w:rsidR="00910672" w:rsidRPr="00910672" w:rsidRDefault="00910672" w:rsidP="00910672">
            <w:r w:rsidRPr="00910672">
              <w:rPr>
                <w:b/>
                <w:bCs/>
              </w:rPr>
              <w:lastRenderedPageBreak/>
              <w:t>Kenny:</w:t>
            </w:r>
            <w:r>
              <w:rPr>
                <w:b/>
                <w:bCs/>
              </w:rPr>
              <w:t xml:space="preserve"> </w:t>
            </w:r>
            <w:r w:rsidRPr="00910672">
              <w:t>“Wow, that one almost slipped through the cracks. Thanks, Polly. This is a good reminder of how important it is to know our agency’s policies—for the safety of the consumer and ourselves.”</w:t>
            </w:r>
          </w:p>
          <w:p w14:paraId="0E648C40" w14:textId="77777777" w:rsidR="00910672" w:rsidRDefault="00910672" w:rsidP="00910672">
            <w:pPr>
              <w:rPr>
                <w:b/>
                <w:bCs/>
              </w:rPr>
            </w:pPr>
          </w:p>
          <w:p w14:paraId="079E1EFE" w14:textId="3D85BF80" w:rsidR="00910672" w:rsidRPr="00910672" w:rsidRDefault="00910672" w:rsidP="00910672">
            <w:r w:rsidRPr="00910672">
              <w:rPr>
                <w:b/>
                <w:bCs/>
              </w:rPr>
              <w:t>Kenny:</w:t>
            </w:r>
            <w:r>
              <w:rPr>
                <w:b/>
                <w:bCs/>
              </w:rPr>
              <w:t xml:space="preserve"> </w:t>
            </w:r>
            <w:r w:rsidRPr="00910672">
              <w:t>“I’ll take the appropriate steps right after lunch.”</w:t>
            </w:r>
          </w:p>
          <w:p w14:paraId="3F4849E3" w14:textId="77777777" w:rsidR="00910672" w:rsidRDefault="00910672"/>
        </w:tc>
      </w:tr>
      <w:tr w:rsidR="00910672" w14:paraId="2B12E376" w14:textId="77777777" w:rsidTr="00910672">
        <w:tc>
          <w:tcPr>
            <w:tcW w:w="1165" w:type="dxa"/>
          </w:tcPr>
          <w:p w14:paraId="735AC8C8" w14:textId="4F107322" w:rsidR="00910672" w:rsidRDefault="00910672">
            <w:r>
              <w:lastRenderedPageBreak/>
              <w:t>5</w:t>
            </w:r>
          </w:p>
        </w:tc>
        <w:tc>
          <w:tcPr>
            <w:tcW w:w="8185" w:type="dxa"/>
          </w:tcPr>
          <w:p w14:paraId="544543CE" w14:textId="77777777" w:rsidR="00910672" w:rsidRDefault="00910672">
            <w:pPr>
              <w:rPr>
                <w:b/>
                <w:bCs/>
              </w:rPr>
            </w:pPr>
            <w:r w:rsidRPr="00910672">
              <w:rPr>
                <w:b/>
                <w:bCs/>
              </w:rPr>
              <w:t>Narrator (Harmony):</w:t>
            </w:r>
            <w:r>
              <w:rPr>
                <w:b/>
                <w:bCs/>
              </w:rPr>
              <w:t xml:space="preserve"> </w:t>
            </w:r>
          </w:p>
          <w:p w14:paraId="41EC091D" w14:textId="77777777" w:rsidR="00910672" w:rsidRDefault="00910672">
            <w:pPr>
              <w:rPr>
                <w:b/>
                <w:bCs/>
              </w:rPr>
            </w:pPr>
          </w:p>
          <w:p w14:paraId="58DCE532" w14:textId="0FBFD18F" w:rsidR="00904B62" w:rsidRDefault="00784CC4" w:rsidP="00904B62">
            <w:r>
              <w:t>Let’s do a quick knowl</w:t>
            </w:r>
            <w:r w:rsidR="00A90FB4">
              <w:t>edge check</w:t>
            </w:r>
            <w:r w:rsidR="00437EDA">
              <w:t xml:space="preserve">. On </w:t>
            </w:r>
            <w:r w:rsidR="00904B62">
              <w:t>the next slide</w:t>
            </w:r>
            <w:r w:rsidR="00437EDA">
              <w:t>, there are four statements inside the green shapes. Drag each shape to the box labeled true or false based upon your judgement. Once all shapes are placed, click the submit button to continue.</w:t>
            </w:r>
          </w:p>
          <w:p w14:paraId="7CD5A474" w14:textId="5E699E70" w:rsidR="00904B62" w:rsidRPr="00904B62" w:rsidRDefault="00904B62" w:rsidP="00904B62"/>
        </w:tc>
      </w:tr>
      <w:tr w:rsidR="00904B62" w14:paraId="0E2A19E5" w14:textId="77777777" w:rsidTr="00910672">
        <w:tc>
          <w:tcPr>
            <w:tcW w:w="1165" w:type="dxa"/>
          </w:tcPr>
          <w:p w14:paraId="0E9D3707" w14:textId="77777777" w:rsidR="00904B62" w:rsidRDefault="00904B62"/>
        </w:tc>
        <w:tc>
          <w:tcPr>
            <w:tcW w:w="8185" w:type="dxa"/>
          </w:tcPr>
          <w:p w14:paraId="0F639DEE" w14:textId="77777777" w:rsidR="00904B62" w:rsidRPr="00A05D96" w:rsidRDefault="00904B62" w:rsidP="00904B62">
            <w:pPr>
              <w:numPr>
                <w:ilvl w:val="0"/>
                <w:numId w:val="1"/>
              </w:numPr>
              <w:shd w:val="clear" w:color="auto" w:fill="FFFFFF"/>
              <w:spacing w:before="100" w:beforeAutospacing="1" w:after="100" w:afterAutospacing="1"/>
              <w:rPr>
                <w:rFonts w:ascii="Roboto" w:eastAsia="Times New Roman" w:hAnsi="Roboto" w:cs="Times New Roman"/>
                <w:spacing w:val="2"/>
                <w:kern w:val="0"/>
                <w:szCs w:val="24"/>
                <w14:ligatures w14:val="none"/>
              </w:rPr>
            </w:pPr>
            <w:r w:rsidRPr="00A05D96">
              <w:rPr>
                <w:rFonts w:ascii="Roboto" w:eastAsia="Times New Roman" w:hAnsi="Roboto" w:cs="Times New Roman"/>
                <w:spacing w:val="2"/>
                <w:kern w:val="0"/>
                <w:szCs w:val="24"/>
                <w14:ligatures w14:val="none"/>
              </w:rPr>
              <w:t>True or False: You should obtain a request and signed releases before mailing a consumer’s records.</w:t>
            </w:r>
          </w:p>
          <w:p w14:paraId="7BAE7B04" w14:textId="77777777" w:rsidR="00904B62" w:rsidRPr="00A05D96" w:rsidRDefault="00904B62" w:rsidP="00904B62">
            <w:pPr>
              <w:numPr>
                <w:ilvl w:val="0"/>
                <w:numId w:val="1"/>
              </w:numPr>
              <w:shd w:val="clear" w:color="auto" w:fill="FFFFFF"/>
              <w:spacing w:before="100" w:beforeAutospacing="1" w:after="100" w:afterAutospacing="1"/>
              <w:rPr>
                <w:rFonts w:ascii="Roboto" w:eastAsia="Times New Roman" w:hAnsi="Roboto" w:cs="Times New Roman"/>
                <w:spacing w:val="2"/>
                <w:kern w:val="0"/>
                <w:szCs w:val="24"/>
                <w14:ligatures w14:val="none"/>
              </w:rPr>
            </w:pPr>
            <w:r w:rsidRPr="00A05D96">
              <w:rPr>
                <w:rFonts w:ascii="Roboto" w:eastAsia="Times New Roman" w:hAnsi="Roboto" w:cs="Times New Roman"/>
                <w:spacing w:val="2"/>
                <w:kern w:val="0"/>
                <w:szCs w:val="24"/>
                <w14:ligatures w14:val="none"/>
              </w:rPr>
              <w:t>True or False: It is necessary to ensure that only the minimum necessary PHI is disclosed.</w:t>
            </w:r>
          </w:p>
          <w:p w14:paraId="4054BED7" w14:textId="15FFC1F0" w:rsidR="00904B62" w:rsidRPr="00904B62" w:rsidRDefault="00904B62" w:rsidP="00904B62">
            <w:pPr>
              <w:numPr>
                <w:ilvl w:val="0"/>
                <w:numId w:val="1"/>
              </w:numPr>
              <w:shd w:val="clear" w:color="auto" w:fill="FFFFFF"/>
              <w:spacing w:before="100" w:beforeAutospacing="1" w:after="100" w:afterAutospacing="1"/>
              <w:rPr>
                <w:rFonts w:ascii="Roboto" w:eastAsia="Times New Roman" w:hAnsi="Roboto" w:cs="Times New Roman"/>
                <w:spacing w:val="2"/>
                <w:kern w:val="0"/>
                <w:szCs w:val="24"/>
                <w14:ligatures w14:val="none"/>
              </w:rPr>
            </w:pPr>
            <w:r w:rsidRPr="00A05D96">
              <w:rPr>
                <w:rFonts w:ascii="Roboto" w:eastAsia="Times New Roman" w:hAnsi="Roboto" w:cs="Times New Roman"/>
                <w:spacing w:val="2"/>
                <w:kern w:val="0"/>
                <w:szCs w:val="24"/>
                <w14:ligatures w14:val="none"/>
              </w:rPr>
              <w:t>True or False: If unsure about any record disclosures, you should consult your agency’s compliance officer.</w:t>
            </w:r>
          </w:p>
        </w:tc>
      </w:tr>
      <w:tr w:rsidR="00A90FB4" w14:paraId="72E3879E" w14:textId="77777777" w:rsidTr="00910672">
        <w:tc>
          <w:tcPr>
            <w:tcW w:w="1165" w:type="dxa"/>
          </w:tcPr>
          <w:p w14:paraId="43CDA078" w14:textId="1DD6A3C6" w:rsidR="00A90FB4" w:rsidRDefault="00A90FB4">
            <w:r>
              <w:t>6</w:t>
            </w:r>
          </w:p>
        </w:tc>
        <w:tc>
          <w:tcPr>
            <w:tcW w:w="8185" w:type="dxa"/>
          </w:tcPr>
          <w:p w14:paraId="79C8C64B" w14:textId="2D7E79E4" w:rsidR="004A3C34" w:rsidRDefault="004A3C34" w:rsidP="004A3C34">
            <w:commentRangeStart w:id="0"/>
            <w:r w:rsidRPr="004A3C34">
              <w:rPr>
                <w:b/>
                <w:bCs/>
              </w:rPr>
              <w:t>Narrator</w:t>
            </w:r>
            <w:commentRangeEnd w:id="0"/>
            <w:r w:rsidRPr="004A3C34">
              <w:rPr>
                <w:rStyle w:val="CommentReference"/>
                <w:b/>
                <w:bCs/>
              </w:rPr>
              <w:commentReference w:id="0"/>
            </w:r>
            <w:r w:rsidRPr="004A3C34">
              <w:rPr>
                <w:b/>
                <w:bCs/>
              </w:rPr>
              <w:t xml:space="preserve"> (Harmony):</w:t>
            </w:r>
            <w:r>
              <w:t xml:space="preserve"> “Thank you for your time today. </w:t>
            </w:r>
          </w:p>
          <w:p w14:paraId="266C363D" w14:textId="77777777" w:rsidR="004A3C34" w:rsidRDefault="004A3C34" w:rsidP="004A3C34"/>
          <w:p w14:paraId="0A8EF935" w14:textId="77777777" w:rsidR="008710CE" w:rsidRDefault="004A3C34" w:rsidP="004A3C34">
            <w:r>
              <w:t>Remember,</w:t>
            </w:r>
            <w:r w:rsidRPr="27501CA7">
              <w:rPr>
                <w:b/>
                <w:bCs/>
              </w:rPr>
              <w:t xml:space="preserve"> </w:t>
            </w:r>
            <w:r>
              <w:t>your choices matter. Whether you are responding to a consumer’s request or reporting a compliance concern, every action contributes to a culture of integrity and helps to build a strong compliance program</w:t>
            </w:r>
            <w:r w:rsidR="008710CE">
              <w:t>.</w:t>
            </w:r>
          </w:p>
          <w:p w14:paraId="22F6F703" w14:textId="77777777" w:rsidR="008710CE" w:rsidRDefault="008710CE" w:rsidP="004A3C34"/>
          <w:p w14:paraId="4291EAA5" w14:textId="7CBD4124" w:rsidR="008710CE" w:rsidRPr="008710CE" w:rsidRDefault="008710CE" w:rsidP="004A3C34">
            <w:r>
              <w:t>Click the buttons below to exit or restart this training.”</w:t>
            </w:r>
          </w:p>
        </w:tc>
      </w:tr>
    </w:tbl>
    <w:p w14:paraId="2CE30EBE" w14:textId="77777777" w:rsidR="00910672" w:rsidRDefault="00910672"/>
    <w:p w14:paraId="312E4027" w14:textId="77777777" w:rsidR="00AA2D75" w:rsidRDefault="00AA2D75"/>
    <w:p w14:paraId="38053D38" w14:textId="77777777" w:rsidR="00AA2D75" w:rsidRDefault="00AA2D75"/>
    <w:p w14:paraId="7FF7CE46" w14:textId="0378FF83" w:rsidR="00AA2D75" w:rsidRPr="00AA2D75" w:rsidRDefault="008710CE" w:rsidP="00AA2D75">
      <w:pPr>
        <w:rPr>
          <w:b/>
          <w:bCs/>
        </w:rPr>
      </w:pPr>
      <w:r>
        <w:rPr>
          <w:b/>
          <w:bCs/>
        </w:rPr>
        <w:t>S</w:t>
      </w:r>
      <w:r w:rsidR="00AA2D75" w:rsidRPr="00AA2D75">
        <w:rPr>
          <w:b/>
          <w:bCs/>
        </w:rPr>
        <w:t>cene-by-Scene Visual Suggestions</w:t>
      </w:r>
    </w:p>
    <w:p w14:paraId="60B16038" w14:textId="77777777" w:rsidR="00AA2D75" w:rsidRPr="00AA2D75" w:rsidRDefault="00AA2D75" w:rsidP="00AA2D75">
      <w:pPr>
        <w:rPr>
          <w:b/>
          <w:bCs/>
        </w:rPr>
      </w:pPr>
      <w:r w:rsidRPr="00AA2D75">
        <w:rPr>
          <w:b/>
          <w:bCs/>
        </w:rPr>
        <w:t>Scene 1: Casual Start</w:t>
      </w:r>
    </w:p>
    <w:p w14:paraId="0FC529E0" w14:textId="77777777" w:rsidR="00AA2D75" w:rsidRPr="00AA2D75" w:rsidRDefault="00AA2D75" w:rsidP="00AA2D75">
      <w:pPr>
        <w:numPr>
          <w:ilvl w:val="0"/>
          <w:numId w:val="2"/>
        </w:numPr>
      </w:pPr>
      <w:r w:rsidRPr="00AA2D75">
        <w:rPr>
          <w:b/>
          <w:bCs/>
        </w:rPr>
        <w:t>Visual 1</w:t>
      </w:r>
      <w:r w:rsidRPr="00AA2D75">
        <w:t>: Kenny walking down a hallway with a mail envelope in hand.</w:t>
      </w:r>
    </w:p>
    <w:p w14:paraId="19E42E93" w14:textId="77777777" w:rsidR="00AA2D75" w:rsidRPr="00AA2D75" w:rsidRDefault="00AA2D75" w:rsidP="00AA2D75">
      <w:pPr>
        <w:numPr>
          <w:ilvl w:val="0"/>
          <w:numId w:val="2"/>
        </w:numPr>
      </w:pPr>
      <w:r w:rsidRPr="00AA2D75">
        <w:rPr>
          <w:b/>
          <w:bCs/>
        </w:rPr>
        <w:t>Visual 2</w:t>
      </w:r>
      <w:r w:rsidRPr="00AA2D75">
        <w:t>: Polly looking curious or concerned, standing nearby.</w:t>
      </w:r>
    </w:p>
    <w:p w14:paraId="61DB79B8" w14:textId="77777777" w:rsidR="00AA2D75" w:rsidRPr="00AA2D75" w:rsidRDefault="00AA2D75" w:rsidP="00AA2D75">
      <w:pPr>
        <w:numPr>
          <w:ilvl w:val="0"/>
          <w:numId w:val="2"/>
        </w:numPr>
      </w:pPr>
      <w:r w:rsidRPr="00AA2D75">
        <w:rPr>
          <w:b/>
          <w:bCs/>
        </w:rPr>
        <w:t>Visual 3</w:t>
      </w:r>
      <w:r w:rsidRPr="00AA2D75">
        <w:t>: Speech bubbles for dialogue to keep it light and conversational.</w:t>
      </w:r>
    </w:p>
    <w:p w14:paraId="3BD96A26" w14:textId="77777777" w:rsidR="00AA2D75" w:rsidRPr="00AA2D75" w:rsidRDefault="00AA2D75" w:rsidP="00AA2D75">
      <w:pPr>
        <w:rPr>
          <w:b/>
          <w:bCs/>
        </w:rPr>
      </w:pPr>
      <w:r w:rsidRPr="00AA2D75">
        <w:rPr>
          <w:b/>
          <w:bCs/>
        </w:rPr>
        <w:t>Scene 2: Compliance Clarification</w:t>
      </w:r>
    </w:p>
    <w:p w14:paraId="1ECA19A2" w14:textId="77777777" w:rsidR="00AA2D75" w:rsidRPr="00AA2D75" w:rsidRDefault="00AA2D75" w:rsidP="00AA2D75">
      <w:pPr>
        <w:numPr>
          <w:ilvl w:val="0"/>
          <w:numId w:val="3"/>
        </w:numPr>
      </w:pPr>
      <w:r w:rsidRPr="00AA2D75">
        <w:rPr>
          <w:b/>
          <w:bCs/>
        </w:rPr>
        <w:lastRenderedPageBreak/>
        <w:t>Visual 4</w:t>
      </w:r>
      <w:r w:rsidRPr="00AA2D75">
        <w:t>: A red flag icon or alert symbol when Polly questions Kenny’s plan.</w:t>
      </w:r>
    </w:p>
    <w:p w14:paraId="4A462FEC" w14:textId="77777777" w:rsidR="00AA2D75" w:rsidRPr="00AA2D75" w:rsidRDefault="00AA2D75" w:rsidP="00AA2D75">
      <w:pPr>
        <w:numPr>
          <w:ilvl w:val="0"/>
          <w:numId w:val="3"/>
        </w:numPr>
      </w:pPr>
      <w:r w:rsidRPr="00AA2D75">
        <w:rPr>
          <w:b/>
          <w:bCs/>
        </w:rPr>
        <w:t>Visual 5</w:t>
      </w:r>
      <w:r w:rsidRPr="00AA2D75">
        <w:t xml:space="preserve">: A split-screen showing: </w:t>
      </w:r>
    </w:p>
    <w:p w14:paraId="01A942EF" w14:textId="77777777" w:rsidR="00AA2D75" w:rsidRPr="00AA2D75" w:rsidRDefault="00AA2D75" w:rsidP="00AA2D75">
      <w:pPr>
        <w:numPr>
          <w:ilvl w:val="1"/>
          <w:numId w:val="3"/>
        </w:numPr>
      </w:pPr>
      <w:r w:rsidRPr="00AA2D75">
        <w:t>Left: Kenny casually dropping an envelope in a mail bin.</w:t>
      </w:r>
    </w:p>
    <w:p w14:paraId="55798844" w14:textId="77777777" w:rsidR="00AA2D75" w:rsidRPr="00AA2D75" w:rsidRDefault="00AA2D75" w:rsidP="00AA2D75">
      <w:pPr>
        <w:numPr>
          <w:ilvl w:val="1"/>
          <w:numId w:val="3"/>
        </w:numPr>
      </w:pPr>
      <w:r w:rsidRPr="00AA2D75">
        <w:t xml:space="preserve">Right: A checklist titled “PHI Compliance Steps” with items like: </w:t>
      </w:r>
    </w:p>
    <w:p w14:paraId="326D7072" w14:textId="77777777" w:rsidR="00AA2D75" w:rsidRPr="00AA2D75" w:rsidRDefault="00AA2D75" w:rsidP="00AA2D75">
      <w:pPr>
        <w:numPr>
          <w:ilvl w:val="2"/>
          <w:numId w:val="3"/>
        </w:numPr>
      </w:pPr>
      <w:r w:rsidRPr="00AA2D75">
        <w:rPr>
          <w:rFonts w:ascii="Segoe UI Emoji" w:hAnsi="Segoe UI Emoji" w:cs="Segoe UI Emoji"/>
        </w:rPr>
        <w:t>✅</w:t>
      </w:r>
      <w:r w:rsidRPr="00AA2D75">
        <w:t xml:space="preserve"> Written request</w:t>
      </w:r>
    </w:p>
    <w:p w14:paraId="2B7F9F41" w14:textId="77777777" w:rsidR="00AA2D75" w:rsidRPr="00AA2D75" w:rsidRDefault="00AA2D75" w:rsidP="00AA2D75">
      <w:pPr>
        <w:numPr>
          <w:ilvl w:val="2"/>
          <w:numId w:val="3"/>
        </w:numPr>
      </w:pPr>
      <w:r w:rsidRPr="00AA2D75">
        <w:rPr>
          <w:rFonts w:ascii="Segoe UI Emoji" w:hAnsi="Segoe UI Emoji" w:cs="Segoe UI Emoji"/>
        </w:rPr>
        <w:t>✅</w:t>
      </w:r>
      <w:r w:rsidRPr="00AA2D75">
        <w:t xml:space="preserve"> Signed release</w:t>
      </w:r>
    </w:p>
    <w:p w14:paraId="5A0D5249" w14:textId="77777777" w:rsidR="00AA2D75" w:rsidRPr="00AA2D75" w:rsidRDefault="00AA2D75" w:rsidP="00AA2D75">
      <w:pPr>
        <w:numPr>
          <w:ilvl w:val="2"/>
          <w:numId w:val="3"/>
        </w:numPr>
      </w:pPr>
      <w:r w:rsidRPr="00AA2D75">
        <w:rPr>
          <w:rFonts w:ascii="Segoe UI Emoji" w:hAnsi="Segoe UI Emoji" w:cs="Segoe UI Emoji"/>
        </w:rPr>
        <w:t>✅</w:t>
      </w:r>
      <w:r w:rsidRPr="00AA2D75">
        <w:t xml:space="preserve"> Compliance Officer review</w:t>
      </w:r>
    </w:p>
    <w:p w14:paraId="4C1A93E9" w14:textId="77777777" w:rsidR="00AA2D75" w:rsidRPr="00AA2D75" w:rsidRDefault="00AA2D75" w:rsidP="00AA2D75">
      <w:pPr>
        <w:numPr>
          <w:ilvl w:val="0"/>
          <w:numId w:val="3"/>
        </w:numPr>
      </w:pPr>
      <w:r w:rsidRPr="00AA2D75">
        <w:rPr>
          <w:b/>
          <w:bCs/>
        </w:rPr>
        <w:t>Visual 6</w:t>
      </w:r>
      <w:r w:rsidRPr="00AA2D75">
        <w:t>: A lock icon over a file folder labeled “Consumer Records” to represent data protection.</w:t>
      </w:r>
    </w:p>
    <w:p w14:paraId="32A91FDF" w14:textId="77777777" w:rsidR="00AA2D75" w:rsidRPr="00AA2D75" w:rsidRDefault="00AA2D75" w:rsidP="00AA2D75">
      <w:pPr>
        <w:rPr>
          <w:b/>
          <w:bCs/>
        </w:rPr>
      </w:pPr>
      <w:r w:rsidRPr="00AA2D75">
        <w:rPr>
          <w:b/>
          <w:bCs/>
        </w:rPr>
        <w:t>Scene 3: Key Takeaways</w:t>
      </w:r>
    </w:p>
    <w:p w14:paraId="1D3879C4" w14:textId="77777777" w:rsidR="00AA2D75" w:rsidRPr="00AA2D75" w:rsidRDefault="00AA2D75" w:rsidP="00AA2D75">
      <w:pPr>
        <w:numPr>
          <w:ilvl w:val="0"/>
          <w:numId w:val="4"/>
        </w:numPr>
      </w:pPr>
      <w:r w:rsidRPr="00AA2D75">
        <w:rPr>
          <w:b/>
          <w:bCs/>
        </w:rPr>
        <w:t>Visual 7</w:t>
      </w:r>
      <w:r w:rsidRPr="00AA2D75">
        <w:t xml:space="preserve">: A simplified infographic showing the PHI mailing process: </w:t>
      </w:r>
    </w:p>
    <w:p w14:paraId="1AA4202F" w14:textId="77777777" w:rsidR="00AA2D75" w:rsidRPr="00AA2D75" w:rsidRDefault="00AA2D75" w:rsidP="00AA2D75">
      <w:pPr>
        <w:numPr>
          <w:ilvl w:val="1"/>
          <w:numId w:val="4"/>
        </w:numPr>
      </w:pPr>
      <w:r w:rsidRPr="00AA2D75">
        <w:t>Receive written request</w:t>
      </w:r>
    </w:p>
    <w:p w14:paraId="25736598" w14:textId="77777777" w:rsidR="00AA2D75" w:rsidRPr="00AA2D75" w:rsidRDefault="00AA2D75" w:rsidP="00AA2D75">
      <w:pPr>
        <w:numPr>
          <w:ilvl w:val="1"/>
          <w:numId w:val="4"/>
        </w:numPr>
      </w:pPr>
      <w:r w:rsidRPr="00AA2D75">
        <w:t>Verify signed release</w:t>
      </w:r>
    </w:p>
    <w:p w14:paraId="570D4CBD" w14:textId="77777777" w:rsidR="00AA2D75" w:rsidRPr="00AA2D75" w:rsidRDefault="00AA2D75" w:rsidP="00AA2D75">
      <w:pPr>
        <w:numPr>
          <w:ilvl w:val="1"/>
          <w:numId w:val="4"/>
        </w:numPr>
      </w:pPr>
      <w:r w:rsidRPr="00AA2D75">
        <w:t>Review with compliance officer</w:t>
      </w:r>
    </w:p>
    <w:p w14:paraId="3445C44E" w14:textId="77777777" w:rsidR="00AA2D75" w:rsidRPr="00AA2D75" w:rsidRDefault="00AA2D75" w:rsidP="00AA2D75">
      <w:pPr>
        <w:numPr>
          <w:ilvl w:val="1"/>
          <w:numId w:val="4"/>
        </w:numPr>
      </w:pPr>
      <w:r w:rsidRPr="00AA2D75">
        <w:t>Mail securely</w:t>
      </w:r>
    </w:p>
    <w:p w14:paraId="7388AF69" w14:textId="77777777" w:rsidR="00AA2D75" w:rsidRPr="00AA2D75" w:rsidRDefault="00AA2D75" w:rsidP="00AA2D75">
      <w:pPr>
        <w:numPr>
          <w:ilvl w:val="0"/>
          <w:numId w:val="4"/>
        </w:numPr>
      </w:pPr>
      <w:r w:rsidRPr="00AA2D75">
        <w:rPr>
          <w:b/>
          <w:bCs/>
        </w:rPr>
        <w:t>Visual 8</w:t>
      </w:r>
      <w:r w:rsidRPr="00AA2D75">
        <w:t>: Kenny and Polly smiling at a lunch table with a caption: “Compliance first, tacos second!”</w:t>
      </w:r>
    </w:p>
    <w:p w14:paraId="77C614FE" w14:textId="77777777" w:rsidR="00AA2D75" w:rsidRDefault="00AA2D75"/>
    <w:sectPr w:rsidR="00AA2D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hite, Matthew" w:date="2025-09-11T10:00:00Z" w:initials="MW">
    <w:p w14:paraId="0E42014C" w14:textId="77777777" w:rsidR="004A3C34" w:rsidRDefault="004A3C34" w:rsidP="004A3C34">
      <w:pPr>
        <w:pStyle w:val="CommentText"/>
      </w:pPr>
      <w:r>
        <w:rPr>
          <w:rStyle w:val="CommentReference"/>
        </w:rPr>
        <w:annotationRef/>
      </w:r>
      <w:r>
        <w:t>Regenerate audio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420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18FD60" w16cex:dateUtc="2025-09-1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42014C" w16cid:durableId="3918FD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F4251"/>
    <w:multiLevelType w:val="multilevel"/>
    <w:tmpl w:val="DC400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61DB8"/>
    <w:multiLevelType w:val="multilevel"/>
    <w:tmpl w:val="C01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C3397"/>
    <w:multiLevelType w:val="multilevel"/>
    <w:tmpl w:val="E3DE8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20BD0"/>
    <w:multiLevelType w:val="multilevel"/>
    <w:tmpl w:val="BAFA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6036D"/>
    <w:multiLevelType w:val="multilevel"/>
    <w:tmpl w:val="39B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13987">
    <w:abstractNumId w:val="1"/>
  </w:num>
  <w:num w:numId="2" w16cid:durableId="1408452360">
    <w:abstractNumId w:val="4"/>
  </w:num>
  <w:num w:numId="3" w16cid:durableId="1493452121">
    <w:abstractNumId w:val="2"/>
  </w:num>
  <w:num w:numId="4" w16cid:durableId="801115718">
    <w:abstractNumId w:val="0"/>
  </w:num>
  <w:num w:numId="5" w16cid:durableId="12813288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hite, Matthew">
    <w15:presenceInfo w15:providerId="AD" w15:userId="S::mwhite@areaagingsolutions.org::ca116b23-7605-45c8-9962-6bbec07e4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72"/>
    <w:rsid w:val="001856C0"/>
    <w:rsid w:val="00320682"/>
    <w:rsid w:val="00326FC3"/>
    <w:rsid w:val="00437EDA"/>
    <w:rsid w:val="004A3C34"/>
    <w:rsid w:val="00643095"/>
    <w:rsid w:val="00784CC4"/>
    <w:rsid w:val="008044C9"/>
    <w:rsid w:val="008710CE"/>
    <w:rsid w:val="00904B62"/>
    <w:rsid w:val="00910672"/>
    <w:rsid w:val="00A05D96"/>
    <w:rsid w:val="00A86512"/>
    <w:rsid w:val="00A90FB4"/>
    <w:rsid w:val="00AA2D75"/>
    <w:rsid w:val="00DA6365"/>
    <w:rsid w:val="00DF64F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62DA"/>
  <w15:chartTrackingRefBased/>
  <w15:docId w15:val="{6C3396B1-4FDB-4AD1-BF59-4693E0EF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6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106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106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10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7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1067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1067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10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672"/>
    <w:rPr>
      <w:rFonts w:eastAsiaTheme="majorEastAsia" w:cstheme="majorBidi"/>
      <w:color w:val="272727" w:themeColor="text1" w:themeTint="D8"/>
    </w:rPr>
  </w:style>
  <w:style w:type="paragraph" w:styleId="Title">
    <w:name w:val="Title"/>
    <w:basedOn w:val="Normal"/>
    <w:next w:val="Normal"/>
    <w:link w:val="TitleChar"/>
    <w:uiPriority w:val="10"/>
    <w:qFormat/>
    <w:rsid w:val="009106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106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106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106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10672"/>
    <w:pPr>
      <w:spacing w:before="160"/>
      <w:jc w:val="center"/>
    </w:pPr>
    <w:rPr>
      <w:i/>
      <w:iCs/>
      <w:color w:val="404040" w:themeColor="text1" w:themeTint="BF"/>
    </w:rPr>
  </w:style>
  <w:style w:type="character" w:customStyle="1" w:styleId="QuoteChar">
    <w:name w:val="Quote Char"/>
    <w:basedOn w:val="DefaultParagraphFont"/>
    <w:link w:val="Quote"/>
    <w:uiPriority w:val="29"/>
    <w:rsid w:val="00910672"/>
    <w:rPr>
      <w:i/>
      <w:iCs/>
      <w:color w:val="404040" w:themeColor="text1" w:themeTint="BF"/>
    </w:rPr>
  </w:style>
  <w:style w:type="paragraph" w:styleId="ListParagraph">
    <w:name w:val="List Paragraph"/>
    <w:basedOn w:val="Normal"/>
    <w:uiPriority w:val="34"/>
    <w:qFormat/>
    <w:rsid w:val="00910672"/>
    <w:pPr>
      <w:ind w:left="720"/>
      <w:contextualSpacing/>
    </w:pPr>
  </w:style>
  <w:style w:type="character" w:styleId="IntenseEmphasis">
    <w:name w:val="Intense Emphasis"/>
    <w:basedOn w:val="DefaultParagraphFont"/>
    <w:uiPriority w:val="21"/>
    <w:qFormat/>
    <w:rsid w:val="00910672"/>
    <w:rPr>
      <w:i/>
      <w:iCs/>
      <w:color w:val="0F4761" w:themeColor="accent1" w:themeShade="BF"/>
    </w:rPr>
  </w:style>
  <w:style w:type="paragraph" w:styleId="IntenseQuote">
    <w:name w:val="Intense Quote"/>
    <w:basedOn w:val="Normal"/>
    <w:next w:val="Normal"/>
    <w:link w:val="IntenseQuoteChar"/>
    <w:uiPriority w:val="30"/>
    <w:qFormat/>
    <w:rsid w:val="00910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672"/>
    <w:rPr>
      <w:i/>
      <w:iCs/>
      <w:color w:val="0F4761" w:themeColor="accent1" w:themeShade="BF"/>
    </w:rPr>
  </w:style>
  <w:style w:type="character" w:styleId="IntenseReference">
    <w:name w:val="Intense Reference"/>
    <w:basedOn w:val="DefaultParagraphFont"/>
    <w:uiPriority w:val="32"/>
    <w:qFormat/>
    <w:rsid w:val="00910672"/>
    <w:rPr>
      <w:b/>
      <w:bCs/>
      <w:smallCaps/>
      <w:color w:val="0F4761" w:themeColor="accent1" w:themeShade="BF"/>
      <w:spacing w:val="5"/>
    </w:rPr>
  </w:style>
  <w:style w:type="table" w:styleId="TableGrid">
    <w:name w:val="Table Grid"/>
    <w:basedOn w:val="TableNormal"/>
    <w:uiPriority w:val="39"/>
    <w:rsid w:val="00910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4A3C34"/>
    <w:pPr>
      <w:spacing w:line="240" w:lineRule="auto"/>
    </w:pPr>
    <w:rPr>
      <w:sz w:val="20"/>
      <w:szCs w:val="25"/>
    </w:rPr>
  </w:style>
  <w:style w:type="character" w:customStyle="1" w:styleId="CommentTextChar">
    <w:name w:val="Comment Text Char"/>
    <w:basedOn w:val="DefaultParagraphFont"/>
    <w:link w:val="CommentText"/>
    <w:uiPriority w:val="99"/>
    <w:rsid w:val="004A3C34"/>
    <w:rPr>
      <w:sz w:val="20"/>
      <w:szCs w:val="25"/>
    </w:rPr>
  </w:style>
  <w:style w:type="character" w:styleId="CommentReference">
    <w:name w:val="annotation reference"/>
    <w:basedOn w:val="DefaultParagraphFont"/>
    <w:uiPriority w:val="99"/>
    <w:semiHidden/>
    <w:unhideWhenUsed/>
    <w:rsid w:val="004A3C3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972661">
      <w:bodyDiv w:val="1"/>
      <w:marLeft w:val="0"/>
      <w:marRight w:val="0"/>
      <w:marTop w:val="0"/>
      <w:marBottom w:val="0"/>
      <w:divBdr>
        <w:top w:val="none" w:sz="0" w:space="0" w:color="auto"/>
        <w:left w:val="none" w:sz="0" w:space="0" w:color="auto"/>
        <w:bottom w:val="none" w:sz="0" w:space="0" w:color="auto"/>
        <w:right w:val="none" w:sz="0" w:space="0" w:color="auto"/>
      </w:divBdr>
    </w:div>
    <w:div w:id="872577208">
      <w:bodyDiv w:val="1"/>
      <w:marLeft w:val="0"/>
      <w:marRight w:val="0"/>
      <w:marTop w:val="0"/>
      <w:marBottom w:val="0"/>
      <w:divBdr>
        <w:top w:val="none" w:sz="0" w:space="0" w:color="auto"/>
        <w:left w:val="none" w:sz="0" w:space="0" w:color="auto"/>
        <w:bottom w:val="none" w:sz="0" w:space="0" w:color="auto"/>
        <w:right w:val="none" w:sz="0" w:space="0" w:color="auto"/>
      </w:divBdr>
    </w:div>
    <w:div w:id="873418966">
      <w:bodyDiv w:val="1"/>
      <w:marLeft w:val="0"/>
      <w:marRight w:val="0"/>
      <w:marTop w:val="0"/>
      <w:marBottom w:val="0"/>
      <w:divBdr>
        <w:top w:val="none" w:sz="0" w:space="0" w:color="auto"/>
        <w:left w:val="none" w:sz="0" w:space="0" w:color="auto"/>
        <w:bottom w:val="none" w:sz="0" w:space="0" w:color="auto"/>
        <w:right w:val="none" w:sz="0" w:space="0" w:color="auto"/>
      </w:divBdr>
    </w:div>
    <w:div w:id="894510058">
      <w:bodyDiv w:val="1"/>
      <w:marLeft w:val="0"/>
      <w:marRight w:val="0"/>
      <w:marTop w:val="0"/>
      <w:marBottom w:val="0"/>
      <w:divBdr>
        <w:top w:val="none" w:sz="0" w:space="0" w:color="auto"/>
        <w:left w:val="none" w:sz="0" w:space="0" w:color="auto"/>
        <w:bottom w:val="none" w:sz="0" w:space="0" w:color="auto"/>
        <w:right w:val="none" w:sz="0" w:space="0" w:color="auto"/>
      </w:divBdr>
    </w:div>
    <w:div w:id="1003126086">
      <w:bodyDiv w:val="1"/>
      <w:marLeft w:val="0"/>
      <w:marRight w:val="0"/>
      <w:marTop w:val="0"/>
      <w:marBottom w:val="0"/>
      <w:divBdr>
        <w:top w:val="none" w:sz="0" w:space="0" w:color="auto"/>
        <w:left w:val="none" w:sz="0" w:space="0" w:color="auto"/>
        <w:bottom w:val="none" w:sz="0" w:space="0" w:color="auto"/>
        <w:right w:val="none" w:sz="0" w:space="0" w:color="auto"/>
      </w:divBdr>
    </w:div>
    <w:div w:id="1016811833">
      <w:bodyDiv w:val="1"/>
      <w:marLeft w:val="0"/>
      <w:marRight w:val="0"/>
      <w:marTop w:val="0"/>
      <w:marBottom w:val="0"/>
      <w:divBdr>
        <w:top w:val="none" w:sz="0" w:space="0" w:color="auto"/>
        <w:left w:val="none" w:sz="0" w:space="0" w:color="auto"/>
        <w:bottom w:val="none" w:sz="0" w:space="0" w:color="auto"/>
        <w:right w:val="none" w:sz="0" w:space="0" w:color="auto"/>
      </w:divBdr>
    </w:div>
    <w:div w:id="1154640053">
      <w:bodyDiv w:val="1"/>
      <w:marLeft w:val="0"/>
      <w:marRight w:val="0"/>
      <w:marTop w:val="0"/>
      <w:marBottom w:val="0"/>
      <w:divBdr>
        <w:top w:val="none" w:sz="0" w:space="0" w:color="auto"/>
        <w:left w:val="none" w:sz="0" w:space="0" w:color="auto"/>
        <w:bottom w:val="none" w:sz="0" w:space="0" w:color="auto"/>
        <w:right w:val="none" w:sz="0" w:space="0" w:color="auto"/>
      </w:divBdr>
    </w:div>
    <w:div w:id="1188327752">
      <w:bodyDiv w:val="1"/>
      <w:marLeft w:val="0"/>
      <w:marRight w:val="0"/>
      <w:marTop w:val="0"/>
      <w:marBottom w:val="0"/>
      <w:divBdr>
        <w:top w:val="none" w:sz="0" w:space="0" w:color="auto"/>
        <w:left w:val="none" w:sz="0" w:space="0" w:color="auto"/>
        <w:bottom w:val="none" w:sz="0" w:space="0" w:color="auto"/>
        <w:right w:val="none" w:sz="0" w:space="0" w:color="auto"/>
      </w:divBdr>
    </w:div>
    <w:div w:id="20032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Matthew</dc:creator>
  <cp:keywords/>
  <dc:description/>
  <cp:lastModifiedBy>White, Matthew</cp:lastModifiedBy>
  <cp:revision>11</cp:revision>
  <dcterms:created xsi:type="dcterms:W3CDTF">2025-09-15T20:43:00Z</dcterms:created>
  <dcterms:modified xsi:type="dcterms:W3CDTF">2025-09-19T14:20:00Z</dcterms:modified>
</cp:coreProperties>
</file>