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tbl>
      <w:tblPr/>
      <w:tblGrid>
        <w:gridCol w:w="9360"/>
      </w:tblGrid>
      <w:tr>
        <w:trPr>
          <w:trHeight w:val="1" w:hRule="atLeast"/>
          <w:jc w:val="left"/>
        </w:trPr>
        <w:tc>
          <w:tcPr>
            <w:tcW w:w="9360" w:type="dxa"/>
            <w:tcBorders>
              <w:top w:val="single" w:color="ffffff" w:sz="0"/>
              <w:left w:val="single" w:color="ffffff" w:sz="0"/>
              <w:bottom w:val="single" w:color="ffffff" w:sz="0"/>
              <w:right w:val="single" w:color="ffffff" w:sz="0"/>
            </w:tcBorders>
            <w:shd w:color="000000" w:fill="1a3c5e" w:val="clear"/>
            <w:tcMar>
              <w:left w:w="560" w:type="dxa"/>
              <w:right w:w="560" w:type="dxa"/>
            </w:tcMar>
            <w:vAlign w:val="top"/>
          </w:tcPr>
          <w:p>
            <w:pPr>
              <w:spacing w:before="0" w:after="80" w:line="240"/>
              <w:ind w:right="0" w:left="0" w:firstLine="0"/>
              <w:jc w:val="center"/>
              <w:rPr>
                <w:rFonts w:ascii="Arial" w:hAnsi="Arial" w:cs="Arial" w:eastAsia="Arial"/>
                <w:color w:val="auto"/>
                <w:spacing w:val="0"/>
                <w:position w:val="0"/>
                <w:sz w:val="22"/>
                <w:shd w:fill="auto" w:val="clear"/>
              </w:rPr>
            </w:pPr>
            <w:r>
              <w:rPr>
                <w:rFonts w:ascii="Arial" w:hAnsi="Arial" w:cs="Arial" w:eastAsia="Arial"/>
                <w:b/>
                <w:color w:val="FFFFFF"/>
                <w:spacing w:val="0"/>
                <w:position w:val="0"/>
                <w:sz w:val="52"/>
                <w:shd w:fill="auto" w:val="clear"/>
              </w:rPr>
              <w:t xml:space="preserve">TERRASAT </w:t>
            </w:r>
          </w:p>
          <w:p>
            <w:pPr>
              <w:spacing w:before="0" w:after="160" w:line="240"/>
              <w:ind w:right="0" w:left="0" w:firstLine="0"/>
              <w:jc w:val="center"/>
              <w:rPr>
                <w:rFonts w:ascii="Arial" w:hAnsi="Arial" w:cs="Arial" w:eastAsia="Arial"/>
                <w:color w:val="auto"/>
                <w:spacing w:val="0"/>
                <w:position w:val="0"/>
                <w:sz w:val="22"/>
                <w:shd w:fill="auto" w:val="clear"/>
              </w:rPr>
            </w:pPr>
            <w:r>
              <w:rPr>
                <w:rFonts w:ascii="Arial" w:hAnsi="Arial" w:cs="Arial" w:eastAsia="Arial"/>
                <w:i/>
                <w:color w:val="8FC9D8"/>
                <w:spacing w:val="0"/>
                <w:position w:val="0"/>
                <w:sz w:val="28"/>
                <w:shd w:fill="auto" w:val="clear"/>
              </w:rPr>
              <w:t xml:space="preserve">Research Methodology and Empirical Foundations</w:t>
            </w:r>
          </w:p>
          <w:p>
            <w:pPr>
              <w:spacing w:before="0" w:after="80" w:line="240"/>
              <w:ind w:right="0" w:left="0" w:firstLine="0"/>
              <w:jc w:val="center"/>
              <w:rPr>
                <w:rFonts w:ascii="Arial" w:hAnsi="Arial" w:cs="Arial" w:eastAsia="Arial"/>
                <w:color w:val="auto"/>
                <w:spacing w:val="0"/>
                <w:position w:val="0"/>
                <w:sz w:val="22"/>
                <w:shd w:fill="auto" w:val="clear"/>
              </w:rPr>
            </w:pPr>
            <w:r>
              <w:rPr>
                <w:rFonts w:ascii="Arial" w:hAnsi="Arial" w:cs="Arial" w:eastAsia="Arial"/>
                <w:color w:val="5A9BB0"/>
                <w:spacing w:val="0"/>
                <w:position w:val="0"/>
                <w:sz w:val="23"/>
                <w:shd w:fill="auto" w:val="clear"/>
              </w:rPr>
              <w:t xml:space="preserve">Satellite-Driven Climate Risk Intelligence for Financial Institutions</w:t>
            </w:r>
          </w:p>
          <w:p>
            <w:pPr>
              <w:spacing w:before="0" w:after="80" w:line="240"/>
              <w:ind w:right="0" w:left="0" w:firstLine="0"/>
              <w:jc w:val="center"/>
              <w:rPr>
                <w:rFonts w:ascii="Arial" w:hAnsi="Arial" w:cs="Arial" w:eastAsia="Arial"/>
                <w:color w:val="auto"/>
                <w:spacing w:val="0"/>
                <w:position w:val="0"/>
                <w:sz w:val="22"/>
                <w:shd w:fill="auto" w:val="clear"/>
              </w:rPr>
            </w:pPr>
            <w:r>
              <w:rPr>
                <w:rFonts w:ascii="Arial" w:hAnsi="Arial" w:cs="Arial" w:eastAsia="Arial"/>
                <w:i/>
                <w:color w:val="5A9BB0"/>
                <w:spacing w:val="0"/>
                <w:position w:val="0"/>
                <w:sz w:val="22"/>
                <w:shd w:fill="auto" w:val="clear"/>
              </w:rPr>
              <w:t xml:space="preserve">Specialising in Flood as the Primary Natural Disaster</w:t>
            </w:r>
          </w:p>
          <w:p>
            <w:pPr>
              <w:spacing w:before="180" w:after="0" w:line="240"/>
              <w:ind w:right="0" w:left="0" w:firstLine="0"/>
              <w:jc w:val="center"/>
              <w:rPr>
                <w:spacing w:val="0"/>
                <w:position w:val="0"/>
                <w:shd w:fill="auto" w:val="clear"/>
              </w:rPr>
            </w:pPr>
            <w:r>
              <w:rPr>
                <w:rFonts w:ascii="Arial" w:hAnsi="Arial" w:cs="Arial" w:eastAsia="Arial"/>
                <w:color w:val="AAAAAA"/>
                <w:spacing w:val="0"/>
                <w:position w:val="0"/>
                <w:sz w:val="20"/>
                <w:shd w:fill="auto" w:val="clear"/>
              </w:rPr>
              <w:t xml:space="preserve">Technical Research Paper  |  2026</w:t>
            </w:r>
          </w:p>
        </w:tc>
      </w:tr>
    </w:tbl>
    <w:p>
      <w:pPr>
        <w:spacing w:before="400" w:after="0" w:line="240"/>
        <w:ind w:right="0" w:left="0" w:firstLine="0"/>
        <w:jc w:val="left"/>
        <w:rPr>
          <w:rFonts w:ascii="Arial" w:hAnsi="Arial" w:cs="Arial" w:eastAsia="Arial"/>
          <w:color w:val="auto"/>
          <w:spacing w:val="0"/>
          <w:position w:val="0"/>
          <w:sz w:val="22"/>
          <w:shd w:fill="auto" w:val="clear"/>
        </w:rPr>
      </w:pPr>
    </w:p>
    <w:tbl>
      <w:tblPr/>
      <w:tblGrid>
        <w:gridCol w:w="9360"/>
      </w:tblGrid>
      <w:tr>
        <w:trPr>
          <w:trHeight w:val="1" w:hRule="atLeast"/>
          <w:jc w:val="left"/>
        </w:trPr>
        <w:tc>
          <w:tcPr>
            <w:tcW w:w="9360" w:type="dxa"/>
            <w:tcBorders>
              <w:top w:val="single" w:color="cccccc" w:sz="1"/>
              <w:left w:val="single" w:color="cccccc" w:sz="1"/>
              <w:bottom w:val="single" w:color="cccccc" w:sz="1"/>
              <w:right w:val="single" w:color="cccccc" w:sz="1"/>
            </w:tcBorders>
            <w:shd w:color="000000" w:fill="eef6f6" w:val="clear"/>
            <w:tcMar>
              <w:left w:w="320" w:type="dxa"/>
              <w:right w:w="320" w:type="dxa"/>
            </w:tcMar>
            <w:vAlign w:val="top"/>
          </w:tcPr>
          <w:p>
            <w:pPr>
              <w:spacing w:before="0" w:after="10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1A3C5E"/>
                <w:spacing w:val="0"/>
                <w:position w:val="0"/>
                <w:sz w:val="22"/>
                <w:shd w:fill="auto" w:val="clear"/>
              </w:rPr>
              <w:t xml:space="preserve">ABSTRACT</w:t>
            </w:r>
          </w:p>
          <w:p>
            <w:pPr>
              <w:spacing w:before="0" w:after="0" w:line="240"/>
              <w:ind w:right="0" w:left="0" w:firstLine="0"/>
              <w:jc w:val="both"/>
              <w:rPr>
                <w:spacing w:val="0"/>
                <w:position w:val="0"/>
                <w:shd w:fill="auto" w:val="clear"/>
              </w:rPr>
            </w:pPr>
            <w:r>
              <w:rPr>
                <w:rFonts w:ascii="Arial" w:hAnsi="Arial" w:cs="Arial" w:eastAsia="Arial"/>
                <w:color w:val="1A1A2E"/>
                <w:spacing w:val="0"/>
                <w:position w:val="0"/>
                <w:sz w:val="21"/>
                <w:shd w:fill="auto" w:val="clear"/>
              </w:rPr>
              <w:t xml:space="preserve">This document presents the research methodology, empirical foundations, and scientific basis underpinning TerraSat Apex: a satellite-driven Climate Risk Intelligence platform for financial institutions, with primary focus on flood as the dominant natural disaster affecting East African financial portfolios. The methodology integrates four established research domains: Earth Observation and Remote Sensing, Hydrology and Flood Risk Modelling, Internet of Things (IoT) Sensor Networks for Environmental Monitoring, and Climate Risk Quantification for Financial Systems. Drawing on peer-reviewed literature, established frameworks from institutions including the Task Force on Climate-related Financial Disclosures (TCFD), the World Bank, OCHA, and leading remote sensing research bodies, this paper establishes the empirical and methodological rigour behind Apex's geo-foundational model, IoT groundtruthing network, satellite data pipeline, and financial risk translation layer. The approach is grounded in validated methods from the fields of climate science, catastrophe risk modelling, and quantitative finance.</w:t>
            </w:r>
          </w:p>
        </w:tc>
      </w:tr>
    </w:tbl>
    <w:p>
      <w:pPr>
        <w:spacing w:before="200" w:after="0" w:line="240"/>
        <w:ind w:right="0" w:left="0" w:firstLine="0"/>
        <w:jc w:val="left"/>
        <w:rPr>
          <w:rFonts w:ascii="Arial" w:hAnsi="Arial" w:cs="Arial" w:eastAsia="Arial"/>
          <w:color w:val="auto"/>
          <w:spacing w:val="0"/>
          <w:position w:val="0"/>
          <w:sz w:val="22"/>
          <w:shd w:fill="auto" w:val="clear"/>
        </w:rPr>
      </w:pPr>
    </w:p>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40"/>
        <w:ind w:right="0" w:left="0" w:firstLine="0"/>
        <w:jc w:val="left"/>
        <w:rPr>
          <w:rFonts w:ascii="Arial" w:hAnsi="Arial" w:cs="Arial" w:eastAsia="Arial"/>
          <w:color w:val="auto"/>
          <w:spacing w:val="0"/>
          <w:position w:val="0"/>
          <w:sz w:val="22"/>
          <w:shd w:fill="auto" w:val="clear"/>
        </w:rPr>
      </w:pPr>
    </w:p>
    <w:p>
      <w:pPr>
        <w:spacing w:before="480" w:after="160" w:line="240"/>
        <w:ind w:right="0" w:left="0" w:firstLine="0"/>
        <w:jc w:val="left"/>
        <w:rPr>
          <w:rFonts w:ascii="Arial" w:hAnsi="Arial" w:cs="Arial" w:eastAsia="Arial"/>
          <w:b/>
          <w:color w:val="1A3C5E"/>
          <w:spacing w:val="0"/>
          <w:position w:val="0"/>
          <w:sz w:val="34"/>
          <w:shd w:fill="auto" w:val="clear"/>
        </w:rPr>
      </w:pPr>
      <w:r>
        <w:rPr>
          <w:rFonts w:ascii="Arial" w:hAnsi="Arial" w:cs="Arial" w:eastAsia="Arial"/>
          <w:b/>
          <w:color w:val="1A3C5E"/>
          <w:spacing w:val="0"/>
          <w:position w:val="0"/>
          <w:sz w:val="34"/>
          <w:shd w:fill="auto" w:val="clear"/>
        </w:rPr>
        <w:t xml:space="preserve">1. Introduction and Research Context</w:t>
      </w:r>
    </w:p>
    <w:p>
      <w:pPr>
        <w:spacing w:before="60" w:after="100" w:line="240"/>
        <w:ind w:right="0" w:left="0" w:firstLine="0"/>
        <w:jc w:val="both"/>
        <w:rPr>
          <w:rFonts w:ascii="Arial" w:hAnsi="Arial" w:cs="Arial" w:eastAsia="Arial"/>
          <w:color w:val="auto"/>
          <w:spacing w:val="0"/>
          <w:position w:val="0"/>
          <w:sz w:val="22"/>
          <w:shd w:fill="auto" w:val="clear"/>
        </w:rPr>
      </w:pPr>
      <w:r>
        <w:rPr>
          <w:rFonts w:ascii="Arial" w:hAnsi="Arial" w:cs="Arial" w:eastAsia="Arial"/>
          <w:color w:val="1A1A2E"/>
          <w:spacing w:val="0"/>
          <w:position w:val="0"/>
          <w:sz w:val="22"/>
          <w:shd w:fill="auto" w:val="clear"/>
        </w:rPr>
        <w:t xml:space="preserve">Flooding is the most economically destructive natural disaster globally and the primary physical climate hazard across Sub-Saharan Africa (UNDRR, 2020). Between 2000 and 2024, East Africa experienced recurring flood events of increasing frequency and magnitude, driven by the intensification of the Indian Ocean Dipole and accelerating climate change. The 2023 East Africa floods alone affected over 1.2 million people and caused economic losses exceeding $1.2 billion USD, as documented by OCHA and the World Bank (OCHA, 2024; World Bank, 2024).</w:t>
      </w:r>
    </w:p>
    <w:p>
      <w:pPr>
        <w:spacing w:before="80" w:after="0" w:line="240"/>
        <w:ind w:right="0" w:left="0" w:firstLine="0"/>
        <w:jc w:val="left"/>
        <w:rPr>
          <w:rFonts w:ascii="Arial" w:hAnsi="Arial" w:cs="Arial" w:eastAsia="Arial"/>
          <w:color w:val="auto"/>
          <w:spacing w:val="0"/>
          <w:position w:val="0"/>
          <w:sz w:val="22"/>
          <w:shd w:fill="auto" w:val="clear"/>
        </w:rPr>
      </w:pPr>
    </w:p>
    <w:p>
      <w:pPr>
        <w:spacing w:before="60" w:after="100" w:line="240"/>
        <w:ind w:right="0" w:left="0" w:firstLine="0"/>
        <w:jc w:val="both"/>
        <w:rPr>
          <w:rFonts w:ascii="Arial" w:hAnsi="Arial" w:cs="Arial" w:eastAsia="Arial"/>
          <w:color w:val="auto"/>
          <w:spacing w:val="0"/>
          <w:position w:val="0"/>
          <w:sz w:val="22"/>
          <w:shd w:fill="auto" w:val="clear"/>
        </w:rPr>
      </w:pPr>
      <w:r>
        <w:rPr>
          <w:rFonts w:ascii="Arial" w:hAnsi="Arial" w:cs="Arial" w:eastAsia="Arial"/>
          <w:color w:val="1A1A2E"/>
          <w:spacing w:val="0"/>
          <w:position w:val="0"/>
          <w:sz w:val="22"/>
          <w:shd w:fill="auto" w:val="clear"/>
        </w:rPr>
        <w:t xml:space="preserve">Despite this scale of impact, financial institutions operating across East Africa continue to underwrite, lend, and invest without access to granular, real-time, location-specific flood risk intelligence. Catastrophe models applied in African markets are predominantly derived from global or European datasets and are not calibrated for local hydrology, terrain morphology, or land use patterns (Fathom, 2022; Bates et al., 2021). This creates a systematic mispricing of flood risk that manifests as elevated insurance loss ratios, unexpected loan default clusters, and inadequately stress-tested portfolios.</w:t>
      </w:r>
    </w:p>
    <w:p>
      <w:pPr>
        <w:spacing w:before="80" w:after="0" w:line="240"/>
        <w:ind w:right="0" w:left="0" w:firstLine="0"/>
        <w:jc w:val="left"/>
        <w:rPr>
          <w:rFonts w:ascii="Arial" w:hAnsi="Arial" w:cs="Arial" w:eastAsia="Arial"/>
          <w:color w:val="auto"/>
          <w:spacing w:val="0"/>
          <w:position w:val="0"/>
          <w:sz w:val="22"/>
          <w:shd w:fill="auto" w:val="clear"/>
        </w:rPr>
      </w:pPr>
    </w:p>
    <w:p>
      <w:pPr>
        <w:spacing w:before="60" w:after="100" w:line="240"/>
        <w:ind w:right="0" w:left="0" w:firstLine="0"/>
        <w:jc w:val="both"/>
        <w:rPr>
          <w:rFonts w:ascii="Arial" w:hAnsi="Arial" w:cs="Arial" w:eastAsia="Arial"/>
          <w:color w:val="auto"/>
          <w:spacing w:val="0"/>
          <w:position w:val="0"/>
          <w:sz w:val="22"/>
          <w:shd w:fill="auto" w:val="clear"/>
        </w:rPr>
      </w:pPr>
      <w:r>
        <w:rPr>
          <w:rFonts w:ascii="Arial" w:hAnsi="Arial" w:cs="Arial" w:eastAsia="Arial"/>
          <w:color w:val="1A1A2E"/>
          <w:spacing w:val="0"/>
          <w:position w:val="0"/>
          <w:sz w:val="22"/>
          <w:shd w:fill="auto" w:val="clear"/>
        </w:rPr>
        <w:t xml:space="preserve">TerraSat Apex addresses this gap through a multi-method approach that combines: (1) Synthetic Aperture Radar (SAR) and multispectral satellite imagery processed through AI-based flood detection pipelines; (2) a geo-foundational AI model trained on localised East African hydrology, terrain, and historical flood datasets; (3) a physical IoT sensor network providing real-time ground-truth water level measurements; and (4) a financial translation layer that converts physical hazard outputs into financial risk metrics for integration into credit models, portfolio stress tests, and regulatory climate disclosures.</w:t>
      </w:r>
    </w:p>
    <w:p>
      <w:pPr>
        <w:spacing w:before="80" w:after="0" w:line="240"/>
        <w:ind w:right="0" w:left="0" w:firstLine="0"/>
        <w:jc w:val="left"/>
        <w:rPr>
          <w:rFonts w:ascii="Arial" w:hAnsi="Arial" w:cs="Arial" w:eastAsia="Arial"/>
          <w:color w:val="auto"/>
          <w:spacing w:val="0"/>
          <w:position w:val="0"/>
          <w:sz w:val="22"/>
          <w:shd w:fill="auto" w:val="clear"/>
        </w:rPr>
      </w:pPr>
    </w:p>
    <w:tbl>
      <w:tblPr/>
      <w:tblGrid>
        <w:gridCol w:w="9360"/>
      </w:tblGrid>
      <w:tr>
        <w:trPr>
          <w:trHeight w:val="1" w:hRule="atLeast"/>
          <w:jc w:val="left"/>
        </w:trPr>
        <w:tc>
          <w:tcPr>
            <w:tcW w:w="9360" w:type="dxa"/>
            <w:tcBorders>
              <w:top w:val="single" w:color="cccccc" w:sz="1"/>
              <w:left w:val="single" w:color="cccccc" w:sz="1"/>
              <w:bottom w:val="single" w:color="cccccc" w:sz="1"/>
              <w:right w:val="single" w:color="cccccc" w:sz="1"/>
            </w:tcBorders>
            <w:shd w:color="000000" w:fill="eaf4f4" w:val="clear"/>
            <w:tcMar>
              <w:left w:w="280" w:type="dxa"/>
              <w:right w:w="280" w:type="dxa"/>
            </w:tcMar>
            <w:vAlign w:val="top"/>
          </w:tcPr>
          <w:p>
            <w:pPr>
              <w:spacing w:before="0" w:after="8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1A3C5E"/>
                <w:spacing w:val="0"/>
                <w:position w:val="0"/>
                <w:sz w:val="23"/>
                <w:shd w:fill="auto" w:val="clear"/>
              </w:rPr>
              <w:t xml:space="preserve">Research Positioning</w:t>
            </w:r>
          </w:p>
          <w:p>
            <w:pPr>
              <w:spacing w:before="0" w:after="0" w:line="240"/>
              <w:ind w:right="0" w:left="0" w:firstLine="0"/>
              <w:jc w:val="both"/>
              <w:rPr>
                <w:spacing w:val="0"/>
                <w:position w:val="0"/>
                <w:shd w:fill="auto" w:val="clear"/>
              </w:rPr>
            </w:pPr>
            <w:r>
              <w:rPr>
                <w:rFonts w:ascii="Arial" w:hAnsi="Arial" w:cs="Arial" w:eastAsia="Arial"/>
                <w:color w:val="1A1A2E"/>
                <w:spacing w:val="0"/>
                <w:position w:val="0"/>
                <w:sz w:val="21"/>
                <w:shd w:fill="auto" w:val="clear"/>
              </w:rPr>
              <w:t xml:space="preserve">TerraSat Apex sits at the intersection of four research disciplines: Earth Observation science, computational hydrology, IoT environmental sensing, and climate risk finance. The methodology is designed to be rigorous enough to satisfy scientific validation standards while being operationally deployable in data-sparse, low-connectivity African field environments. This dual requirement shapes every methodological decision documented in this paper.</w:t>
            </w:r>
          </w:p>
        </w:tc>
      </w:tr>
    </w:tbl>
    <w:p>
      <w:pPr>
        <w:spacing w:before="200" w:after="0" w:line="240"/>
        <w:ind w:right="0" w:left="0" w:firstLine="0"/>
        <w:jc w:val="left"/>
        <w:rPr>
          <w:rFonts w:ascii="Arial" w:hAnsi="Arial" w:cs="Arial" w:eastAsia="Arial"/>
          <w:color w:val="auto"/>
          <w:spacing w:val="0"/>
          <w:position w:val="0"/>
          <w:sz w:val="22"/>
          <w:shd w:fill="auto" w:val="clear"/>
        </w:rPr>
      </w:pPr>
    </w:p>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40"/>
        <w:ind w:right="0" w:left="0" w:firstLine="0"/>
        <w:jc w:val="left"/>
        <w:rPr>
          <w:rFonts w:ascii="Arial" w:hAnsi="Arial" w:cs="Arial" w:eastAsia="Arial"/>
          <w:color w:val="auto"/>
          <w:spacing w:val="0"/>
          <w:position w:val="0"/>
          <w:sz w:val="22"/>
          <w:shd w:fill="auto" w:val="clear"/>
        </w:rPr>
      </w:pPr>
    </w:p>
    <w:p>
      <w:pPr>
        <w:spacing w:before="480" w:after="160" w:line="240"/>
        <w:ind w:right="0" w:left="0" w:firstLine="0"/>
        <w:jc w:val="left"/>
        <w:rPr>
          <w:rFonts w:ascii="Arial" w:hAnsi="Arial" w:cs="Arial" w:eastAsia="Arial"/>
          <w:b/>
          <w:color w:val="1A3C5E"/>
          <w:spacing w:val="0"/>
          <w:position w:val="0"/>
          <w:sz w:val="34"/>
          <w:shd w:fill="auto" w:val="clear"/>
        </w:rPr>
      </w:pPr>
      <w:r>
        <w:rPr>
          <w:rFonts w:ascii="Arial" w:hAnsi="Arial" w:cs="Arial" w:eastAsia="Arial"/>
          <w:b/>
          <w:color w:val="1A3C5E"/>
          <w:spacing w:val="0"/>
          <w:position w:val="0"/>
          <w:sz w:val="34"/>
          <w:shd w:fill="auto" w:val="clear"/>
        </w:rPr>
        <w:t xml:space="preserve">2. Theoretical Framework</w:t>
      </w:r>
    </w:p>
    <w:p>
      <w:pPr>
        <w:spacing w:before="60" w:after="100" w:line="240"/>
        <w:ind w:right="0" w:left="0" w:firstLine="0"/>
        <w:jc w:val="both"/>
        <w:rPr>
          <w:rFonts w:ascii="Arial" w:hAnsi="Arial" w:cs="Arial" w:eastAsia="Arial"/>
          <w:color w:val="auto"/>
          <w:spacing w:val="0"/>
          <w:position w:val="0"/>
          <w:sz w:val="22"/>
          <w:shd w:fill="auto" w:val="clear"/>
        </w:rPr>
      </w:pPr>
      <w:r>
        <w:rPr>
          <w:rFonts w:ascii="Arial" w:hAnsi="Arial" w:cs="Arial" w:eastAsia="Arial"/>
          <w:color w:val="1A1A2E"/>
          <w:spacing w:val="0"/>
          <w:position w:val="0"/>
          <w:sz w:val="22"/>
          <w:shd w:fill="auto" w:val="clear"/>
        </w:rPr>
        <w:t xml:space="preserve">The Apex methodology is grounded in four interlocking theoretical frameworks, each with substantial empirical literature supporting its application to climate risk intelligence in emerging market contexts.</w:t>
      </w:r>
    </w:p>
    <w:p>
      <w:pPr>
        <w:spacing w:before="120" w:after="0" w:line="240"/>
        <w:ind w:right="0" w:left="0" w:firstLine="0"/>
        <w:jc w:val="left"/>
        <w:rPr>
          <w:rFonts w:ascii="Arial" w:hAnsi="Arial" w:cs="Arial" w:eastAsia="Arial"/>
          <w:color w:val="auto"/>
          <w:spacing w:val="0"/>
          <w:position w:val="0"/>
          <w:sz w:val="22"/>
          <w:shd w:fill="auto" w:val="clear"/>
        </w:rPr>
      </w:pPr>
    </w:p>
    <w:p>
      <w:pPr>
        <w:spacing w:before="320" w:after="120" w:line="240"/>
        <w:ind w:right="0" w:left="0" w:firstLine="0"/>
        <w:jc w:val="left"/>
        <w:rPr>
          <w:rFonts w:ascii="Arial" w:hAnsi="Arial" w:cs="Arial" w:eastAsia="Arial"/>
          <w:b/>
          <w:color w:val="0D7377"/>
          <w:spacing w:val="0"/>
          <w:position w:val="0"/>
          <w:sz w:val="27"/>
          <w:shd w:fill="auto" w:val="clear"/>
        </w:rPr>
      </w:pPr>
      <w:r>
        <w:rPr>
          <w:rFonts w:ascii="Arial" w:hAnsi="Arial" w:cs="Arial" w:eastAsia="Arial"/>
          <w:b/>
          <w:color w:val="0D7377"/>
          <w:spacing w:val="0"/>
          <w:position w:val="0"/>
          <w:sz w:val="27"/>
          <w:shd w:fill="auto" w:val="clear"/>
        </w:rPr>
        <w:t xml:space="preserve">2.1 Earth Observation and Remote Sensing Theory</w:t>
      </w:r>
    </w:p>
    <w:p>
      <w:pPr>
        <w:spacing w:before="60" w:after="100" w:line="240"/>
        <w:ind w:right="0" w:left="0" w:firstLine="0"/>
        <w:jc w:val="both"/>
        <w:rPr>
          <w:rFonts w:ascii="Arial" w:hAnsi="Arial" w:cs="Arial" w:eastAsia="Arial"/>
          <w:color w:val="auto"/>
          <w:spacing w:val="0"/>
          <w:position w:val="0"/>
          <w:sz w:val="22"/>
          <w:shd w:fill="auto" w:val="clear"/>
        </w:rPr>
      </w:pPr>
      <w:r>
        <w:rPr>
          <w:rFonts w:ascii="Arial" w:hAnsi="Arial" w:cs="Arial" w:eastAsia="Arial"/>
          <w:color w:val="1A1A2E"/>
          <w:spacing w:val="0"/>
          <w:position w:val="0"/>
          <w:sz w:val="22"/>
          <w:shd w:fill="auto" w:val="clear"/>
        </w:rPr>
        <w:t xml:space="preserve">The use of satellite remote sensing for flood detection is grounded in established electromagnetic theory and has been validated across decades of operational research. Synthetic Aperture Radar (SAR) operates in the microwave portion of the electromagnetic spectrum (1-10 GHz), penetrating cloud cover and providing reliable surface backscatter measurements regardless of atmospheric conditions (Ulaby et al., 1982). This property makes SAR the instrument of choice for flood mapping in tropical and equatorial regions where persistent cloud cover renders optical imagery unreliable during peak flood season (Martinis et al., 2015).</w:t>
      </w:r>
    </w:p>
    <w:p>
      <w:pPr>
        <w:spacing w:before="80" w:after="0" w:line="240"/>
        <w:ind w:right="0" w:left="0" w:firstLine="0"/>
        <w:jc w:val="left"/>
        <w:rPr>
          <w:rFonts w:ascii="Arial" w:hAnsi="Arial" w:cs="Arial" w:eastAsia="Arial"/>
          <w:color w:val="auto"/>
          <w:spacing w:val="0"/>
          <w:position w:val="0"/>
          <w:sz w:val="22"/>
          <w:shd w:fill="auto" w:val="clear"/>
        </w:rPr>
      </w:pPr>
    </w:p>
    <w:p>
      <w:pPr>
        <w:spacing w:before="60" w:after="100" w:line="240"/>
        <w:ind w:right="0" w:left="0" w:firstLine="0"/>
        <w:jc w:val="both"/>
        <w:rPr>
          <w:rFonts w:ascii="Arial" w:hAnsi="Arial" w:cs="Arial" w:eastAsia="Arial"/>
          <w:color w:val="auto"/>
          <w:spacing w:val="0"/>
          <w:position w:val="0"/>
          <w:sz w:val="22"/>
          <w:shd w:fill="auto" w:val="clear"/>
        </w:rPr>
      </w:pPr>
      <w:r>
        <w:rPr>
          <w:rFonts w:ascii="Arial" w:hAnsi="Arial" w:cs="Arial" w:eastAsia="Arial"/>
          <w:color w:val="1A1A2E"/>
          <w:spacing w:val="0"/>
          <w:position w:val="0"/>
          <w:sz w:val="22"/>
          <w:shd w:fill="auto" w:val="clear"/>
        </w:rPr>
        <w:t xml:space="preserve">The physical basis for SAR flood detection relies on the specular reflection property of open water surfaces: water reflects incoming radar signals away from the sensor, producing characteristically low backscatter values distinguishable from surrounding vegetated or built-up surfaces (Mason et al., 2010). This contrast enables automated water body delineation using thresholding, change detection, and machine learning approaches applied to SAR intensity imagery.</w:t>
      </w:r>
    </w:p>
    <w:p>
      <w:pPr>
        <w:spacing w:before="80" w:after="0" w:line="240"/>
        <w:ind w:right="0" w:left="0" w:firstLine="0"/>
        <w:jc w:val="left"/>
        <w:rPr>
          <w:rFonts w:ascii="Arial" w:hAnsi="Arial" w:cs="Arial" w:eastAsia="Arial"/>
          <w:color w:val="auto"/>
          <w:spacing w:val="0"/>
          <w:position w:val="0"/>
          <w:sz w:val="22"/>
          <w:shd w:fill="auto" w:val="clear"/>
        </w:rPr>
      </w:pPr>
    </w:p>
    <w:p>
      <w:pPr>
        <w:spacing w:before="60" w:after="100" w:line="240"/>
        <w:ind w:right="0" w:left="0" w:firstLine="0"/>
        <w:jc w:val="both"/>
        <w:rPr>
          <w:rFonts w:ascii="Arial" w:hAnsi="Arial" w:cs="Arial" w:eastAsia="Arial"/>
          <w:color w:val="auto"/>
          <w:spacing w:val="0"/>
          <w:position w:val="0"/>
          <w:sz w:val="22"/>
          <w:shd w:fill="auto" w:val="clear"/>
        </w:rPr>
      </w:pPr>
      <w:r>
        <w:rPr>
          <w:rFonts w:ascii="Arial" w:hAnsi="Arial" w:cs="Arial" w:eastAsia="Arial"/>
          <w:color w:val="1A1A2E"/>
          <w:spacing w:val="0"/>
          <w:position w:val="0"/>
          <w:sz w:val="22"/>
          <w:shd w:fill="auto" w:val="clear"/>
        </w:rPr>
        <w:t xml:space="preserve">Multispectral optical imagery (Sentinel-2, Landsat-9) complements SAR through its capacity for land cover characterisation, vegetation stress detection via Normalised Difference Vegetation Index (NDVI), and surface water mapping via the Modified Normalised Difference Water Index (MNDWI) during cloud-free periods (Xu, 2006; McFeeters, 1996). The combination of SAR and multispectral data into a multi-sensor fusion pipeline is the methodological foundation of Apex's satellite observation layer.</w:t>
      </w:r>
    </w:p>
    <w:p>
      <w:pPr>
        <w:spacing w:before="120" w:after="0" w:line="240"/>
        <w:ind w:right="0" w:left="0" w:firstLine="0"/>
        <w:jc w:val="left"/>
        <w:rPr>
          <w:rFonts w:ascii="Arial" w:hAnsi="Arial" w:cs="Arial" w:eastAsia="Arial"/>
          <w:color w:val="auto"/>
          <w:spacing w:val="0"/>
          <w:position w:val="0"/>
          <w:sz w:val="22"/>
          <w:shd w:fill="auto" w:val="clear"/>
        </w:rPr>
      </w:pPr>
    </w:p>
    <w:p>
      <w:pPr>
        <w:spacing w:before="320" w:after="120" w:line="240"/>
        <w:ind w:right="0" w:left="0" w:firstLine="0"/>
        <w:jc w:val="left"/>
        <w:rPr>
          <w:rFonts w:ascii="Arial" w:hAnsi="Arial" w:cs="Arial" w:eastAsia="Arial"/>
          <w:b/>
          <w:color w:val="0D7377"/>
          <w:spacing w:val="0"/>
          <w:position w:val="0"/>
          <w:sz w:val="27"/>
          <w:shd w:fill="auto" w:val="clear"/>
        </w:rPr>
      </w:pPr>
      <w:r>
        <w:rPr>
          <w:rFonts w:ascii="Arial" w:hAnsi="Arial" w:cs="Arial" w:eastAsia="Arial"/>
          <w:b/>
          <w:color w:val="0D7377"/>
          <w:spacing w:val="0"/>
          <w:position w:val="0"/>
          <w:sz w:val="27"/>
          <w:shd w:fill="auto" w:val="clear"/>
        </w:rPr>
        <w:t xml:space="preserve">2.2 Computational Hydrology and Flood Risk Modelling</w:t>
      </w:r>
    </w:p>
    <w:p>
      <w:pPr>
        <w:spacing w:before="60" w:after="100" w:line="240"/>
        <w:ind w:right="0" w:left="0" w:firstLine="0"/>
        <w:jc w:val="both"/>
        <w:rPr>
          <w:rFonts w:ascii="Arial" w:hAnsi="Arial" w:cs="Arial" w:eastAsia="Arial"/>
          <w:color w:val="auto"/>
          <w:spacing w:val="0"/>
          <w:position w:val="0"/>
          <w:sz w:val="22"/>
          <w:shd w:fill="auto" w:val="clear"/>
        </w:rPr>
      </w:pPr>
      <w:r>
        <w:rPr>
          <w:rFonts w:ascii="Arial" w:hAnsi="Arial" w:cs="Arial" w:eastAsia="Arial"/>
          <w:color w:val="1A1A2E"/>
          <w:spacing w:val="0"/>
          <w:position w:val="0"/>
          <w:sz w:val="22"/>
          <w:shd w:fill="auto" w:val="clear"/>
        </w:rPr>
        <w:t xml:space="preserve">Hydrological flood modelling is the scientific discipline concerned with simulating water movement across catchments, predicting flood extent and depth, and estimating return period probabilities for flood events of varying magnitudes. Two primary modelling paradigms underpin Apex's approach.</w:t>
      </w:r>
    </w:p>
    <w:p>
      <w:pPr>
        <w:spacing w:before="80" w:after="0" w:line="240"/>
        <w:ind w:right="0" w:left="0" w:firstLine="0"/>
        <w:jc w:val="left"/>
        <w:rPr>
          <w:rFonts w:ascii="Arial" w:hAnsi="Arial" w:cs="Arial" w:eastAsia="Arial"/>
          <w:color w:val="auto"/>
          <w:spacing w:val="0"/>
          <w:position w:val="0"/>
          <w:sz w:val="22"/>
          <w:shd w:fill="auto" w:val="clear"/>
        </w:rPr>
      </w:pPr>
    </w:p>
    <w:p>
      <w:pPr>
        <w:spacing w:before="60" w:after="100" w:line="240"/>
        <w:ind w:right="0" w:left="0" w:firstLine="0"/>
        <w:jc w:val="both"/>
        <w:rPr>
          <w:rFonts w:ascii="Arial" w:hAnsi="Arial" w:cs="Arial" w:eastAsia="Arial"/>
          <w:color w:val="auto"/>
          <w:spacing w:val="0"/>
          <w:position w:val="0"/>
          <w:sz w:val="22"/>
          <w:shd w:fill="auto" w:val="clear"/>
        </w:rPr>
      </w:pPr>
      <w:r>
        <w:rPr>
          <w:rFonts w:ascii="Arial" w:hAnsi="Arial" w:cs="Arial" w:eastAsia="Arial"/>
          <w:color w:val="1A1A2E"/>
          <w:spacing w:val="0"/>
          <w:position w:val="0"/>
          <w:sz w:val="22"/>
          <w:shd w:fill="auto" w:val="clear"/>
        </w:rPr>
        <w:t xml:space="preserve">Physics-based hydraulic models, including LISFLOOD-FP (Bates and De Roo, 2000) and HEC-RAS (USACE, 2016), simulate water routing through river networks and floodplain terrain using shallow water equations derived from the Saint-Venant equations. These models require Digital Elevation Models (DEMs), river bathymetry, and roughness parameters as inputs, and produce spatially distributed predictions of inundation depth and extent. Their computational demands have historically limited their application at continental scale, but advances in cloud computing and GPU acceleration are enabling near-real-time operational deployment (Wing et al., 2017).</w:t>
      </w:r>
    </w:p>
    <w:p>
      <w:pPr>
        <w:spacing w:before="80" w:after="0" w:line="240"/>
        <w:ind w:right="0" w:left="0" w:firstLine="0"/>
        <w:jc w:val="left"/>
        <w:rPr>
          <w:rFonts w:ascii="Arial" w:hAnsi="Arial" w:cs="Arial" w:eastAsia="Arial"/>
          <w:color w:val="auto"/>
          <w:spacing w:val="0"/>
          <w:position w:val="0"/>
          <w:sz w:val="22"/>
          <w:shd w:fill="auto" w:val="clear"/>
        </w:rPr>
      </w:pPr>
    </w:p>
    <w:p>
      <w:pPr>
        <w:spacing w:before="60" w:after="100" w:line="240"/>
        <w:ind w:right="0" w:left="0" w:firstLine="0"/>
        <w:jc w:val="both"/>
        <w:rPr>
          <w:rFonts w:ascii="Arial" w:hAnsi="Arial" w:cs="Arial" w:eastAsia="Arial"/>
          <w:color w:val="auto"/>
          <w:spacing w:val="0"/>
          <w:position w:val="0"/>
          <w:sz w:val="22"/>
          <w:shd w:fill="auto" w:val="clear"/>
        </w:rPr>
      </w:pPr>
      <w:r>
        <w:rPr>
          <w:rFonts w:ascii="Arial" w:hAnsi="Arial" w:cs="Arial" w:eastAsia="Arial"/>
          <w:color w:val="1A1A2E"/>
          <w:spacing w:val="0"/>
          <w:position w:val="0"/>
          <w:sz w:val="22"/>
          <w:shd w:fill="auto" w:val="clear"/>
        </w:rPr>
        <w:t xml:space="preserve">Data-driven machine learning approaches, particularly Convolutional Neural Networks (CNNs) and U-Net architectures, have demonstrated strong performance in flood extent mapping from SAR imagery, achieving intersection-over-union (IoU) scores exceeding 0.85 in benchmark evaluations (Bonafilia et al., 2020). These approaches learn spatial flood patterns directly from labelled satellite imagery without requiring explicit hydrological parameterisation, making them robust in data-sparse environments where detailed river cross-section surveys are unavailable.</w:t>
      </w:r>
    </w:p>
    <w:p>
      <w:pPr>
        <w:spacing w:before="80" w:after="0" w:line="240"/>
        <w:ind w:right="0" w:left="0" w:firstLine="0"/>
        <w:jc w:val="left"/>
        <w:rPr>
          <w:rFonts w:ascii="Arial" w:hAnsi="Arial" w:cs="Arial" w:eastAsia="Arial"/>
          <w:color w:val="auto"/>
          <w:spacing w:val="0"/>
          <w:position w:val="0"/>
          <w:sz w:val="22"/>
          <w:shd w:fill="auto" w:val="clear"/>
        </w:rPr>
      </w:pPr>
    </w:p>
    <w:p>
      <w:pPr>
        <w:spacing w:before="60" w:after="100" w:line="240"/>
        <w:ind w:right="0" w:left="0" w:firstLine="0"/>
        <w:jc w:val="both"/>
        <w:rPr>
          <w:rFonts w:ascii="Arial" w:hAnsi="Arial" w:cs="Arial" w:eastAsia="Arial"/>
          <w:color w:val="auto"/>
          <w:spacing w:val="0"/>
          <w:position w:val="0"/>
          <w:sz w:val="22"/>
          <w:shd w:fill="auto" w:val="clear"/>
        </w:rPr>
      </w:pPr>
      <w:r>
        <w:rPr>
          <w:rFonts w:ascii="Arial" w:hAnsi="Arial" w:cs="Arial" w:eastAsia="Arial"/>
          <w:color w:val="1A1A2E"/>
          <w:spacing w:val="0"/>
          <w:position w:val="0"/>
          <w:sz w:val="22"/>
          <w:shd w:fill="auto" w:val="clear"/>
        </w:rPr>
        <w:t xml:space="preserve">The Apex geo-foundational model adopts a hybrid approach that combines physics-informed features (terrain slope, flow accumulation, river proximity, soil hydraulic conductivity) with data-driven learning from historical SAR flood imagery and IoT sensor observations. This hybrid methodology draws on the conceptual framework established by Kratzert et al. (2018) for rainfall-runoff modelling using Long Short-Term Memory (LSTM) networks, adapted for spatial flood extent prediction.</w:t>
      </w:r>
    </w:p>
    <w:p>
      <w:pPr>
        <w:spacing w:before="120" w:after="0" w:line="240"/>
        <w:ind w:right="0" w:left="0" w:firstLine="0"/>
        <w:jc w:val="left"/>
        <w:rPr>
          <w:rFonts w:ascii="Arial" w:hAnsi="Arial" w:cs="Arial" w:eastAsia="Arial"/>
          <w:color w:val="auto"/>
          <w:spacing w:val="0"/>
          <w:position w:val="0"/>
          <w:sz w:val="22"/>
          <w:shd w:fill="auto" w:val="clear"/>
        </w:rPr>
      </w:pPr>
    </w:p>
    <w:p>
      <w:pPr>
        <w:spacing w:before="320" w:after="120" w:line="240"/>
        <w:ind w:right="0" w:left="0" w:firstLine="0"/>
        <w:jc w:val="left"/>
        <w:rPr>
          <w:rFonts w:ascii="Arial" w:hAnsi="Arial" w:cs="Arial" w:eastAsia="Arial"/>
          <w:b/>
          <w:color w:val="0D7377"/>
          <w:spacing w:val="0"/>
          <w:position w:val="0"/>
          <w:sz w:val="27"/>
          <w:shd w:fill="auto" w:val="clear"/>
        </w:rPr>
      </w:pPr>
      <w:r>
        <w:rPr>
          <w:rFonts w:ascii="Arial" w:hAnsi="Arial" w:cs="Arial" w:eastAsia="Arial"/>
          <w:b/>
          <w:color w:val="0D7377"/>
          <w:spacing w:val="0"/>
          <w:position w:val="0"/>
          <w:sz w:val="27"/>
          <w:shd w:fill="auto" w:val="clear"/>
        </w:rPr>
        <w:t xml:space="preserve">2.3 IoT Environmental Sensor Networks for Hydrology</w:t>
      </w:r>
    </w:p>
    <w:p>
      <w:pPr>
        <w:spacing w:before="60" w:after="100" w:line="240"/>
        <w:ind w:right="0" w:left="0" w:firstLine="0"/>
        <w:jc w:val="both"/>
        <w:rPr>
          <w:rFonts w:ascii="Arial" w:hAnsi="Arial" w:cs="Arial" w:eastAsia="Arial"/>
          <w:color w:val="auto"/>
          <w:spacing w:val="0"/>
          <w:position w:val="0"/>
          <w:sz w:val="22"/>
          <w:shd w:fill="auto" w:val="clear"/>
        </w:rPr>
      </w:pPr>
      <w:r>
        <w:rPr>
          <w:rFonts w:ascii="Arial" w:hAnsi="Arial" w:cs="Arial" w:eastAsia="Arial"/>
          <w:color w:val="1A1A2E"/>
          <w:spacing w:val="0"/>
          <w:position w:val="0"/>
          <w:sz w:val="22"/>
          <w:shd w:fill="auto" w:val="clear"/>
        </w:rPr>
        <w:t xml:space="preserve">The deployment of low-cost Internet of Things (IoT) sensor networks for environmental monitoring is a rapidly growing field with strong theoretical and empirical foundations in hydrology, precision agriculture, and disaster risk reduction. The theoretical basis rests on the concept of Wireless Sensor Networks (WSNs), as formalised by Akyildiz et al. (2002), and their application to stream gauging and flood early warning systems (Alfieri et al., 2012).</w:t>
      </w:r>
    </w:p>
    <w:p>
      <w:pPr>
        <w:spacing w:before="80" w:after="0" w:line="240"/>
        <w:ind w:right="0" w:left="0" w:firstLine="0"/>
        <w:jc w:val="left"/>
        <w:rPr>
          <w:rFonts w:ascii="Arial" w:hAnsi="Arial" w:cs="Arial" w:eastAsia="Arial"/>
          <w:color w:val="auto"/>
          <w:spacing w:val="0"/>
          <w:position w:val="0"/>
          <w:sz w:val="22"/>
          <w:shd w:fill="auto" w:val="clear"/>
        </w:rPr>
      </w:pPr>
    </w:p>
    <w:p>
      <w:pPr>
        <w:spacing w:before="60" w:after="100" w:line="240"/>
        <w:ind w:right="0" w:left="0" w:firstLine="0"/>
        <w:jc w:val="both"/>
        <w:rPr>
          <w:rFonts w:ascii="Arial" w:hAnsi="Arial" w:cs="Arial" w:eastAsia="Arial"/>
          <w:color w:val="auto"/>
          <w:spacing w:val="0"/>
          <w:position w:val="0"/>
          <w:sz w:val="22"/>
          <w:shd w:fill="auto" w:val="clear"/>
        </w:rPr>
      </w:pPr>
      <w:r>
        <w:rPr>
          <w:rFonts w:ascii="Arial" w:hAnsi="Arial" w:cs="Arial" w:eastAsia="Arial"/>
          <w:color w:val="1A1A2E"/>
          <w:spacing w:val="0"/>
          <w:position w:val="0"/>
          <w:sz w:val="22"/>
          <w:shd w:fill="auto" w:val="clear"/>
        </w:rPr>
        <w:t xml:space="preserve">IoT flood sensors operate on the principle of in-situ measurement: physical transducers convert environmental variables (water level, rainfall intensity, soil moisture) into electronic signals transmitted to remote servers via low-power wide-area network (LPWAN) protocols. LoRaWAN (Long Range Wide Area Network) has emerged as the leading LPWAN protocol for environmental IoT applications due to its combination of multi-kilometre range, sub-milliwatt power consumption, and open-standard architecture (Centenaro et al., 2016; Augustin et al., 2016).</w:t>
      </w:r>
    </w:p>
    <w:p>
      <w:pPr>
        <w:spacing w:before="80" w:after="0" w:line="240"/>
        <w:ind w:right="0" w:left="0" w:firstLine="0"/>
        <w:jc w:val="left"/>
        <w:rPr>
          <w:rFonts w:ascii="Arial" w:hAnsi="Arial" w:cs="Arial" w:eastAsia="Arial"/>
          <w:color w:val="auto"/>
          <w:spacing w:val="0"/>
          <w:position w:val="0"/>
          <w:sz w:val="22"/>
          <w:shd w:fill="auto" w:val="clear"/>
        </w:rPr>
      </w:pPr>
    </w:p>
    <w:p>
      <w:pPr>
        <w:spacing w:before="60" w:after="100" w:line="240"/>
        <w:ind w:right="0" w:left="0" w:firstLine="0"/>
        <w:jc w:val="both"/>
        <w:rPr>
          <w:rFonts w:ascii="Arial" w:hAnsi="Arial" w:cs="Arial" w:eastAsia="Arial"/>
          <w:color w:val="auto"/>
          <w:spacing w:val="0"/>
          <w:position w:val="0"/>
          <w:sz w:val="22"/>
          <w:shd w:fill="auto" w:val="clear"/>
        </w:rPr>
      </w:pPr>
      <w:r>
        <w:rPr>
          <w:rFonts w:ascii="Arial" w:hAnsi="Arial" w:cs="Arial" w:eastAsia="Arial"/>
          <w:color w:val="1A1A2E"/>
          <w:spacing w:val="0"/>
          <w:position w:val="0"/>
          <w:sz w:val="22"/>
          <w:shd w:fill="auto" w:val="clear"/>
        </w:rPr>
        <w:t xml:space="preserve">The specific role of IoT sensors in the Apex framework is what the methodology terms groundtruthing: the process of validating and correcting remote-sensing-derived estimates using in-situ measurements. This concept is directly analogous to the established remote sensing practice of ground control point validation (Congalton and Green, 2019), extended from static land cover validation to dynamic, continuous flood depth measurement. The theoretical justification for this approach rests on the principle of data fusion across sensor modalities with complementary spatial and temporal characteristics: satellite observation provides broad spatial coverage at coarse temporal resolution, while IoT sensors provide point-scale measurements at high temporal frequency (Lahat et al., 2015).</w:t>
      </w:r>
    </w:p>
    <w:p>
      <w:pPr>
        <w:spacing w:before="120" w:after="0" w:line="240"/>
        <w:ind w:right="0" w:left="0" w:firstLine="0"/>
        <w:jc w:val="left"/>
        <w:rPr>
          <w:rFonts w:ascii="Arial" w:hAnsi="Arial" w:cs="Arial" w:eastAsia="Arial"/>
          <w:color w:val="auto"/>
          <w:spacing w:val="0"/>
          <w:position w:val="0"/>
          <w:sz w:val="22"/>
          <w:shd w:fill="auto" w:val="clear"/>
        </w:rPr>
      </w:pPr>
    </w:p>
    <w:p>
      <w:pPr>
        <w:spacing w:before="320" w:after="120" w:line="240"/>
        <w:ind w:right="0" w:left="0" w:firstLine="0"/>
        <w:jc w:val="left"/>
        <w:rPr>
          <w:rFonts w:ascii="Arial" w:hAnsi="Arial" w:cs="Arial" w:eastAsia="Arial"/>
          <w:b/>
          <w:color w:val="0D7377"/>
          <w:spacing w:val="0"/>
          <w:position w:val="0"/>
          <w:sz w:val="27"/>
          <w:shd w:fill="auto" w:val="clear"/>
        </w:rPr>
      </w:pPr>
      <w:r>
        <w:rPr>
          <w:rFonts w:ascii="Arial" w:hAnsi="Arial" w:cs="Arial" w:eastAsia="Arial"/>
          <w:b/>
          <w:color w:val="0D7377"/>
          <w:spacing w:val="0"/>
          <w:position w:val="0"/>
          <w:sz w:val="27"/>
          <w:shd w:fill="auto" w:val="clear"/>
        </w:rPr>
        <w:t xml:space="preserve">2.4 Climate Risk Quantification for Financial Institutions</w:t>
      </w:r>
    </w:p>
    <w:p>
      <w:pPr>
        <w:spacing w:before="60" w:after="100" w:line="240"/>
        <w:ind w:right="0" w:left="0" w:firstLine="0"/>
        <w:jc w:val="both"/>
        <w:rPr>
          <w:rFonts w:ascii="Arial" w:hAnsi="Arial" w:cs="Arial" w:eastAsia="Arial"/>
          <w:color w:val="auto"/>
          <w:spacing w:val="0"/>
          <w:position w:val="0"/>
          <w:sz w:val="22"/>
          <w:shd w:fill="auto" w:val="clear"/>
        </w:rPr>
      </w:pPr>
      <w:r>
        <w:rPr>
          <w:rFonts w:ascii="Arial" w:hAnsi="Arial" w:cs="Arial" w:eastAsia="Arial"/>
          <w:color w:val="1A1A2E"/>
          <w:spacing w:val="0"/>
          <w:position w:val="0"/>
          <w:sz w:val="22"/>
          <w:shd w:fill="auto" w:val="clear"/>
        </w:rPr>
        <w:t xml:space="preserve">The translation of physical climate hazard data into financial risk metrics is a relatively recent but rapidly maturing research domain, catalysed by the Task Force on Climate-related Financial Disclosures (TCFD) framework published in 2017 (TCFD, 2017) and the subsequent Network for Greening the Financial System (NGFS) scenario development process (NGFS, 2020).</w:t>
      </w:r>
    </w:p>
    <w:p>
      <w:pPr>
        <w:spacing w:before="80" w:after="0" w:line="240"/>
        <w:ind w:right="0" w:left="0" w:firstLine="0"/>
        <w:jc w:val="left"/>
        <w:rPr>
          <w:rFonts w:ascii="Arial" w:hAnsi="Arial" w:cs="Arial" w:eastAsia="Arial"/>
          <w:color w:val="auto"/>
          <w:spacing w:val="0"/>
          <w:position w:val="0"/>
          <w:sz w:val="22"/>
          <w:shd w:fill="auto" w:val="clear"/>
        </w:rPr>
      </w:pPr>
    </w:p>
    <w:p>
      <w:pPr>
        <w:spacing w:before="60" w:after="100" w:line="240"/>
        <w:ind w:right="0" w:left="0" w:firstLine="0"/>
        <w:jc w:val="both"/>
        <w:rPr>
          <w:rFonts w:ascii="Arial" w:hAnsi="Arial" w:cs="Arial" w:eastAsia="Arial"/>
          <w:color w:val="auto"/>
          <w:spacing w:val="0"/>
          <w:position w:val="0"/>
          <w:sz w:val="22"/>
          <w:shd w:fill="auto" w:val="clear"/>
        </w:rPr>
      </w:pPr>
      <w:r>
        <w:rPr>
          <w:rFonts w:ascii="Arial" w:hAnsi="Arial" w:cs="Arial" w:eastAsia="Arial"/>
          <w:color w:val="1A1A2E"/>
          <w:spacing w:val="0"/>
          <w:position w:val="0"/>
          <w:sz w:val="22"/>
          <w:shd w:fill="auto" w:val="clear"/>
        </w:rPr>
        <w:t xml:space="preserve">The theoretical foundation rests on the physical risk transmission mechanism, as formalised by Battiston et al. (2017) and subsequently operationalised by central banks and supervisory bodies globally. Physical climate risk affects financial institutions through three primary transmission channels: direct asset damage reducing collateral values and triggering insurance claims; indirect economic disruption reducing borrower revenues and increasing loan default probabilities; and systemic risk through geographically correlated portfolio losses exceeding diversification buffers (Batten et al., 2016; Dietz et al., 2016).</w:t>
      </w:r>
    </w:p>
    <w:p>
      <w:pPr>
        <w:spacing w:before="80" w:after="0" w:line="240"/>
        <w:ind w:right="0" w:left="0" w:firstLine="0"/>
        <w:jc w:val="left"/>
        <w:rPr>
          <w:rFonts w:ascii="Arial" w:hAnsi="Arial" w:cs="Arial" w:eastAsia="Arial"/>
          <w:color w:val="auto"/>
          <w:spacing w:val="0"/>
          <w:position w:val="0"/>
          <w:sz w:val="22"/>
          <w:shd w:fill="auto" w:val="clear"/>
        </w:rPr>
      </w:pPr>
    </w:p>
    <w:p>
      <w:pPr>
        <w:spacing w:before="60" w:after="100" w:line="240"/>
        <w:ind w:right="0" w:left="0" w:firstLine="0"/>
        <w:jc w:val="both"/>
        <w:rPr>
          <w:rFonts w:ascii="Arial" w:hAnsi="Arial" w:cs="Arial" w:eastAsia="Arial"/>
          <w:color w:val="auto"/>
          <w:spacing w:val="0"/>
          <w:position w:val="0"/>
          <w:sz w:val="22"/>
          <w:shd w:fill="auto" w:val="clear"/>
        </w:rPr>
      </w:pPr>
      <w:r>
        <w:rPr>
          <w:rFonts w:ascii="Arial" w:hAnsi="Arial" w:cs="Arial" w:eastAsia="Arial"/>
          <w:color w:val="1A1A2E"/>
          <w:spacing w:val="0"/>
          <w:position w:val="0"/>
          <w:sz w:val="22"/>
          <w:shd w:fill="auto" w:val="clear"/>
        </w:rPr>
        <w:t xml:space="preserve">Asset-level climate risk assessment, as implemented by platforms including Fathom (2022) and demonstrated in the research of Ranger et al. (2011) and Hallegatte et al. (2013), provides the methodological template for converting flood hazard scores into financial exposure metrics. The specific methodology involves overlaying asset geolocations against spatially explicit flood hazard maps, computing exposure as a function of flood depth and asset type-specific damage functions, and aggregating to portfolio level to estimate expected annual loss (EAL) and loss given event at defined return periods.</w:t>
      </w:r>
    </w:p>
    <w:p>
      <w:pPr>
        <w:spacing w:before="80" w:after="0" w:line="240"/>
        <w:ind w:right="0" w:left="0" w:firstLine="0"/>
        <w:jc w:val="left"/>
        <w:rPr>
          <w:rFonts w:ascii="Arial" w:hAnsi="Arial" w:cs="Arial" w:eastAsia="Arial"/>
          <w:color w:val="auto"/>
          <w:spacing w:val="0"/>
          <w:position w:val="0"/>
          <w:sz w:val="22"/>
          <w:shd w:fill="auto" w:val="clear"/>
        </w:rPr>
      </w:pPr>
    </w:p>
    <w:tbl>
      <w:tblPr/>
      <w:tblGrid>
        <w:gridCol w:w="9360"/>
      </w:tblGrid>
      <w:tr>
        <w:trPr>
          <w:trHeight w:val="1" w:hRule="atLeast"/>
          <w:jc w:val="left"/>
        </w:trPr>
        <w:tc>
          <w:tcPr>
            <w:tcW w:w="9360" w:type="dxa"/>
            <w:tcBorders>
              <w:top w:val="single" w:color="cccccc" w:sz="1"/>
              <w:left w:val="single" w:color="cccccc" w:sz="1"/>
              <w:bottom w:val="single" w:color="cccccc" w:sz="1"/>
              <w:right w:val="single" w:color="cccccc" w:sz="1"/>
            </w:tcBorders>
            <w:shd w:color="000000" w:fill="eaf4f4" w:val="clear"/>
            <w:tcMar>
              <w:left w:w="280" w:type="dxa"/>
              <w:right w:w="280" w:type="dxa"/>
            </w:tcMar>
            <w:vAlign w:val="top"/>
          </w:tcPr>
          <w:p>
            <w:pPr>
              <w:spacing w:before="0" w:after="8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1A3C5E"/>
                <w:spacing w:val="0"/>
                <w:position w:val="0"/>
                <w:sz w:val="23"/>
                <w:shd w:fill="auto" w:val="clear"/>
              </w:rPr>
              <w:t xml:space="preserve">Key Theoretical Reference: TCFD Physical Risk Framework</w:t>
            </w:r>
          </w:p>
          <w:p>
            <w:pPr>
              <w:spacing w:before="0" w:after="0" w:line="240"/>
              <w:ind w:right="0" w:left="0" w:firstLine="0"/>
              <w:jc w:val="both"/>
              <w:rPr>
                <w:spacing w:val="0"/>
                <w:position w:val="0"/>
                <w:shd w:fill="auto" w:val="clear"/>
              </w:rPr>
            </w:pPr>
            <w:r>
              <w:rPr>
                <w:rFonts w:ascii="Arial" w:hAnsi="Arial" w:cs="Arial" w:eastAsia="Arial"/>
                <w:color w:val="1A1A2E"/>
                <w:spacing w:val="0"/>
                <w:position w:val="0"/>
                <w:sz w:val="21"/>
                <w:shd w:fill="auto" w:val="clear"/>
              </w:rPr>
              <w:t xml:space="preserve">The TCFD (2017) framework distinguishes two categories of physical climate risk: acute risks from specific weather events (floods, storms, heatwaves) and chronic risks from longer-term climate shifts. For African financial institutions, acute flood risk is the dominant concern and the primary focus of Apex. The TCFD framework recommends scenario-based climate risk assessment using 1.5C, 2C, and 4C warming scenarios, each associated with different flood frequency and magnitude distributions. Apex operationalises this recommendation by providing flood hazard scores calibrated to current climate conditions and projected forward under CMIP6 climate scenarios (Eyring et al., 2016).</w:t>
            </w:r>
          </w:p>
        </w:tc>
      </w:tr>
    </w:tbl>
    <w:p>
      <w:pPr>
        <w:spacing w:before="200" w:after="0" w:line="240"/>
        <w:ind w:right="0" w:left="0" w:firstLine="0"/>
        <w:jc w:val="left"/>
        <w:rPr>
          <w:rFonts w:ascii="Arial" w:hAnsi="Arial" w:cs="Arial" w:eastAsia="Arial"/>
          <w:color w:val="auto"/>
          <w:spacing w:val="0"/>
          <w:position w:val="0"/>
          <w:sz w:val="22"/>
          <w:shd w:fill="auto" w:val="clear"/>
        </w:rPr>
      </w:pPr>
    </w:p>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40"/>
        <w:ind w:right="0" w:left="0" w:firstLine="0"/>
        <w:jc w:val="left"/>
        <w:rPr>
          <w:rFonts w:ascii="Arial" w:hAnsi="Arial" w:cs="Arial" w:eastAsia="Arial"/>
          <w:color w:val="auto"/>
          <w:spacing w:val="0"/>
          <w:position w:val="0"/>
          <w:sz w:val="22"/>
          <w:shd w:fill="auto" w:val="clear"/>
        </w:rPr>
      </w:pPr>
    </w:p>
    <w:p>
      <w:pPr>
        <w:spacing w:before="480" w:after="160" w:line="240"/>
        <w:ind w:right="0" w:left="0" w:firstLine="0"/>
        <w:jc w:val="left"/>
        <w:rPr>
          <w:rFonts w:ascii="Arial" w:hAnsi="Arial" w:cs="Arial" w:eastAsia="Arial"/>
          <w:b/>
          <w:color w:val="1A3C5E"/>
          <w:spacing w:val="0"/>
          <w:position w:val="0"/>
          <w:sz w:val="34"/>
          <w:shd w:fill="auto" w:val="clear"/>
        </w:rPr>
      </w:pPr>
      <w:r>
        <w:rPr>
          <w:rFonts w:ascii="Arial" w:hAnsi="Arial" w:cs="Arial" w:eastAsia="Arial"/>
          <w:b/>
          <w:color w:val="1A3C5E"/>
          <w:spacing w:val="0"/>
          <w:position w:val="0"/>
          <w:sz w:val="34"/>
          <w:shd w:fill="auto" w:val="clear"/>
        </w:rPr>
        <w:t xml:space="preserve">3. Research Methodology</w:t>
      </w:r>
    </w:p>
    <w:p>
      <w:pPr>
        <w:spacing w:before="60" w:after="100" w:line="240"/>
        <w:ind w:right="0" w:left="0" w:firstLine="0"/>
        <w:jc w:val="both"/>
        <w:rPr>
          <w:rFonts w:ascii="Arial" w:hAnsi="Arial" w:cs="Arial" w:eastAsia="Arial"/>
          <w:color w:val="auto"/>
          <w:spacing w:val="0"/>
          <w:position w:val="0"/>
          <w:sz w:val="22"/>
          <w:shd w:fill="auto" w:val="clear"/>
        </w:rPr>
      </w:pPr>
      <w:r>
        <w:rPr>
          <w:rFonts w:ascii="Arial" w:hAnsi="Arial" w:cs="Arial" w:eastAsia="Arial"/>
          <w:color w:val="1A1A2E"/>
          <w:spacing w:val="0"/>
          <w:position w:val="0"/>
          <w:sz w:val="22"/>
          <w:shd w:fill="auto" w:val="clear"/>
        </w:rPr>
        <w:t xml:space="preserve">The Apex methodology is structured as a sequential, multi-stage process that transforms raw Earth Observation data into actionable financial risk intelligence. Each stage has distinct data requirements, processing methods, and validation criteria. The overall methodological design follows a mixed-methods approach combining quantitative remote sensing analysis, physics-informed computational modelling, and empirical sensor-based validation.</w:t>
      </w:r>
    </w:p>
    <w:p>
      <w:pPr>
        <w:spacing w:before="120" w:after="0" w:line="240"/>
        <w:ind w:right="0" w:left="0" w:firstLine="0"/>
        <w:jc w:val="left"/>
        <w:rPr>
          <w:rFonts w:ascii="Arial" w:hAnsi="Arial" w:cs="Arial" w:eastAsia="Arial"/>
          <w:color w:val="auto"/>
          <w:spacing w:val="0"/>
          <w:position w:val="0"/>
          <w:sz w:val="22"/>
          <w:shd w:fill="auto" w:val="clear"/>
        </w:rPr>
      </w:pPr>
    </w:p>
    <w:p>
      <w:pPr>
        <w:spacing w:before="320" w:after="120" w:line="240"/>
        <w:ind w:right="0" w:left="0" w:firstLine="0"/>
        <w:jc w:val="left"/>
        <w:rPr>
          <w:rFonts w:ascii="Arial" w:hAnsi="Arial" w:cs="Arial" w:eastAsia="Arial"/>
          <w:b/>
          <w:color w:val="0D7377"/>
          <w:spacing w:val="0"/>
          <w:position w:val="0"/>
          <w:sz w:val="27"/>
          <w:shd w:fill="auto" w:val="clear"/>
        </w:rPr>
      </w:pPr>
      <w:r>
        <w:rPr>
          <w:rFonts w:ascii="Arial" w:hAnsi="Arial" w:cs="Arial" w:eastAsia="Arial"/>
          <w:b/>
          <w:color w:val="0D7377"/>
          <w:spacing w:val="0"/>
          <w:position w:val="0"/>
          <w:sz w:val="27"/>
          <w:shd w:fill="auto" w:val="clear"/>
        </w:rPr>
        <w:t xml:space="preserve">3.1 Methodological Overview: The Four-Layer Pipeline</w:t>
      </w:r>
    </w:p>
    <w:p>
      <w:pPr>
        <w:spacing w:before="60" w:after="100" w:line="240"/>
        <w:ind w:right="0" w:left="0" w:firstLine="0"/>
        <w:jc w:val="both"/>
        <w:rPr>
          <w:rFonts w:ascii="Arial" w:hAnsi="Arial" w:cs="Arial" w:eastAsia="Arial"/>
          <w:color w:val="auto"/>
          <w:spacing w:val="0"/>
          <w:position w:val="0"/>
          <w:sz w:val="22"/>
          <w:shd w:fill="auto" w:val="clear"/>
        </w:rPr>
      </w:pPr>
      <w:r>
        <w:rPr>
          <w:rFonts w:ascii="Arial" w:hAnsi="Arial" w:cs="Arial" w:eastAsia="Arial"/>
          <w:color w:val="1A1A2E"/>
          <w:spacing w:val="0"/>
          <w:position w:val="0"/>
          <w:sz w:val="22"/>
          <w:shd w:fill="auto" w:val="clear"/>
        </w:rPr>
        <w:t xml:space="preserve">The Apex technical methodology operates across four sequential processing layers, directly corresponding to the product architecture described in the TerraSat Apex platform documentation.</w:t>
      </w:r>
    </w:p>
    <w:p>
      <w:pPr>
        <w:spacing w:before="80" w:after="0" w:line="240"/>
        <w:ind w:right="0" w:left="0" w:firstLine="0"/>
        <w:jc w:val="left"/>
        <w:rPr>
          <w:rFonts w:ascii="Arial" w:hAnsi="Arial" w:cs="Arial" w:eastAsia="Arial"/>
          <w:color w:val="auto"/>
          <w:spacing w:val="0"/>
          <w:position w:val="0"/>
          <w:sz w:val="22"/>
          <w:shd w:fill="auto" w:val="clear"/>
        </w:rPr>
      </w:pPr>
    </w:p>
    <w:tbl>
      <w:tblPr/>
      <w:tblGrid>
        <w:gridCol w:w="2800"/>
        <w:gridCol w:w="6560"/>
      </w:tblGrid>
      <w:tr>
        <w:trPr>
          <w:trHeight w:val="1" w:hRule="atLeast"/>
          <w:jc w:val="left"/>
        </w:trPr>
        <w:tc>
          <w:tcPr>
            <w:tcW w:w="2800" w:type="dxa"/>
            <w:tcBorders>
              <w:top w:val="single" w:color="cccccc" w:sz="1"/>
              <w:left w:val="single" w:color="cccccc" w:sz="1"/>
              <w:bottom w:val="single" w:color="cccccc" w:sz="1"/>
              <w:right w:val="single" w:color="cccccc" w:sz="1"/>
            </w:tcBorders>
            <w:shd w:color="000000" w:fill="1a3c5e" w:val="clear"/>
            <w:tcMar>
              <w:left w:w="160" w:type="dxa"/>
              <w:right w:w="160" w:type="dxa"/>
            </w:tcMar>
            <w:vAlign w:val="center"/>
          </w:tcPr>
          <w:p>
            <w:pPr>
              <w:spacing w:before="0" w:after="0" w:line="240"/>
              <w:ind w:right="0" w:left="0" w:firstLine="0"/>
              <w:jc w:val="left"/>
              <w:rPr>
                <w:spacing w:val="0"/>
                <w:position w:val="0"/>
                <w:shd w:fill="auto" w:val="clear"/>
              </w:rPr>
            </w:pPr>
            <w:r>
              <w:rPr>
                <w:rFonts w:ascii="Arial" w:hAnsi="Arial" w:cs="Arial" w:eastAsia="Arial"/>
                <w:b/>
                <w:color w:val="FFFFFF"/>
                <w:spacing w:val="0"/>
                <w:position w:val="0"/>
                <w:sz w:val="21"/>
                <w:shd w:fill="auto" w:val="clear"/>
              </w:rPr>
              <w:t xml:space="preserve">Layer</w:t>
            </w:r>
          </w:p>
        </w:tc>
        <w:tc>
          <w:tcPr>
            <w:tcW w:w="6560" w:type="dxa"/>
            <w:tcBorders>
              <w:top w:val="single" w:color="cccccc" w:sz="1"/>
              <w:left w:val="single" w:color="cccccc" w:sz="1"/>
              <w:bottom w:val="single" w:color="cccccc" w:sz="1"/>
              <w:right w:val="single" w:color="cccccc" w:sz="1"/>
            </w:tcBorders>
            <w:shd w:color="000000" w:fill="auto" w:val="clear"/>
            <w:tcMar>
              <w:left w:w="160" w:type="dxa"/>
              <w:right w:w="160" w:type="dxa"/>
            </w:tcMar>
            <w:vAlign w:val="top"/>
          </w:tcPr>
          <w:p>
            <w:pPr>
              <w:spacing w:before="0" w:after="0" w:line="240"/>
              <w:ind w:right="0" w:left="0" w:firstLine="0"/>
              <w:jc w:val="both"/>
              <w:rPr>
                <w:spacing w:val="0"/>
                <w:position w:val="0"/>
                <w:shd w:fill="auto" w:val="clear"/>
              </w:rPr>
            </w:pPr>
            <w:r>
              <w:rPr>
                <w:rFonts w:ascii="Arial" w:hAnsi="Arial" w:cs="Arial" w:eastAsia="Arial"/>
                <w:b/>
                <w:color w:val="FFFFFF"/>
                <w:spacing w:val="0"/>
                <w:position w:val="0"/>
                <w:sz w:val="21"/>
                <w:shd w:fill="auto" w:val="clear"/>
              </w:rPr>
              <w:t xml:space="preserve">Methodology</w:t>
            </w:r>
          </w:p>
        </w:tc>
      </w:tr>
      <w:tr>
        <w:trPr>
          <w:trHeight w:val="1" w:hRule="atLeast"/>
          <w:jc w:val="left"/>
        </w:trPr>
        <w:tc>
          <w:tcPr>
            <w:tcW w:w="2800" w:type="dxa"/>
            <w:tcBorders>
              <w:top w:val="single" w:color="cccccc" w:sz="1"/>
              <w:left w:val="single" w:color="cccccc" w:sz="1"/>
              <w:bottom w:val="single" w:color="cccccc" w:sz="1"/>
              <w:right w:val="single" w:color="cccccc" w:sz="1"/>
            </w:tcBorders>
            <w:shd w:color="000000" w:fill="f5f7fa" w:val="clear"/>
            <w:tcMar>
              <w:left w:w="160" w:type="dxa"/>
              <w:right w:w="160" w:type="dxa"/>
            </w:tcMar>
            <w:vAlign w:val="center"/>
          </w:tcPr>
          <w:p>
            <w:pPr>
              <w:spacing w:before="0" w:after="0" w:line="240"/>
              <w:ind w:right="0" w:left="0" w:firstLine="0"/>
              <w:jc w:val="left"/>
              <w:rPr>
                <w:spacing w:val="0"/>
                <w:position w:val="0"/>
                <w:shd w:fill="auto" w:val="clear"/>
              </w:rPr>
            </w:pPr>
            <w:r>
              <w:rPr>
                <w:rFonts w:ascii="Arial" w:hAnsi="Arial" w:cs="Arial" w:eastAsia="Arial"/>
                <w:color w:val="1A3C5E"/>
                <w:spacing w:val="0"/>
                <w:position w:val="0"/>
                <w:sz w:val="21"/>
                <w:shd w:fill="auto" w:val="clear"/>
              </w:rPr>
              <w:t xml:space="preserve">Layer 1: Data Acquisition</w:t>
            </w:r>
          </w:p>
        </w:tc>
        <w:tc>
          <w:tcPr>
            <w:tcW w:w="6560" w:type="dxa"/>
            <w:tcBorders>
              <w:top w:val="single" w:color="cccccc" w:sz="1"/>
              <w:left w:val="single" w:color="cccccc" w:sz="1"/>
              <w:bottom w:val="single" w:color="cccccc" w:sz="1"/>
              <w:right w:val="single" w:color="cccccc" w:sz="1"/>
            </w:tcBorders>
            <w:shd w:color="000000" w:fill="ffffff" w:val="clear"/>
            <w:tcMar>
              <w:left w:w="160" w:type="dxa"/>
              <w:right w:w="160" w:type="dxa"/>
            </w:tcMar>
            <w:vAlign w:val="top"/>
          </w:tcPr>
          <w:p>
            <w:pPr>
              <w:spacing w:before="0" w:after="0" w:line="240"/>
              <w:ind w:right="0" w:left="0" w:firstLine="0"/>
              <w:jc w:val="both"/>
              <w:rPr>
                <w:spacing w:val="0"/>
                <w:position w:val="0"/>
                <w:shd w:fill="auto" w:val="clear"/>
              </w:rPr>
            </w:pPr>
            <w:r>
              <w:rPr>
                <w:rFonts w:ascii="Arial" w:hAnsi="Arial" w:cs="Arial" w:eastAsia="Arial"/>
                <w:color w:val="1A1A2E"/>
                <w:spacing w:val="0"/>
                <w:position w:val="0"/>
                <w:sz w:val="21"/>
                <w:shd w:fill="auto" w:val="clear"/>
              </w:rPr>
              <w:t xml:space="preserve">Multi-source satellite data ingestion (SAR and optical), climate and weather reanalysis data (ERA5, Copernicus), and contextual exposure data (OpenStreetMap, population layers). Raw Earth Observation data is pre-processed through radiometric calibration, geometric correction, and speckle filtering pipelines.</w:t>
            </w:r>
          </w:p>
        </w:tc>
      </w:tr>
      <w:tr>
        <w:trPr>
          <w:trHeight w:val="1" w:hRule="atLeast"/>
          <w:jc w:val="left"/>
        </w:trPr>
        <w:tc>
          <w:tcPr>
            <w:tcW w:w="2800" w:type="dxa"/>
            <w:tcBorders>
              <w:top w:val="single" w:color="cccccc" w:sz="1"/>
              <w:left w:val="single" w:color="cccccc" w:sz="1"/>
              <w:bottom w:val="single" w:color="cccccc" w:sz="1"/>
              <w:right w:val="single" w:color="cccccc" w:sz="1"/>
            </w:tcBorders>
            <w:shd w:color="000000" w:fill="f5f7fa" w:val="clear"/>
            <w:tcMar>
              <w:left w:w="160" w:type="dxa"/>
              <w:right w:w="160" w:type="dxa"/>
            </w:tcMar>
            <w:vAlign w:val="center"/>
          </w:tcPr>
          <w:p>
            <w:pPr>
              <w:spacing w:before="0" w:after="0" w:line="240"/>
              <w:ind w:right="0" w:left="0" w:firstLine="0"/>
              <w:jc w:val="left"/>
              <w:rPr>
                <w:spacing w:val="0"/>
                <w:position w:val="0"/>
                <w:shd w:fill="auto" w:val="clear"/>
              </w:rPr>
            </w:pPr>
            <w:r>
              <w:rPr>
                <w:rFonts w:ascii="Arial" w:hAnsi="Arial" w:cs="Arial" w:eastAsia="Arial"/>
                <w:color w:val="1A3C5E"/>
                <w:spacing w:val="0"/>
                <w:position w:val="0"/>
                <w:sz w:val="21"/>
                <w:shd w:fill="auto" w:val="clear"/>
              </w:rPr>
              <w:t xml:space="preserve">Layer 2: AI Intelligence Engine</w:t>
            </w:r>
          </w:p>
        </w:tc>
        <w:tc>
          <w:tcPr>
            <w:tcW w:w="6560" w:type="dxa"/>
            <w:tcBorders>
              <w:top w:val="single" w:color="cccccc" w:sz="1"/>
              <w:left w:val="single" w:color="cccccc" w:sz="1"/>
              <w:bottom w:val="single" w:color="cccccc" w:sz="1"/>
              <w:right w:val="single" w:color="cccccc" w:sz="1"/>
            </w:tcBorders>
            <w:shd w:color="000000" w:fill="ffffff" w:val="clear"/>
            <w:tcMar>
              <w:left w:w="160" w:type="dxa"/>
              <w:right w:w="160" w:type="dxa"/>
            </w:tcMar>
            <w:vAlign w:val="top"/>
          </w:tcPr>
          <w:p>
            <w:pPr>
              <w:spacing w:before="0" w:after="0" w:line="240"/>
              <w:ind w:right="0" w:left="0" w:firstLine="0"/>
              <w:jc w:val="both"/>
              <w:rPr>
                <w:spacing w:val="0"/>
                <w:position w:val="0"/>
                <w:shd w:fill="auto" w:val="clear"/>
              </w:rPr>
            </w:pPr>
            <w:r>
              <w:rPr>
                <w:rFonts w:ascii="Arial" w:hAnsi="Arial" w:cs="Arial" w:eastAsia="Arial"/>
                <w:color w:val="1A1A2E"/>
                <w:spacing w:val="0"/>
                <w:position w:val="0"/>
                <w:sz w:val="21"/>
                <w:shd w:fill="auto" w:val="clear"/>
              </w:rPr>
              <w:t xml:space="preserve">Flood Intelligence Pipeline processing SAR imagery through CNN/U-Net architectures for water body detection, flood extent modelling, and rapid flood map generation. The geo-foundational model integrates physics-based hydrological features with data-driven spatial learning.</w:t>
            </w:r>
          </w:p>
        </w:tc>
      </w:tr>
      <w:tr>
        <w:trPr>
          <w:trHeight w:val="1" w:hRule="atLeast"/>
          <w:jc w:val="left"/>
        </w:trPr>
        <w:tc>
          <w:tcPr>
            <w:tcW w:w="2800" w:type="dxa"/>
            <w:tcBorders>
              <w:top w:val="single" w:color="cccccc" w:sz="1"/>
              <w:left w:val="single" w:color="cccccc" w:sz="1"/>
              <w:bottom w:val="single" w:color="cccccc" w:sz="1"/>
              <w:right w:val="single" w:color="cccccc" w:sz="1"/>
            </w:tcBorders>
            <w:shd w:color="000000" w:fill="f5f7fa" w:val="clear"/>
            <w:tcMar>
              <w:left w:w="160" w:type="dxa"/>
              <w:right w:w="160" w:type="dxa"/>
            </w:tcMar>
            <w:vAlign w:val="center"/>
          </w:tcPr>
          <w:p>
            <w:pPr>
              <w:spacing w:before="0" w:after="0" w:line="240"/>
              <w:ind w:right="0" w:left="0" w:firstLine="0"/>
              <w:jc w:val="left"/>
              <w:rPr>
                <w:spacing w:val="0"/>
                <w:position w:val="0"/>
                <w:shd w:fill="auto" w:val="clear"/>
              </w:rPr>
            </w:pPr>
            <w:r>
              <w:rPr>
                <w:rFonts w:ascii="Arial" w:hAnsi="Arial" w:cs="Arial" w:eastAsia="Arial"/>
                <w:color w:val="1A3C5E"/>
                <w:spacing w:val="0"/>
                <w:position w:val="0"/>
                <w:sz w:val="21"/>
                <w:shd w:fill="auto" w:val="clear"/>
              </w:rPr>
              <w:t xml:space="preserve">Layer 3: Geospatial Data and Service Layer</w:t>
            </w:r>
          </w:p>
        </w:tc>
        <w:tc>
          <w:tcPr>
            <w:tcW w:w="6560" w:type="dxa"/>
            <w:tcBorders>
              <w:top w:val="single" w:color="cccccc" w:sz="1"/>
              <w:left w:val="single" w:color="cccccc" w:sz="1"/>
              <w:bottom w:val="single" w:color="cccccc" w:sz="1"/>
              <w:right w:val="single" w:color="cccccc" w:sz="1"/>
            </w:tcBorders>
            <w:shd w:color="000000" w:fill="ffffff" w:val="clear"/>
            <w:tcMar>
              <w:left w:w="160" w:type="dxa"/>
              <w:right w:w="160" w:type="dxa"/>
            </w:tcMar>
            <w:vAlign w:val="top"/>
          </w:tcPr>
          <w:p>
            <w:pPr>
              <w:spacing w:before="0" w:after="0" w:line="240"/>
              <w:ind w:right="0" w:left="0" w:firstLine="0"/>
              <w:jc w:val="both"/>
              <w:rPr>
                <w:spacing w:val="0"/>
                <w:position w:val="0"/>
                <w:shd w:fill="auto" w:val="clear"/>
              </w:rPr>
            </w:pPr>
            <w:r>
              <w:rPr>
                <w:rFonts w:ascii="Arial" w:hAnsi="Arial" w:cs="Arial" w:eastAsia="Arial"/>
                <w:color w:val="1A1A2E"/>
                <w:spacing w:val="0"/>
                <w:position w:val="0"/>
                <w:sz w:val="21"/>
                <w:shd w:fill="auto" w:val="clear"/>
              </w:rPr>
              <w:t xml:space="preserve">Processed flood intelligence is stored as time-series hazard layers in a geospatial data store, served through REST and GraphQL API endpoints, and exported as GIS-ready outputs (GeoJSON, Cloud-Optimised GeoTIFFs) for client integration.</w:t>
            </w:r>
          </w:p>
        </w:tc>
      </w:tr>
      <w:tr>
        <w:trPr>
          <w:trHeight w:val="1" w:hRule="atLeast"/>
          <w:jc w:val="left"/>
        </w:trPr>
        <w:tc>
          <w:tcPr>
            <w:tcW w:w="2800" w:type="dxa"/>
            <w:tcBorders>
              <w:top w:val="single" w:color="cccccc" w:sz="1"/>
              <w:left w:val="single" w:color="cccccc" w:sz="1"/>
              <w:bottom w:val="single" w:color="cccccc" w:sz="1"/>
              <w:right w:val="single" w:color="cccccc" w:sz="1"/>
            </w:tcBorders>
            <w:shd w:color="000000" w:fill="f5f7fa" w:val="clear"/>
            <w:tcMar>
              <w:left w:w="160" w:type="dxa"/>
              <w:right w:w="160" w:type="dxa"/>
            </w:tcMar>
            <w:vAlign w:val="center"/>
          </w:tcPr>
          <w:p>
            <w:pPr>
              <w:spacing w:before="0" w:after="0" w:line="240"/>
              <w:ind w:right="0" w:left="0" w:firstLine="0"/>
              <w:jc w:val="left"/>
              <w:rPr>
                <w:spacing w:val="0"/>
                <w:position w:val="0"/>
                <w:shd w:fill="auto" w:val="clear"/>
              </w:rPr>
            </w:pPr>
            <w:r>
              <w:rPr>
                <w:rFonts w:ascii="Arial" w:hAnsi="Arial" w:cs="Arial" w:eastAsia="Arial"/>
                <w:color w:val="1A3C5E"/>
                <w:spacing w:val="0"/>
                <w:position w:val="0"/>
                <w:sz w:val="21"/>
                <w:shd w:fill="auto" w:val="clear"/>
              </w:rPr>
              <w:t xml:space="preserve">Layer 4: Dissemination and Financial Translation</w:t>
            </w:r>
          </w:p>
        </w:tc>
        <w:tc>
          <w:tcPr>
            <w:tcW w:w="6560" w:type="dxa"/>
            <w:tcBorders>
              <w:top w:val="single" w:color="cccccc" w:sz="1"/>
              <w:left w:val="single" w:color="cccccc" w:sz="1"/>
              <w:bottom w:val="single" w:color="cccccc" w:sz="1"/>
              <w:right w:val="single" w:color="cccccc" w:sz="1"/>
            </w:tcBorders>
            <w:shd w:color="000000" w:fill="ffffff" w:val="clear"/>
            <w:tcMar>
              <w:left w:w="160" w:type="dxa"/>
              <w:right w:w="160" w:type="dxa"/>
            </w:tcMar>
            <w:vAlign w:val="top"/>
          </w:tcPr>
          <w:p>
            <w:pPr>
              <w:spacing w:before="0" w:after="0" w:line="240"/>
              <w:ind w:right="0" w:left="0" w:firstLine="0"/>
              <w:jc w:val="both"/>
              <w:rPr>
                <w:spacing w:val="0"/>
                <w:position w:val="0"/>
                <w:shd w:fill="auto" w:val="clear"/>
              </w:rPr>
            </w:pPr>
            <w:r>
              <w:rPr>
                <w:rFonts w:ascii="Arial" w:hAnsi="Arial" w:cs="Arial" w:eastAsia="Arial"/>
                <w:color w:val="1A1A2E"/>
                <w:spacing w:val="0"/>
                <w:position w:val="0"/>
                <w:sz w:val="21"/>
                <w:shd w:fill="auto" w:val="clear"/>
              </w:rPr>
              <w:t xml:space="preserve">Intelligence is delivered to financial institution dashboards, integrated into credit risk models and portfolio stress test frameworks, and disseminated via SMS and USSD to field agents and policyholders in zones without internet connectivity.</w:t>
            </w:r>
          </w:p>
        </w:tc>
      </w:tr>
    </w:tbl>
    <w:p>
      <w:pPr>
        <w:spacing w:before="160" w:after="0" w:line="240"/>
        <w:ind w:right="0" w:left="0" w:firstLine="0"/>
        <w:jc w:val="left"/>
        <w:rPr>
          <w:rFonts w:ascii="Arial" w:hAnsi="Arial" w:cs="Arial" w:eastAsia="Arial"/>
          <w:color w:val="auto"/>
          <w:spacing w:val="0"/>
          <w:position w:val="0"/>
          <w:sz w:val="22"/>
          <w:shd w:fill="auto" w:val="clear"/>
        </w:rPr>
      </w:pPr>
    </w:p>
    <w:p>
      <w:pPr>
        <w:spacing w:before="320" w:after="120" w:line="240"/>
        <w:ind w:right="0" w:left="0" w:firstLine="0"/>
        <w:jc w:val="left"/>
        <w:rPr>
          <w:rFonts w:ascii="Arial" w:hAnsi="Arial" w:cs="Arial" w:eastAsia="Arial"/>
          <w:b/>
          <w:color w:val="0D7377"/>
          <w:spacing w:val="0"/>
          <w:position w:val="0"/>
          <w:sz w:val="27"/>
          <w:shd w:fill="auto" w:val="clear"/>
        </w:rPr>
      </w:pPr>
      <w:r>
        <w:rPr>
          <w:rFonts w:ascii="Arial" w:hAnsi="Arial" w:cs="Arial" w:eastAsia="Arial"/>
          <w:b/>
          <w:color w:val="0D7377"/>
          <w:spacing w:val="0"/>
          <w:position w:val="0"/>
          <w:sz w:val="27"/>
          <w:shd w:fill="auto" w:val="clear"/>
        </w:rPr>
        <w:t xml:space="preserve">3.2 Stage 1: Satellite Data Acquisition and Pre-Processing</w:t>
      </w:r>
    </w:p>
    <w:p>
      <w:pPr>
        <w:spacing w:before="240" w:after="8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1A3C5E"/>
          <w:spacing w:val="0"/>
          <w:position w:val="0"/>
          <w:sz w:val="24"/>
          <w:shd w:fill="auto" w:val="clear"/>
        </w:rPr>
        <w:t xml:space="preserve">3.2.1 SAR Data Pipeline</w:t>
      </w:r>
    </w:p>
    <w:p>
      <w:pPr>
        <w:spacing w:before="60" w:after="100" w:line="240"/>
        <w:ind w:right="0" w:left="0" w:firstLine="0"/>
        <w:jc w:val="both"/>
        <w:rPr>
          <w:rFonts w:ascii="Arial" w:hAnsi="Arial" w:cs="Arial" w:eastAsia="Arial"/>
          <w:color w:val="auto"/>
          <w:spacing w:val="0"/>
          <w:position w:val="0"/>
          <w:sz w:val="22"/>
          <w:shd w:fill="auto" w:val="clear"/>
        </w:rPr>
      </w:pPr>
      <w:r>
        <w:rPr>
          <w:rFonts w:ascii="Arial" w:hAnsi="Arial" w:cs="Arial" w:eastAsia="Arial"/>
          <w:color w:val="1A1A2E"/>
          <w:spacing w:val="0"/>
          <w:position w:val="0"/>
          <w:sz w:val="22"/>
          <w:shd w:fill="auto" w:val="clear"/>
        </w:rPr>
        <w:t xml:space="preserve">Sentinel-1 SAR data is acquired through ESA's Copernicus Open Access Hub at a revisit frequency of 6 to 12 days for any given point in East Africa. Commercial SAR providers (Capella Space, ICEYE) supplement Sentinel-1 coverage with sub-daily revisit capability during active flood events, enabling near-real-time monitoring at critical phases of flood development.</w:t>
      </w:r>
    </w:p>
    <w:p>
      <w:pPr>
        <w:spacing w:before="80" w:after="0" w:line="240"/>
        <w:ind w:right="0" w:left="0" w:firstLine="0"/>
        <w:jc w:val="left"/>
        <w:rPr>
          <w:rFonts w:ascii="Arial" w:hAnsi="Arial" w:cs="Arial" w:eastAsia="Arial"/>
          <w:color w:val="auto"/>
          <w:spacing w:val="0"/>
          <w:position w:val="0"/>
          <w:sz w:val="22"/>
          <w:shd w:fill="auto" w:val="clear"/>
        </w:rPr>
      </w:pPr>
    </w:p>
    <w:p>
      <w:pPr>
        <w:spacing w:before="60" w:after="100" w:line="240"/>
        <w:ind w:right="0" w:left="0" w:firstLine="0"/>
        <w:jc w:val="both"/>
        <w:rPr>
          <w:rFonts w:ascii="Arial" w:hAnsi="Arial" w:cs="Arial" w:eastAsia="Arial"/>
          <w:color w:val="auto"/>
          <w:spacing w:val="0"/>
          <w:position w:val="0"/>
          <w:sz w:val="22"/>
          <w:shd w:fill="auto" w:val="clear"/>
        </w:rPr>
      </w:pPr>
      <w:r>
        <w:rPr>
          <w:rFonts w:ascii="Arial" w:hAnsi="Arial" w:cs="Arial" w:eastAsia="Arial"/>
          <w:color w:val="1A1A2E"/>
          <w:spacing w:val="0"/>
          <w:position w:val="0"/>
          <w:sz w:val="22"/>
          <w:shd w:fill="auto" w:val="clear"/>
        </w:rPr>
        <w:t xml:space="preserve">Pre-processing follows the standard SAR processing chain as defined by ESA's SNAP toolbox (Sentinel Application Platform): apply orbit file, remove thermal noise, radiometric calibration to sigma-naught backscatter values, terrain correction using SRTM 30m DEM, and conversion to decibel scale. Speckle filtering using a refined Lee filter (Lee et al., 1999) with a 5x5 pixel window reduces salt-and-pepper noise while preserving spatial boundaries critical for water body delineation.</w:t>
      </w:r>
    </w:p>
    <w:p>
      <w:pPr>
        <w:spacing w:before="80" w:after="0" w:line="240"/>
        <w:ind w:right="0" w:left="0" w:firstLine="0"/>
        <w:jc w:val="left"/>
        <w:rPr>
          <w:rFonts w:ascii="Arial" w:hAnsi="Arial" w:cs="Arial" w:eastAsia="Arial"/>
          <w:color w:val="auto"/>
          <w:spacing w:val="0"/>
          <w:position w:val="0"/>
          <w:sz w:val="22"/>
          <w:shd w:fill="auto" w:val="clear"/>
        </w:rPr>
      </w:pPr>
    </w:p>
    <w:p>
      <w:pPr>
        <w:spacing w:before="60" w:after="100" w:line="240"/>
        <w:ind w:right="0" w:left="0" w:firstLine="0"/>
        <w:jc w:val="both"/>
        <w:rPr>
          <w:rFonts w:ascii="Arial" w:hAnsi="Arial" w:cs="Arial" w:eastAsia="Arial"/>
          <w:color w:val="auto"/>
          <w:spacing w:val="0"/>
          <w:position w:val="0"/>
          <w:sz w:val="22"/>
          <w:shd w:fill="auto" w:val="clear"/>
        </w:rPr>
      </w:pPr>
      <w:r>
        <w:rPr>
          <w:rFonts w:ascii="Arial" w:hAnsi="Arial" w:cs="Arial" w:eastAsia="Arial"/>
          <w:color w:val="1A1A2E"/>
          <w:spacing w:val="0"/>
          <w:position w:val="0"/>
          <w:sz w:val="22"/>
          <w:shd w:fill="auto" w:val="clear"/>
        </w:rPr>
        <w:t xml:space="preserve">Flood-affected area detection uses a change detection approach comparing pre-event and co-event SAR imagery rather than single-image thresholding. The log-ratio change detection method (Bovolo and Bruzzone, 2005) computes the pixel-wise difference between pre-event and co-event sigma-naught values in decibels, producing a change magnitude image where anomalously low values indicate surface water appearance. Otsu's automatic thresholding (Otsu, 1979) applied to the change magnitude image produces a binary flood mask without requiring manual threshold selection.</w:t>
      </w:r>
    </w:p>
    <w:p>
      <w:pPr>
        <w:spacing w:before="120" w:after="0" w:line="240"/>
        <w:ind w:right="0" w:left="0" w:firstLine="0"/>
        <w:jc w:val="left"/>
        <w:rPr>
          <w:rFonts w:ascii="Arial" w:hAnsi="Arial" w:cs="Arial" w:eastAsia="Arial"/>
          <w:color w:val="auto"/>
          <w:spacing w:val="0"/>
          <w:position w:val="0"/>
          <w:sz w:val="22"/>
          <w:shd w:fill="auto" w:val="clear"/>
        </w:rPr>
      </w:pPr>
    </w:p>
    <w:p>
      <w:pPr>
        <w:spacing w:before="240" w:after="8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1A3C5E"/>
          <w:spacing w:val="0"/>
          <w:position w:val="0"/>
          <w:sz w:val="24"/>
          <w:shd w:fill="auto" w:val="clear"/>
        </w:rPr>
        <w:t xml:space="preserve">3.2.2 CNN/U-Net Architecture for Flood Detection</w:t>
      </w:r>
    </w:p>
    <w:p>
      <w:pPr>
        <w:spacing w:before="60" w:after="100" w:line="240"/>
        <w:ind w:right="0" w:left="0" w:firstLine="0"/>
        <w:jc w:val="both"/>
        <w:rPr>
          <w:rFonts w:ascii="Arial" w:hAnsi="Arial" w:cs="Arial" w:eastAsia="Arial"/>
          <w:color w:val="auto"/>
          <w:spacing w:val="0"/>
          <w:position w:val="0"/>
          <w:sz w:val="22"/>
          <w:shd w:fill="auto" w:val="clear"/>
        </w:rPr>
      </w:pPr>
      <w:r>
        <w:rPr>
          <w:rFonts w:ascii="Arial" w:hAnsi="Arial" w:cs="Arial" w:eastAsia="Arial"/>
          <w:color w:val="1A1A2E"/>
          <w:spacing w:val="0"/>
          <w:position w:val="0"/>
          <w:sz w:val="22"/>
          <w:shd w:fill="auto" w:val="clear"/>
        </w:rPr>
        <w:t xml:space="preserve">The AI-based water detection component of the Flood Intelligence Pipeline employs a U-Net architecture (Ronneberger et al., 2015), a fully convolutional neural network with an encoder-decoder structure connected by skip connections that preserve spatial detail through downsampling and upsampling operations. U-Net was originally developed for biomedical image segmentation and has been extensively validated for satellite image segmentation tasks including flood mapping (Bonafilia et al., 2020; Mukherjee et al., 2021).</w:t>
      </w:r>
    </w:p>
    <w:p>
      <w:pPr>
        <w:spacing w:before="80" w:after="0" w:line="240"/>
        <w:ind w:right="0" w:left="0" w:firstLine="0"/>
        <w:jc w:val="left"/>
        <w:rPr>
          <w:rFonts w:ascii="Arial" w:hAnsi="Arial" w:cs="Arial" w:eastAsia="Arial"/>
          <w:color w:val="auto"/>
          <w:spacing w:val="0"/>
          <w:position w:val="0"/>
          <w:sz w:val="22"/>
          <w:shd w:fill="auto" w:val="clear"/>
        </w:rPr>
      </w:pPr>
    </w:p>
    <w:p>
      <w:pPr>
        <w:spacing w:before="60" w:after="100" w:line="240"/>
        <w:ind w:right="0" w:left="0" w:firstLine="0"/>
        <w:jc w:val="both"/>
        <w:rPr>
          <w:rFonts w:ascii="Arial" w:hAnsi="Arial" w:cs="Arial" w:eastAsia="Arial"/>
          <w:color w:val="auto"/>
          <w:spacing w:val="0"/>
          <w:position w:val="0"/>
          <w:sz w:val="22"/>
          <w:shd w:fill="auto" w:val="clear"/>
        </w:rPr>
      </w:pPr>
      <w:r>
        <w:rPr>
          <w:rFonts w:ascii="Arial" w:hAnsi="Arial" w:cs="Arial" w:eastAsia="Arial"/>
          <w:color w:val="1A1A2E"/>
          <w:spacing w:val="0"/>
          <w:position w:val="0"/>
          <w:sz w:val="22"/>
          <w:shd w:fill="auto" w:val="clear"/>
        </w:rPr>
        <w:t xml:space="preserve">The model is trained on the Sentinel-1 Floods Dataset (Bonafilia et al., 2020), which contains globally distributed SAR flood events with hand-labelled flood masks across diverse land cover and hydrological conditions. Transfer learning is applied to fine-tune the globally pre-trained model on a curated dataset of East African flood events sourced from historical Sentinel-1 archives for the 2018, 2019, 2021, and 2023 flood seasons in Kenya, Uganda, Ethiopia, and Tanzania. This fine-tuning step is critical for adapting the model to the specific SAR backscatter characteristics of East African vegetation types, soil compositions, and urban morphologies.</w:t>
      </w:r>
    </w:p>
    <w:p>
      <w:pPr>
        <w:spacing w:before="80" w:after="0" w:line="240"/>
        <w:ind w:right="0" w:left="0" w:firstLine="0"/>
        <w:jc w:val="left"/>
        <w:rPr>
          <w:rFonts w:ascii="Arial" w:hAnsi="Arial" w:cs="Arial" w:eastAsia="Arial"/>
          <w:color w:val="auto"/>
          <w:spacing w:val="0"/>
          <w:position w:val="0"/>
          <w:sz w:val="22"/>
          <w:shd w:fill="auto" w:val="clear"/>
        </w:rPr>
      </w:pPr>
    </w:p>
    <w:tbl>
      <w:tblPr/>
      <w:tblGrid>
        <w:gridCol w:w="2800"/>
        <w:gridCol w:w="6560"/>
      </w:tblGrid>
      <w:tr>
        <w:trPr>
          <w:trHeight w:val="1" w:hRule="atLeast"/>
          <w:jc w:val="left"/>
        </w:trPr>
        <w:tc>
          <w:tcPr>
            <w:tcW w:w="2800" w:type="dxa"/>
            <w:tcBorders>
              <w:top w:val="single" w:color="cccccc" w:sz="1"/>
              <w:left w:val="single" w:color="cccccc" w:sz="1"/>
              <w:bottom w:val="single" w:color="cccccc" w:sz="1"/>
              <w:right w:val="single" w:color="cccccc" w:sz="1"/>
            </w:tcBorders>
            <w:shd w:color="000000" w:fill="1a3c5e" w:val="clear"/>
            <w:tcMar>
              <w:left w:w="160" w:type="dxa"/>
              <w:right w:w="160" w:type="dxa"/>
            </w:tcMar>
            <w:vAlign w:val="center"/>
          </w:tcPr>
          <w:p>
            <w:pPr>
              <w:spacing w:before="0" w:after="0" w:line="240"/>
              <w:ind w:right="0" w:left="0" w:firstLine="0"/>
              <w:jc w:val="left"/>
              <w:rPr>
                <w:spacing w:val="0"/>
                <w:position w:val="0"/>
                <w:shd w:fill="auto" w:val="clear"/>
              </w:rPr>
            </w:pPr>
            <w:r>
              <w:rPr>
                <w:rFonts w:ascii="Arial" w:hAnsi="Arial" w:cs="Arial" w:eastAsia="Arial"/>
                <w:b/>
                <w:color w:val="FFFFFF"/>
                <w:spacing w:val="0"/>
                <w:position w:val="0"/>
                <w:sz w:val="21"/>
                <w:shd w:fill="auto" w:val="clear"/>
              </w:rPr>
              <w:t xml:space="preserve">Performance Metric</w:t>
            </w:r>
          </w:p>
        </w:tc>
        <w:tc>
          <w:tcPr>
            <w:tcW w:w="6560" w:type="dxa"/>
            <w:tcBorders>
              <w:top w:val="single" w:color="cccccc" w:sz="1"/>
              <w:left w:val="single" w:color="cccccc" w:sz="1"/>
              <w:bottom w:val="single" w:color="cccccc" w:sz="1"/>
              <w:right w:val="single" w:color="cccccc" w:sz="1"/>
            </w:tcBorders>
            <w:shd w:color="000000" w:fill="auto" w:val="clear"/>
            <w:tcMar>
              <w:left w:w="160" w:type="dxa"/>
              <w:right w:w="160" w:type="dxa"/>
            </w:tcMar>
            <w:vAlign w:val="top"/>
          </w:tcPr>
          <w:p>
            <w:pPr>
              <w:spacing w:before="0" w:after="0" w:line="240"/>
              <w:ind w:right="0" w:left="0" w:firstLine="0"/>
              <w:jc w:val="both"/>
              <w:rPr>
                <w:spacing w:val="0"/>
                <w:position w:val="0"/>
                <w:shd w:fill="auto" w:val="clear"/>
              </w:rPr>
            </w:pPr>
            <w:r>
              <w:rPr>
                <w:rFonts w:ascii="Arial" w:hAnsi="Arial" w:cs="Arial" w:eastAsia="Arial"/>
                <w:b/>
                <w:color w:val="FFFFFF"/>
                <w:spacing w:val="0"/>
                <w:position w:val="0"/>
                <w:sz w:val="21"/>
                <w:shd w:fill="auto" w:val="clear"/>
              </w:rPr>
              <w:t xml:space="preserve">Target Threshold and Empirical Basis</w:t>
            </w:r>
          </w:p>
        </w:tc>
      </w:tr>
      <w:tr>
        <w:trPr>
          <w:trHeight w:val="1" w:hRule="atLeast"/>
          <w:jc w:val="left"/>
        </w:trPr>
        <w:tc>
          <w:tcPr>
            <w:tcW w:w="2800" w:type="dxa"/>
            <w:tcBorders>
              <w:top w:val="single" w:color="cccccc" w:sz="1"/>
              <w:left w:val="single" w:color="cccccc" w:sz="1"/>
              <w:bottom w:val="single" w:color="cccccc" w:sz="1"/>
              <w:right w:val="single" w:color="cccccc" w:sz="1"/>
            </w:tcBorders>
            <w:shd w:color="000000" w:fill="f5f7fa" w:val="clear"/>
            <w:tcMar>
              <w:left w:w="160" w:type="dxa"/>
              <w:right w:w="160" w:type="dxa"/>
            </w:tcMar>
            <w:vAlign w:val="center"/>
          </w:tcPr>
          <w:p>
            <w:pPr>
              <w:spacing w:before="0" w:after="0" w:line="240"/>
              <w:ind w:right="0" w:left="0" w:firstLine="0"/>
              <w:jc w:val="left"/>
              <w:rPr>
                <w:spacing w:val="0"/>
                <w:position w:val="0"/>
                <w:shd w:fill="auto" w:val="clear"/>
              </w:rPr>
            </w:pPr>
            <w:r>
              <w:rPr>
                <w:rFonts w:ascii="Arial" w:hAnsi="Arial" w:cs="Arial" w:eastAsia="Arial"/>
                <w:color w:val="1A3C5E"/>
                <w:spacing w:val="0"/>
                <w:position w:val="0"/>
                <w:sz w:val="21"/>
                <w:shd w:fill="auto" w:val="clear"/>
              </w:rPr>
              <w:t xml:space="preserve">Intersection over Union (IoU)</w:t>
            </w:r>
          </w:p>
        </w:tc>
        <w:tc>
          <w:tcPr>
            <w:tcW w:w="6560" w:type="dxa"/>
            <w:tcBorders>
              <w:top w:val="single" w:color="cccccc" w:sz="1"/>
              <w:left w:val="single" w:color="cccccc" w:sz="1"/>
              <w:bottom w:val="single" w:color="cccccc" w:sz="1"/>
              <w:right w:val="single" w:color="cccccc" w:sz="1"/>
            </w:tcBorders>
            <w:shd w:color="000000" w:fill="ffffff" w:val="clear"/>
            <w:tcMar>
              <w:left w:w="160" w:type="dxa"/>
              <w:right w:w="160" w:type="dxa"/>
            </w:tcMar>
            <w:vAlign w:val="top"/>
          </w:tcPr>
          <w:p>
            <w:pPr>
              <w:spacing w:before="0" w:after="0" w:line="240"/>
              <w:ind w:right="0" w:left="0" w:firstLine="0"/>
              <w:jc w:val="both"/>
              <w:rPr>
                <w:spacing w:val="0"/>
                <w:position w:val="0"/>
                <w:shd w:fill="auto" w:val="clear"/>
              </w:rPr>
            </w:pPr>
            <w:r>
              <w:rPr>
                <w:rFonts w:ascii="Arial" w:hAnsi="Arial" w:cs="Arial" w:eastAsia="Arial"/>
                <w:color w:val="1A1A2E"/>
                <w:spacing w:val="0"/>
                <w:position w:val="0"/>
                <w:sz w:val="21"/>
                <w:shd w:fill="auto" w:val="clear"/>
              </w:rPr>
              <w:t xml:space="preserve">Target greater than 0.80 on East Africa validation set. Bonafilia et al. (2020) report IoU of 0.829 on global test set; fine-tuning on local data is expected to maintain or improve this threshold.</w:t>
            </w:r>
          </w:p>
        </w:tc>
      </w:tr>
      <w:tr>
        <w:trPr>
          <w:trHeight w:val="1" w:hRule="atLeast"/>
          <w:jc w:val="left"/>
        </w:trPr>
        <w:tc>
          <w:tcPr>
            <w:tcW w:w="2800" w:type="dxa"/>
            <w:tcBorders>
              <w:top w:val="single" w:color="cccccc" w:sz="1"/>
              <w:left w:val="single" w:color="cccccc" w:sz="1"/>
              <w:bottom w:val="single" w:color="cccccc" w:sz="1"/>
              <w:right w:val="single" w:color="cccccc" w:sz="1"/>
            </w:tcBorders>
            <w:shd w:color="000000" w:fill="f5f7fa" w:val="clear"/>
            <w:tcMar>
              <w:left w:w="160" w:type="dxa"/>
              <w:right w:w="160" w:type="dxa"/>
            </w:tcMar>
            <w:vAlign w:val="center"/>
          </w:tcPr>
          <w:p>
            <w:pPr>
              <w:spacing w:before="0" w:after="0" w:line="240"/>
              <w:ind w:right="0" w:left="0" w:firstLine="0"/>
              <w:jc w:val="left"/>
              <w:rPr>
                <w:spacing w:val="0"/>
                <w:position w:val="0"/>
                <w:shd w:fill="auto" w:val="clear"/>
              </w:rPr>
            </w:pPr>
            <w:r>
              <w:rPr>
                <w:rFonts w:ascii="Arial" w:hAnsi="Arial" w:cs="Arial" w:eastAsia="Arial"/>
                <w:color w:val="1A3C5E"/>
                <w:spacing w:val="0"/>
                <w:position w:val="0"/>
                <w:sz w:val="21"/>
                <w:shd w:fill="auto" w:val="clear"/>
              </w:rPr>
              <w:t xml:space="preserve">F1 Score (Flood Class)</w:t>
            </w:r>
          </w:p>
        </w:tc>
        <w:tc>
          <w:tcPr>
            <w:tcW w:w="6560" w:type="dxa"/>
            <w:tcBorders>
              <w:top w:val="single" w:color="cccccc" w:sz="1"/>
              <w:left w:val="single" w:color="cccccc" w:sz="1"/>
              <w:bottom w:val="single" w:color="cccccc" w:sz="1"/>
              <w:right w:val="single" w:color="cccccc" w:sz="1"/>
            </w:tcBorders>
            <w:shd w:color="000000" w:fill="ffffff" w:val="clear"/>
            <w:tcMar>
              <w:left w:w="160" w:type="dxa"/>
              <w:right w:w="160" w:type="dxa"/>
            </w:tcMar>
            <w:vAlign w:val="top"/>
          </w:tcPr>
          <w:p>
            <w:pPr>
              <w:spacing w:before="0" w:after="0" w:line="240"/>
              <w:ind w:right="0" w:left="0" w:firstLine="0"/>
              <w:jc w:val="both"/>
              <w:rPr>
                <w:spacing w:val="0"/>
                <w:position w:val="0"/>
                <w:shd w:fill="auto" w:val="clear"/>
              </w:rPr>
            </w:pPr>
            <w:r>
              <w:rPr>
                <w:rFonts w:ascii="Arial" w:hAnsi="Arial" w:cs="Arial" w:eastAsia="Arial"/>
                <w:color w:val="1A1A2E"/>
                <w:spacing w:val="0"/>
                <w:position w:val="0"/>
                <w:sz w:val="21"/>
                <w:shd w:fill="auto" w:val="clear"/>
              </w:rPr>
              <w:t xml:space="preserve">Target greater than 0.85. Martinis et al. (2022) report F1 of 0.88 for SAR-based flood mapping over comparable African test sites.</w:t>
            </w:r>
          </w:p>
        </w:tc>
      </w:tr>
      <w:tr>
        <w:trPr>
          <w:trHeight w:val="1" w:hRule="atLeast"/>
          <w:jc w:val="left"/>
        </w:trPr>
        <w:tc>
          <w:tcPr>
            <w:tcW w:w="2800" w:type="dxa"/>
            <w:tcBorders>
              <w:top w:val="single" w:color="cccccc" w:sz="1"/>
              <w:left w:val="single" w:color="cccccc" w:sz="1"/>
              <w:bottom w:val="single" w:color="cccccc" w:sz="1"/>
              <w:right w:val="single" w:color="cccccc" w:sz="1"/>
            </w:tcBorders>
            <w:shd w:color="000000" w:fill="f5f7fa" w:val="clear"/>
            <w:tcMar>
              <w:left w:w="160" w:type="dxa"/>
              <w:right w:w="160" w:type="dxa"/>
            </w:tcMar>
            <w:vAlign w:val="center"/>
          </w:tcPr>
          <w:p>
            <w:pPr>
              <w:spacing w:before="0" w:after="0" w:line="240"/>
              <w:ind w:right="0" w:left="0" w:firstLine="0"/>
              <w:jc w:val="left"/>
              <w:rPr>
                <w:spacing w:val="0"/>
                <w:position w:val="0"/>
                <w:shd w:fill="auto" w:val="clear"/>
              </w:rPr>
            </w:pPr>
            <w:r>
              <w:rPr>
                <w:rFonts w:ascii="Arial" w:hAnsi="Arial" w:cs="Arial" w:eastAsia="Arial"/>
                <w:color w:val="1A3C5E"/>
                <w:spacing w:val="0"/>
                <w:position w:val="0"/>
                <w:sz w:val="21"/>
                <w:shd w:fill="auto" w:val="clear"/>
              </w:rPr>
              <w:t xml:space="preserve">False Positive Rate</w:t>
            </w:r>
          </w:p>
        </w:tc>
        <w:tc>
          <w:tcPr>
            <w:tcW w:w="6560" w:type="dxa"/>
            <w:tcBorders>
              <w:top w:val="single" w:color="cccccc" w:sz="1"/>
              <w:left w:val="single" w:color="cccccc" w:sz="1"/>
              <w:bottom w:val="single" w:color="cccccc" w:sz="1"/>
              <w:right w:val="single" w:color="cccccc" w:sz="1"/>
            </w:tcBorders>
            <w:shd w:color="000000" w:fill="ffffff" w:val="clear"/>
            <w:tcMar>
              <w:left w:w="160" w:type="dxa"/>
              <w:right w:w="160" w:type="dxa"/>
            </w:tcMar>
            <w:vAlign w:val="top"/>
          </w:tcPr>
          <w:p>
            <w:pPr>
              <w:spacing w:before="0" w:after="0" w:line="240"/>
              <w:ind w:right="0" w:left="0" w:firstLine="0"/>
              <w:jc w:val="both"/>
              <w:rPr>
                <w:spacing w:val="0"/>
                <w:position w:val="0"/>
                <w:shd w:fill="auto" w:val="clear"/>
              </w:rPr>
            </w:pPr>
            <w:r>
              <w:rPr>
                <w:rFonts w:ascii="Arial" w:hAnsi="Arial" w:cs="Arial" w:eastAsia="Arial"/>
                <w:color w:val="1A1A2E"/>
                <w:spacing w:val="0"/>
                <w:position w:val="0"/>
                <w:sz w:val="21"/>
                <w:shd w:fill="auto" w:val="clear"/>
              </w:rPr>
              <w:t xml:space="preserve">Target less than 5% to avoid false flood alerts that could trigger incorrect parametric insurance payouts.</w:t>
            </w:r>
          </w:p>
        </w:tc>
      </w:tr>
      <w:tr>
        <w:trPr>
          <w:trHeight w:val="1" w:hRule="atLeast"/>
          <w:jc w:val="left"/>
        </w:trPr>
        <w:tc>
          <w:tcPr>
            <w:tcW w:w="2800" w:type="dxa"/>
            <w:tcBorders>
              <w:top w:val="single" w:color="cccccc" w:sz="1"/>
              <w:left w:val="single" w:color="cccccc" w:sz="1"/>
              <w:bottom w:val="single" w:color="cccccc" w:sz="1"/>
              <w:right w:val="single" w:color="cccccc" w:sz="1"/>
            </w:tcBorders>
            <w:shd w:color="000000" w:fill="f5f7fa" w:val="clear"/>
            <w:tcMar>
              <w:left w:w="160" w:type="dxa"/>
              <w:right w:w="160" w:type="dxa"/>
            </w:tcMar>
            <w:vAlign w:val="center"/>
          </w:tcPr>
          <w:p>
            <w:pPr>
              <w:spacing w:before="0" w:after="0" w:line="240"/>
              <w:ind w:right="0" w:left="0" w:firstLine="0"/>
              <w:jc w:val="left"/>
              <w:rPr>
                <w:spacing w:val="0"/>
                <w:position w:val="0"/>
                <w:shd w:fill="auto" w:val="clear"/>
              </w:rPr>
            </w:pPr>
            <w:r>
              <w:rPr>
                <w:rFonts w:ascii="Arial" w:hAnsi="Arial" w:cs="Arial" w:eastAsia="Arial"/>
                <w:color w:val="1A3C5E"/>
                <w:spacing w:val="0"/>
                <w:position w:val="0"/>
                <w:sz w:val="21"/>
                <w:shd w:fill="auto" w:val="clear"/>
              </w:rPr>
              <w:t xml:space="preserve">Processing Latency</w:t>
            </w:r>
          </w:p>
        </w:tc>
        <w:tc>
          <w:tcPr>
            <w:tcW w:w="6560" w:type="dxa"/>
            <w:tcBorders>
              <w:top w:val="single" w:color="cccccc" w:sz="1"/>
              <w:left w:val="single" w:color="cccccc" w:sz="1"/>
              <w:bottom w:val="single" w:color="cccccc" w:sz="1"/>
              <w:right w:val="single" w:color="cccccc" w:sz="1"/>
            </w:tcBorders>
            <w:shd w:color="000000" w:fill="ffffff" w:val="clear"/>
            <w:tcMar>
              <w:left w:w="160" w:type="dxa"/>
              <w:right w:w="160" w:type="dxa"/>
            </w:tcMar>
            <w:vAlign w:val="top"/>
          </w:tcPr>
          <w:p>
            <w:pPr>
              <w:spacing w:before="0" w:after="0" w:line="240"/>
              <w:ind w:right="0" w:left="0" w:firstLine="0"/>
              <w:jc w:val="both"/>
              <w:rPr>
                <w:spacing w:val="0"/>
                <w:position w:val="0"/>
                <w:shd w:fill="auto" w:val="clear"/>
              </w:rPr>
            </w:pPr>
            <w:r>
              <w:rPr>
                <w:rFonts w:ascii="Arial" w:hAnsi="Arial" w:cs="Arial" w:eastAsia="Arial"/>
                <w:color w:val="1A1A2E"/>
                <w:spacing w:val="0"/>
                <w:position w:val="0"/>
                <w:sz w:val="21"/>
                <w:shd w:fill="auto" w:val="clear"/>
              </w:rPr>
              <w:t xml:space="preserve">Target less than 3 hours from SAR acquisition to flood map delivery for operational event response, consistent with ESA Emergency Management Service benchmarks.</w:t>
            </w:r>
          </w:p>
        </w:tc>
      </w:tr>
    </w:tbl>
    <w:p>
      <w:pPr>
        <w:spacing w:before="160" w:after="0" w:line="240"/>
        <w:ind w:right="0" w:left="0" w:firstLine="0"/>
        <w:jc w:val="left"/>
        <w:rPr>
          <w:rFonts w:ascii="Arial" w:hAnsi="Arial" w:cs="Arial" w:eastAsia="Arial"/>
          <w:color w:val="auto"/>
          <w:spacing w:val="0"/>
          <w:position w:val="0"/>
          <w:sz w:val="22"/>
          <w:shd w:fill="auto" w:val="clear"/>
        </w:rPr>
      </w:pPr>
    </w:p>
    <w:p>
      <w:pPr>
        <w:spacing w:before="320" w:after="120" w:line="240"/>
        <w:ind w:right="0" w:left="0" w:firstLine="0"/>
        <w:jc w:val="left"/>
        <w:rPr>
          <w:rFonts w:ascii="Arial" w:hAnsi="Arial" w:cs="Arial" w:eastAsia="Arial"/>
          <w:b/>
          <w:color w:val="0D7377"/>
          <w:spacing w:val="0"/>
          <w:position w:val="0"/>
          <w:sz w:val="27"/>
          <w:shd w:fill="auto" w:val="clear"/>
        </w:rPr>
      </w:pPr>
      <w:r>
        <w:rPr>
          <w:rFonts w:ascii="Arial" w:hAnsi="Arial" w:cs="Arial" w:eastAsia="Arial"/>
          <w:b/>
          <w:color w:val="0D7377"/>
          <w:spacing w:val="0"/>
          <w:position w:val="0"/>
          <w:sz w:val="27"/>
          <w:shd w:fill="auto" w:val="clear"/>
        </w:rPr>
        <w:t xml:space="preserve">3.3 Stage 2: The Geo-Foundational Model</w:t>
      </w:r>
    </w:p>
    <w:p>
      <w:pPr>
        <w:spacing w:before="60" w:after="100" w:line="240"/>
        <w:ind w:right="0" w:left="0" w:firstLine="0"/>
        <w:jc w:val="both"/>
        <w:rPr>
          <w:rFonts w:ascii="Arial" w:hAnsi="Arial" w:cs="Arial" w:eastAsia="Arial"/>
          <w:color w:val="auto"/>
          <w:spacing w:val="0"/>
          <w:position w:val="0"/>
          <w:sz w:val="22"/>
          <w:shd w:fill="auto" w:val="clear"/>
        </w:rPr>
      </w:pPr>
      <w:r>
        <w:rPr>
          <w:rFonts w:ascii="Arial" w:hAnsi="Arial" w:cs="Arial" w:eastAsia="Arial"/>
          <w:color w:val="1A1A2E"/>
          <w:spacing w:val="0"/>
          <w:position w:val="0"/>
          <w:sz w:val="22"/>
          <w:shd w:fill="auto" w:val="clear"/>
        </w:rPr>
        <w:t xml:space="preserve">The geo-foundational model is the core scientific contribution of TerraSat Apex. It is a spatially explicit, regionally trained flood risk model that fuses physics-informed hydrological features with machine learning to produce continuous, location-specific flood hazard scores across monitored geographies. The model is designed to improve with every flood season and every IoT sensor reading, creating the compounding accuracy advantage that constitutes Apex's primary competitive moat.</w:t>
      </w:r>
    </w:p>
    <w:p>
      <w:pPr>
        <w:spacing w:before="120" w:after="0" w:line="240"/>
        <w:ind w:right="0" w:left="0" w:firstLine="0"/>
        <w:jc w:val="left"/>
        <w:rPr>
          <w:rFonts w:ascii="Arial" w:hAnsi="Arial" w:cs="Arial" w:eastAsia="Arial"/>
          <w:color w:val="auto"/>
          <w:spacing w:val="0"/>
          <w:position w:val="0"/>
          <w:sz w:val="22"/>
          <w:shd w:fill="auto" w:val="clear"/>
        </w:rPr>
      </w:pPr>
    </w:p>
    <w:p>
      <w:pPr>
        <w:spacing w:before="240" w:after="8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1A3C5E"/>
          <w:spacing w:val="0"/>
          <w:position w:val="0"/>
          <w:sz w:val="24"/>
          <w:shd w:fill="auto" w:val="clear"/>
        </w:rPr>
        <w:t xml:space="preserve">3.3.1 Input Feature Engineering</w:t>
      </w:r>
    </w:p>
    <w:p>
      <w:pPr>
        <w:spacing w:before="60" w:after="100" w:line="240"/>
        <w:ind w:right="0" w:left="0" w:firstLine="0"/>
        <w:jc w:val="both"/>
        <w:rPr>
          <w:rFonts w:ascii="Arial" w:hAnsi="Arial" w:cs="Arial" w:eastAsia="Arial"/>
          <w:color w:val="auto"/>
          <w:spacing w:val="0"/>
          <w:position w:val="0"/>
          <w:sz w:val="22"/>
          <w:shd w:fill="auto" w:val="clear"/>
        </w:rPr>
      </w:pPr>
      <w:r>
        <w:rPr>
          <w:rFonts w:ascii="Arial" w:hAnsi="Arial" w:cs="Arial" w:eastAsia="Arial"/>
          <w:color w:val="1A1A2E"/>
          <w:spacing w:val="0"/>
          <w:position w:val="0"/>
          <w:sz w:val="22"/>
          <w:shd w:fill="auto" w:val="clear"/>
        </w:rPr>
        <w:t xml:space="preserve">The geo-foundational model is trained on a multi-source feature set capturing the physical determinants of flood hazard at each grid cell across monitored East African geographies. Feature engineering draws on established hydrological literature identifying the primary controlling variables for flood susceptibility (Tehrany et al., 2014; Hong et al., 2018):</w:t>
      </w:r>
    </w:p>
    <w:p>
      <w:pPr>
        <w:spacing w:before="60" w:after="0" w:line="240"/>
        <w:ind w:right="0" w:left="0" w:firstLine="0"/>
        <w:jc w:val="left"/>
        <w:rPr>
          <w:rFonts w:ascii="Arial" w:hAnsi="Arial" w:cs="Arial" w:eastAsia="Arial"/>
          <w:color w:val="auto"/>
          <w:spacing w:val="0"/>
          <w:position w:val="0"/>
          <w:sz w:val="22"/>
          <w:shd w:fill="auto" w:val="clear"/>
        </w:rPr>
      </w:pPr>
    </w:p>
    <w:p>
      <w:pPr>
        <w:numPr>
          <w:ilvl w:val="0"/>
          <w:numId w:val="127"/>
        </w:numPr>
        <w:spacing w:before="60" w:after="6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1A1A2E"/>
          <w:spacing w:val="0"/>
          <w:position w:val="0"/>
          <w:sz w:val="22"/>
          <w:shd w:fill="auto" w:val="clear"/>
        </w:rPr>
        <w:t xml:space="preserve">Terrain features: Elevation from SRTM 30m and Copernicus DEM 30m, slope gradient, aspect, topographic wetness index (TWI), flow accumulation, distance to nearest river or stream channel derived from HydroSHEDS (Lehner et al., 2008).</w:t>
      </w:r>
    </w:p>
    <w:p>
      <w:pPr>
        <w:numPr>
          <w:ilvl w:val="0"/>
          <w:numId w:val="127"/>
        </w:numPr>
        <w:spacing w:before="60" w:after="6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1A1A2E"/>
          <w:spacing w:val="0"/>
          <w:position w:val="0"/>
          <w:sz w:val="22"/>
          <w:shd w:fill="auto" w:val="clear"/>
        </w:rPr>
        <w:t xml:space="preserve">Hydro-meteorological features: Mean annual rainfall, rainfall seasonality index, historical 24-hour and 72-hour extreme rainfall return periods derived from CHIRPS and ERA5 reanalysis datasets, soil hydraulic conductivity and water retention capacity from SoilGrids (Hengl et al., 2017).</w:t>
      </w:r>
    </w:p>
    <w:p>
      <w:pPr>
        <w:numPr>
          <w:ilvl w:val="0"/>
          <w:numId w:val="127"/>
        </w:numPr>
        <w:spacing w:before="60" w:after="6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1A1A2E"/>
          <w:spacing w:val="0"/>
          <w:position w:val="0"/>
          <w:sz w:val="22"/>
          <w:shd w:fill="auto" w:val="clear"/>
        </w:rPr>
        <w:t xml:space="preserve">Land use and land cover features: Impervious surface fraction from Global Urban Footprint and WSF datasets, vegetation density from MODIS NDVI time series, floodplain delineation from HydroSHEDS flood plains product.</w:t>
      </w:r>
    </w:p>
    <w:p>
      <w:pPr>
        <w:numPr>
          <w:ilvl w:val="0"/>
          <w:numId w:val="127"/>
        </w:numPr>
        <w:spacing w:before="60" w:after="6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1A1A2E"/>
          <w:spacing w:val="0"/>
          <w:position w:val="0"/>
          <w:sz w:val="22"/>
          <w:shd w:fill="auto" w:val="clear"/>
        </w:rPr>
        <w:t xml:space="preserve">Population and exposure features: Population density from WorldPop at 100m resolution, building footprint density from OpenStreetMap, road network distance as a proxy for infrastructure exposure.</w:t>
      </w:r>
    </w:p>
    <w:p>
      <w:pPr>
        <w:numPr>
          <w:ilvl w:val="0"/>
          <w:numId w:val="127"/>
        </w:numPr>
        <w:spacing w:before="60" w:after="6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1A1A2E"/>
          <w:spacing w:val="0"/>
          <w:position w:val="0"/>
          <w:sz w:val="22"/>
          <w:shd w:fill="auto" w:val="clear"/>
        </w:rPr>
        <w:t xml:space="preserve">Dynamic satellite features: Near-real-time NDVI from Sentinel-2 indicating vegetation water stress, soil moisture anomaly from Sentinel-1 cross-polarisation ratio, surface water extent from JRC Global Surface Water dataset (Pekel et al., 2016).</w:t>
      </w:r>
    </w:p>
    <w:p>
      <w:pPr>
        <w:numPr>
          <w:ilvl w:val="0"/>
          <w:numId w:val="127"/>
        </w:numPr>
        <w:spacing w:before="60" w:after="6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1A1A2E"/>
          <w:spacing w:val="0"/>
          <w:position w:val="0"/>
          <w:sz w:val="22"/>
          <w:shd w:fill="auto" w:val="clear"/>
        </w:rPr>
        <w:t xml:space="preserve">IoT sensor features: Real-time water level measurements from deployed sensor nodes, spatially interpolated to grid cells within sensor influence radius using inverse distance weighting (IDW) with anisotropic distance decay calibrated to local river network geometry.</w:t>
      </w:r>
    </w:p>
    <w:p>
      <w:pPr>
        <w:spacing w:before="120" w:after="0" w:line="240"/>
        <w:ind w:right="0" w:left="0" w:firstLine="0"/>
        <w:jc w:val="left"/>
        <w:rPr>
          <w:rFonts w:ascii="Arial" w:hAnsi="Arial" w:cs="Arial" w:eastAsia="Arial"/>
          <w:color w:val="auto"/>
          <w:spacing w:val="0"/>
          <w:position w:val="0"/>
          <w:sz w:val="22"/>
          <w:shd w:fill="auto" w:val="clear"/>
        </w:rPr>
      </w:pPr>
    </w:p>
    <w:p>
      <w:pPr>
        <w:spacing w:before="240" w:after="8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1A3C5E"/>
          <w:spacing w:val="0"/>
          <w:position w:val="0"/>
          <w:sz w:val="24"/>
          <w:shd w:fill="auto" w:val="clear"/>
        </w:rPr>
        <w:t xml:space="preserve">3.3.2 Model Architecture and Training</w:t>
      </w:r>
    </w:p>
    <w:p>
      <w:pPr>
        <w:spacing w:before="60" w:after="100" w:line="240"/>
        <w:ind w:right="0" w:left="0" w:firstLine="0"/>
        <w:jc w:val="both"/>
        <w:rPr>
          <w:rFonts w:ascii="Arial" w:hAnsi="Arial" w:cs="Arial" w:eastAsia="Arial"/>
          <w:color w:val="auto"/>
          <w:spacing w:val="0"/>
          <w:position w:val="0"/>
          <w:sz w:val="22"/>
          <w:shd w:fill="auto" w:val="clear"/>
        </w:rPr>
      </w:pPr>
      <w:r>
        <w:rPr>
          <w:rFonts w:ascii="Arial" w:hAnsi="Arial" w:cs="Arial" w:eastAsia="Arial"/>
          <w:color w:val="1A1A2E"/>
          <w:spacing w:val="0"/>
          <w:position w:val="0"/>
          <w:sz w:val="22"/>
          <w:shd w:fill="auto" w:val="clear"/>
        </w:rPr>
        <w:t xml:space="preserve">The geo-foundational model employs a gradient boosting ensemble architecture (XGBoost, Chen and Guestrin, 2016) as the primary static flood susceptibility model, with a spatiotemporal LSTM component (Hochreiter and Schmidhuber, 1997) capturing dynamic flood evolution during active events. This hybrid architecture is motivated by the complementary strengths of each approach: XGBoost excels at learning complex non-linear relationships between static terrain features and flood occurrence, while LSTM networks are well-suited to capturing temporal dependencies in flood wave propagation and soil saturation dynamics.</w:t>
      </w:r>
    </w:p>
    <w:p>
      <w:pPr>
        <w:spacing w:before="80" w:after="0" w:line="240"/>
        <w:ind w:right="0" w:left="0" w:firstLine="0"/>
        <w:jc w:val="left"/>
        <w:rPr>
          <w:rFonts w:ascii="Arial" w:hAnsi="Arial" w:cs="Arial" w:eastAsia="Arial"/>
          <w:color w:val="auto"/>
          <w:spacing w:val="0"/>
          <w:position w:val="0"/>
          <w:sz w:val="22"/>
          <w:shd w:fill="auto" w:val="clear"/>
        </w:rPr>
      </w:pPr>
    </w:p>
    <w:p>
      <w:pPr>
        <w:spacing w:before="60" w:after="100" w:line="240"/>
        <w:ind w:right="0" w:left="0" w:firstLine="0"/>
        <w:jc w:val="both"/>
        <w:rPr>
          <w:rFonts w:ascii="Arial" w:hAnsi="Arial" w:cs="Arial" w:eastAsia="Arial"/>
          <w:color w:val="auto"/>
          <w:spacing w:val="0"/>
          <w:position w:val="0"/>
          <w:sz w:val="22"/>
          <w:shd w:fill="auto" w:val="clear"/>
        </w:rPr>
      </w:pPr>
      <w:r>
        <w:rPr>
          <w:rFonts w:ascii="Arial" w:hAnsi="Arial" w:cs="Arial" w:eastAsia="Arial"/>
          <w:color w:val="1A1A2E"/>
          <w:spacing w:val="0"/>
          <w:position w:val="0"/>
          <w:sz w:val="22"/>
          <w:shd w:fill="auto" w:val="clear"/>
        </w:rPr>
        <w:t xml:space="preserve">Training data for the static susceptibility model consists of a labelled dataset of historical flood occurrence points derived from: (1) SAR-derived flood masks from the 2018-2024 East Africa flood archive; (2) UNOSAT flood event records for Kenya, Ethiopia, Uganda, and Tanzania; (3) Global Flood Database entries (Tellman et al., 2021); and (4) field-validated flood occurrence records from local meteorological stations and community reporting systems. Non-flood control points are sampled from demonstrably non-flooded areas during the same events to create a balanced binary classification dataset.</w:t>
      </w:r>
    </w:p>
    <w:p>
      <w:pPr>
        <w:spacing w:before="80" w:after="0" w:line="240"/>
        <w:ind w:right="0" w:left="0" w:firstLine="0"/>
        <w:jc w:val="left"/>
        <w:rPr>
          <w:rFonts w:ascii="Arial" w:hAnsi="Arial" w:cs="Arial" w:eastAsia="Arial"/>
          <w:color w:val="auto"/>
          <w:spacing w:val="0"/>
          <w:position w:val="0"/>
          <w:sz w:val="22"/>
          <w:shd w:fill="auto" w:val="clear"/>
        </w:rPr>
      </w:pPr>
    </w:p>
    <w:p>
      <w:pPr>
        <w:spacing w:before="60" w:after="100" w:line="240"/>
        <w:ind w:right="0" w:left="0" w:firstLine="0"/>
        <w:jc w:val="both"/>
        <w:rPr>
          <w:rFonts w:ascii="Arial" w:hAnsi="Arial" w:cs="Arial" w:eastAsia="Arial"/>
          <w:color w:val="auto"/>
          <w:spacing w:val="0"/>
          <w:position w:val="0"/>
          <w:sz w:val="22"/>
          <w:shd w:fill="auto" w:val="clear"/>
        </w:rPr>
      </w:pPr>
      <w:r>
        <w:rPr>
          <w:rFonts w:ascii="Arial" w:hAnsi="Arial" w:cs="Arial" w:eastAsia="Arial"/>
          <w:color w:val="1A1A2E"/>
          <w:spacing w:val="0"/>
          <w:position w:val="0"/>
          <w:sz w:val="22"/>
          <w:shd w:fill="auto" w:val="clear"/>
        </w:rPr>
        <w:t xml:space="preserve">Model training follows a spatial cross-validation procedure (Roberts et al., 2017) using geographically blocked train-test splits to prevent spatial autocorrelation inflating performance metrics. Five spatial folds are constructed by partitioning the study area into geographically distinct blocks and iterating through all combinations of training and test block assignments. This procedure produces honest out-of-sample performance estimates that reflect expected model generalisation to new geographic locations, a critical consideration for a model intended to be applied across expanding East African geographies.</w:t>
      </w:r>
    </w:p>
    <w:p>
      <w:pPr>
        <w:spacing w:before="120" w:after="0" w:line="240"/>
        <w:ind w:right="0" w:left="0" w:firstLine="0"/>
        <w:jc w:val="left"/>
        <w:rPr>
          <w:rFonts w:ascii="Arial" w:hAnsi="Arial" w:cs="Arial" w:eastAsia="Arial"/>
          <w:color w:val="auto"/>
          <w:spacing w:val="0"/>
          <w:position w:val="0"/>
          <w:sz w:val="22"/>
          <w:shd w:fill="auto" w:val="clear"/>
        </w:rPr>
      </w:pPr>
    </w:p>
    <w:p>
      <w:pPr>
        <w:spacing w:before="240" w:after="8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1A3C5E"/>
          <w:spacing w:val="0"/>
          <w:position w:val="0"/>
          <w:sz w:val="24"/>
          <w:shd w:fill="auto" w:val="clear"/>
        </w:rPr>
        <w:t xml:space="preserve">3.3.3 IoT Groundtruthing Integration</w:t>
      </w:r>
    </w:p>
    <w:p>
      <w:pPr>
        <w:spacing w:before="60" w:after="100" w:line="240"/>
        <w:ind w:right="0" w:left="0" w:firstLine="0"/>
        <w:jc w:val="both"/>
        <w:rPr>
          <w:rFonts w:ascii="Arial" w:hAnsi="Arial" w:cs="Arial" w:eastAsia="Arial"/>
          <w:color w:val="auto"/>
          <w:spacing w:val="0"/>
          <w:position w:val="0"/>
          <w:sz w:val="22"/>
          <w:shd w:fill="auto" w:val="clear"/>
        </w:rPr>
      </w:pPr>
      <w:r>
        <w:rPr>
          <w:rFonts w:ascii="Arial" w:hAnsi="Arial" w:cs="Arial" w:eastAsia="Arial"/>
          <w:color w:val="1A1A2E"/>
          <w:spacing w:val="0"/>
          <w:position w:val="0"/>
          <w:sz w:val="22"/>
          <w:shd w:fill="auto" w:val="clear"/>
        </w:rPr>
        <w:t xml:space="preserve">The integration of IoT sensor data into the geo-foundational model follows the data assimilation framework established in numerical weather prediction (Lorenc, 1986; Talagrand, 1997), adapted for flood depth estimation in a machine learning context. The fundamental principle is Bayesian updating: the model's prior estimate of flood depth at a given location is updated in the direction of the IoT sensor observation, with the weight assigned to the sensor measurement proportional to its estimated accuracy relative to the model's prior uncertainty.</w:t>
      </w:r>
    </w:p>
    <w:p>
      <w:pPr>
        <w:spacing w:before="80" w:after="0" w:line="240"/>
        <w:ind w:right="0" w:left="0" w:firstLine="0"/>
        <w:jc w:val="left"/>
        <w:rPr>
          <w:rFonts w:ascii="Arial" w:hAnsi="Arial" w:cs="Arial" w:eastAsia="Arial"/>
          <w:color w:val="auto"/>
          <w:spacing w:val="0"/>
          <w:position w:val="0"/>
          <w:sz w:val="22"/>
          <w:shd w:fill="auto" w:val="clear"/>
        </w:rPr>
      </w:pPr>
    </w:p>
    <w:p>
      <w:pPr>
        <w:spacing w:before="60" w:after="100" w:line="240"/>
        <w:ind w:right="0" w:left="0" w:firstLine="0"/>
        <w:jc w:val="both"/>
        <w:rPr>
          <w:rFonts w:ascii="Arial" w:hAnsi="Arial" w:cs="Arial" w:eastAsia="Arial"/>
          <w:color w:val="auto"/>
          <w:spacing w:val="0"/>
          <w:position w:val="0"/>
          <w:sz w:val="22"/>
          <w:shd w:fill="auto" w:val="clear"/>
        </w:rPr>
      </w:pPr>
      <w:r>
        <w:rPr>
          <w:rFonts w:ascii="Arial" w:hAnsi="Arial" w:cs="Arial" w:eastAsia="Arial"/>
          <w:color w:val="1A1A2E"/>
          <w:spacing w:val="0"/>
          <w:position w:val="0"/>
          <w:sz w:val="22"/>
          <w:shd w:fill="auto" w:val="clear"/>
        </w:rPr>
        <w:t xml:space="preserve">Formally, the updated flood depth estimate at location x at time t is expressed as a weighted combination of the model prior and sensor observation, where the weighting is determined by the inverse of each source's estimated variance. This formulation is equivalent to optimal linear estimation (Wiener filter) and produces minimum-variance depth estimates given the statistical properties of both the model and sensor errors.</w:t>
      </w:r>
    </w:p>
    <w:p>
      <w:pPr>
        <w:spacing w:before="80" w:after="0" w:line="240"/>
        <w:ind w:right="0" w:left="0" w:firstLine="0"/>
        <w:jc w:val="left"/>
        <w:rPr>
          <w:rFonts w:ascii="Arial" w:hAnsi="Arial" w:cs="Arial" w:eastAsia="Arial"/>
          <w:color w:val="auto"/>
          <w:spacing w:val="0"/>
          <w:position w:val="0"/>
          <w:sz w:val="22"/>
          <w:shd w:fill="auto" w:val="clear"/>
        </w:rPr>
      </w:pPr>
    </w:p>
    <w:tbl>
      <w:tblPr/>
      <w:tblGrid>
        <w:gridCol w:w="9360"/>
      </w:tblGrid>
      <w:tr>
        <w:trPr>
          <w:trHeight w:val="1" w:hRule="atLeast"/>
          <w:jc w:val="left"/>
        </w:trPr>
        <w:tc>
          <w:tcPr>
            <w:tcW w:w="9360" w:type="dxa"/>
            <w:tcBorders>
              <w:top w:val="single" w:color="cccccc" w:sz="1"/>
              <w:left w:val="single" w:color="cccccc" w:sz="1"/>
              <w:bottom w:val="single" w:color="cccccc" w:sz="1"/>
              <w:right w:val="single" w:color="cccccc" w:sz="1"/>
            </w:tcBorders>
            <w:shd w:color="000000" w:fill="eaf4f4" w:val="clear"/>
            <w:tcMar>
              <w:left w:w="280" w:type="dxa"/>
              <w:right w:w="280" w:type="dxa"/>
            </w:tcMar>
            <w:vAlign w:val="top"/>
          </w:tcPr>
          <w:p>
            <w:pPr>
              <w:spacing w:before="0" w:after="8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1A3C5E"/>
                <w:spacing w:val="0"/>
                <w:position w:val="0"/>
                <w:sz w:val="23"/>
                <w:shd w:fill="auto" w:val="clear"/>
              </w:rPr>
              <w:t xml:space="preserve">IoT Sensor Placement Methodology</w:t>
            </w:r>
          </w:p>
          <w:p>
            <w:pPr>
              <w:spacing w:before="0" w:after="0" w:line="240"/>
              <w:ind w:right="0" w:left="0" w:firstLine="0"/>
              <w:jc w:val="both"/>
              <w:rPr>
                <w:spacing w:val="0"/>
                <w:position w:val="0"/>
                <w:shd w:fill="auto" w:val="clear"/>
              </w:rPr>
            </w:pPr>
            <w:r>
              <w:rPr>
                <w:rFonts w:ascii="Arial" w:hAnsi="Arial" w:cs="Arial" w:eastAsia="Arial"/>
                <w:color w:val="1A1A2E"/>
                <w:spacing w:val="0"/>
                <w:position w:val="0"/>
                <w:sz w:val="21"/>
                <w:shd w:fill="auto" w:val="clear"/>
              </w:rPr>
              <w:t xml:space="preserve">Sensor node placement follows a stratified strategic sampling design based on three criteria derived from hydrological theory and information-theoretic principles: (1) Hydrological representativeness: nodes are placed at locations that serve as representative gauging points for upstream catchment areas, maximising the volume of catchment area monitored per sensor. (2) Model uncertainty reduction: nodes are placed at locations where the geo-foundational model exhibits highest prediction uncertainty, quantified as the standard deviation of ensemble member predictions. (3) Financial exposure concentration: nodes are prioritised in zones with highest density of insured assets, loan collateral, and agricultural exposure, maximising the financial value of the groundtruthing signal. This design is analogous to optimal sensor placement methods in structural health monitoring (Papadimitriou, 2004) and is validated by information-gain calculations showing expected reduction in model mean absolute error per sensor node deployed.</w:t>
            </w:r>
          </w:p>
        </w:tc>
      </w:tr>
    </w:tbl>
    <w:p>
      <w:pPr>
        <w:spacing w:before="160" w:after="0" w:line="240"/>
        <w:ind w:right="0" w:left="0" w:firstLine="0"/>
        <w:jc w:val="left"/>
        <w:rPr>
          <w:rFonts w:ascii="Arial" w:hAnsi="Arial" w:cs="Arial" w:eastAsia="Arial"/>
          <w:color w:val="auto"/>
          <w:spacing w:val="0"/>
          <w:position w:val="0"/>
          <w:sz w:val="22"/>
          <w:shd w:fill="auto" w:val="clear"/>
        </w:rPr>
      </w:pPr>
    </w:p>
    <w:p>
      <w:pPr>
        <w:spacing w:before="320" w:after="120" w:line="240"/>
        <w:ind w:right="0" w:left="0" w:firstLine="0"/>
        <w:jc w:val="left"/>
        <w:rPr>
          <w:rFonts w:ascii="Arial" w:hAnsi="Arial" w:cs="Arial" w:eastAsia="Arial"/>
          <w:b/>
          <w:color w:val="0D7377"/>
          <w:spacing w:val="0"/>
          <w:position w:val="0"/>
          <w:sz w:val="27"/>
          <w:shd w:fill="auto" w:val="clear"/>
        </w:rPr>
      </w:pPr>
      <w:r>
        <w:rPr>
          <w:rFonts w:ascii="Arial" w:hAnsi="Arial" w:cs="Arial" w:eastAsia="Arial"/>
          <w:b/>
          <w:color w:val="0D7377"/>
          <w:spacing w:val="0"/>
          <w:position w:val="0"/>
          <w:sz w:val="27"/>
          <w:shd w:fill="auto" w:val="clear"/>
        </w:rPr>
        <w:t xml:space="preserve">3.4 Stage 3: Financial Risk Translation Methodology</w:t>
      </w:r>
    </w:p>
    <w:p>
      <w:pPr>
        <w:spacing w:before="60" w:after="100" w:line="240"/>
        <w:ind w:right="0" w:left="0" w:firstLine="0"/>
        <w:jc w:val="both"/>
        <w:rPr>
          <w:rFonts w:ascii="Arial" w:hAnsi="Arial" w:cs="Arial" w:eastAsia="Arial"/>
          <w:color w:val="auto"/>
          <w:spacing w:val="0"/>
          <w:position w:val="0"/>
          <w:sz w:val="22"/>
          <w:shd w:fill="auto" w:val="clear"/>
        </w:rPr>
      </w:pPr>
      <w:r>
        <w:rPr>
          <w:rFonts w:ascii="Arial" w:hAnsi="Arial" w:cs="Arial" w:eastAsia="Arial"/>
          <w:color w:val="1A1A2E"/>
          <w:spacing w:val="0"/>
          <w:position w:val="0"/>
          <w:sz w:val="22"/>
          <w:shd w:fill="auto" w:val="clear"/>
        </w:rPr>
        <w:t xml:space="preserve">The conversion of physical flood hazard scores into financial risk metrics is the stage of the Apex methodology most directly relevant to financial institution clients. This translation follows the asset-level physical risk assessment framework established in the climate risk finance literature, implementing the specific metrics required for integration into credit models, portfolio stress tests, and regulatory disclosures.</w:t>
      </w:r>
    </w:p>
    <w:p>
      <w:pPr>
        <w:spacing w:before="120" w:after="0" w:line="240"/>
        <w:ind w:right="0" w:left="0" w:firstLine="0"/>
        <w:jc w:val="left"/>
        <w:rPr>
          <w:rFonts w:ascii="Arial" w:hAnsi="Arial" w:cs="Arial" w:eastAsia="Arial"/>
          <w:color w:val="auto"/>
          <w:spacing w:val="0"/>
          <w:position w:val="0"/>
          <w:sz w:val="22"/>
          <w:shd w:fill="auto" w:val="clear"/>
        </w:rPr>
      </w:pPr>
    </w:p>
    <w:p>
      <w:pPr>
        <w:spacing w:before="240" w:after="8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1A3C5E"/>
          <w:spacing w:val="0"/>
          <w:position w:val="0"/>
          <w:sz w:val="24"/>
          <w:shd w:fill="auto" w:val="clear"/>
        </w:rPr>
        <w:t xml:space="preserve">3.4.1 Flood Depth-Damage Functions</w:t>
      </w:r>
    </w:p>
    <w:p>
      <w:pPr>
        <w:spacing w:before="60" w:after="100" w:line="240"/>
        <w:ind w:right="0" w:left="0" w:firstLine="0"/>
        <w:jc w:val="both"/>
        <w:rPr>
          <w:rFonts w:ascii="Arial" w:hAnsi="Arial" w:cs="Arial" w:eastAsia="Arial"/>
          <w:color w:val="auto"/>
          <w:spacing w:val="0"/>
          <w:position w:val="0"/>
          <w:sz w:val="22"/>
          <w:shd w:fill="auto" w:val="clear"/>
        </w:rPr>
      </w:pPr>
      <w:r>
        <w:rPr>
          <w:rFonts w:ascii="Arial" w:hAnsi="Arial" w:cs="Arial" w:eastAsia="Arial"/>
          <w:color w:val="1A1A2E"/>
          <w:spacing w:val="0"/>
          <w:position w:val="0"/>
          <w:sz w:val="22"/>
          <w:shd w:fill="auto" w:val="clear"/>
        </w:rPr>
        <w:t xml:space="preserve">Depth-damage functions (DDFs) relate flood inundation depth at an asset location to the expected proportional damage to that asset. DDFs are the standard instrument in catastrophe risk modelling for translating physical hazard intensity into financial loss estimates (Penning-Rowsell et al., 2003; Huizinga et al., 2017). The Apex implementation uses asset-type-specific DDFs derived from the JRC Global Flood Depth-Damage Functions database (Huizinga et al., 2017), which provides empirically validated relationships for residential buildings, commercial structures, agricultural land, and infrastructure categories across 30 world regions including Sub-Saharan Africa.</w:t>
      </w:r>
    </w:p>
    <w:p>
      <w:pPr>
        <w:spacing w:before="80" w:after="0" w:line="240"/>
        <w:ind w:right="0" w:left="0" w:firstLine="0"/>
        <w:jc w:val="left"/>
        <w:rPr>
          <w:rFonts w:ascii="Arial" w:hAnsi="Arial" w:cs="Arial" w:eastAsia="Arial"/>
          <w:color w:val="auto"/>
          <w:spacing w:val="0"/>
          <w:position w:val="0"/>
          <w:sz w:val="22"/>
          <w:shd w:fill="auto" w:val="clear"/>
        </w:rPr>
      </w:pPr>
    </w:p>
    <w:p>
      <w:pPr>
        <w:spacing w:before="60" w:after="100" w:line="240"/>
        <w:ind w:right="0" w:left="0" w:firstLine="0"/>
        <w:jc w:val="both"/>
        <w:rPr>
          <w:rFonts w:ascii="Arial" w:hAnsi="Arial" w:cs="Arial" w:eastAsia="Arial"/>
          <w:color w:val="auto"/>
          <w:spacing w:val="0"/>
          <w:position w:val="0"/>
          <w:sz w:val="22"/>
          <w:shd w:fill="auto" w:val="clear"/>
        </w:rPr>
      </w:pPr>
      <w:r>
        <w:rPr>
          <w:rFonts w:ascii="Arial" w:hAnsi="Arial" w:cs="Arial" w:eastAsia="Arial"/>
          <w:color w:val="1A1A2E"/>
          <w:spacing w:val="0"/>
          <w:position w:val="0"/>
          <w:sz w:val="22"/>
          <w:shd w:fill="auto" w:val="clear"/>
        </w:rPr>
        <w:t xml:space="preserve">For a given asset with replacement value V at location x, the expected financial loss L from a flood event with inundation depth d is given by: L = V x f(d), where f(d) is the damage fraction from the applicable DDF at depth d. Portfolio-level Expected Annual Loss (EAL) integrates this damage function across the full distribution of flood frequencies: EAL = the integral of L(d) times the probability density of d over all possible depth values. This calculation requires knowledge of the flood frequency distribution at each asset location, which the geo-foundational model provides in the form of exceedance probability curves calibrated to historical flood event data.</w:t>
      </w:r>
    </w:p>
    <w:p>
      <w:pPr>
        <w:spacing w:before="120" w:after="0" w:line="240"/>
        <w:ind w:right="0" w:left="0" w:firstLine="0"/>
        <w:jc w:val="left"/>
        <w:rPr>
          <w:rFonts w:ascii="Arial" w:hAnsi="Arial" w:cs="Arial" w:eastAsia="Arial"/>
          <w:color w:val="auto"/>
          <w:spacing w:val="0"/>
          <w:position w:val="0"/>
          <w:sz w:val="22"/>
          <w:shd w:fill="auto" w:val="clear"/>
        </w:rPr>
      </w:pPr>
    </w:p>
    <w:p>
      <w:pPr>
        <w:spacing w:before="240" w:after="8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1A3C5E"/>
          <w:spacing w:val="0"/>
          <w:position w:val="0"/>
          <w:sz w:val="24"/>
          <w:shd w:fill="auto" w:val="clear"/>
        </w:rPr>
        <w:t xml:space="preserve">3.4.2 Credit Risk Translation</w:t>
      </w:r>
    </w:p>
    <w:p>
      <w:pPr>
        <w:spacing w:before="60" w:after="100" w:line="240"/>
        <w:ind w:right="0" w:left="0" w:firstLine="0"/>
        <w:jc w:val="both"/>
        <w:rPr>
          <w:rFonts w:ascii="Arial" w:hAnsi="Arial" w:cs="Arial" w:eastAsia="Arial"/>
          <w:color w:val="auto"/>
          <w:spacing w:val="0"/>
          <w:position w:val="0"/>
          <w:sz w:val="22"/>
          <w:shd w:fill="auto" w:val="clear"/>
        </w:rPr>
      </w:pPr>
      <w:r>
        <w:rPr>
          <w:rFonts w:ascii="Arial" w:hAnsi="Arial" w:cs="Arial" w:eastAsia="Arial"/>
          <w:color w:val="1A1A2E"/>
          <w:spacing w:val="0"/>
          <w:position w:val="0"/>
          <w:sz w:val="22"/>
          <w:shd w:fill="auto" w:val="clear"/>
        </w:rPr>
        <w:t xml:space="preserve">The translation of physical flood exposure into credit risk metrics follows the framework developed by Battiston et al. (2017) and subsequently operationalised by the European Banking Authority (EBA, 2021) in its guidelines on loan origination and monitoring. The core concept is the Physical Risk Premium: the additional probability of default attributable to a borrower's physical flood exposure, which should be incorporated into the credit risk assessment alongside traditional financial metrics.</w:t>
      </w:r>
    </w:p>
    <w:p>
      <w:pPr>
        <w:spacing w:before="80" w:after="0" w:line="240"/>
        <w:ind w:right="0" w:left="0" w:firstLine="0"/>
        <w:jc w:val="left"/>
        <w:rPr>
          <w:rFonts w:ascii="Arial" w:hAnsi="Arial" w:cs="Arial" w:eastAsia="Arial"/>
          <w:color w:val="auto"/>
          <w:spacing w:val="0"/>
          <w:position w:val="0"/>
          <w:sz w:val="22"/>
          <w:shd w:fill="auto" w:val="clear"/>
        </w:rPr>
      </w:pPr>
    </w:p>
    <w:p>
      <w:pPr>
        <w:spacing w:before="60" w:after="100" w:line="240"/>
        <w:ind w:right="0" w:left="0" w:firstLine="0"/>
        <w:jc w:val="both"/>
        <w:rPr>
          <w:rFonts w:ascii="Arial" w:hAnsi="Arial" w:cs="Arial" w:eastAsia="Arial"/>
          <w:color w:val="auto"/>
          <w:spacing w:val="0"/>
          <w:position w:val="0"/>
          <w:sz w:val="22"/>
          <w:shd w:fill="auto" w:val="clear"/>
        </w:rPr>
      </w:pPr>
      <w:r>
        <w:rPr>
          <w:rFonts w:ascii="Arial" w:hAnsi="Arial" w:cs="Arial" w:eastAsia="Arial"/>
          <w:color w:val="1A1A2E"/>
          <w:spacing w:val="0"/>
          <w:position w:val="0"/>
          <w:sz w:val="22"/>
          <w:shd w:fill="auto" w:val="clear"/>
        </w:rPr>
        <w:t xml:space="preserve">The Physical Risk Premium for a given borrower is estimated from the Apex flood score using a logistic regression model calibrated on historical loan performance data from East African financial institutions, relating observed default rates to flood exposure scores in affected geographies. This calibration approach is consistent with the empirical methodology used by Klomp (2014) in analysing the impact of natural disasters on banking sector fragility, and by Berg et al. (2021) in quantifying climate risk in mortgage lending.</w:t>
      </w:r>
    </w:p>
    <w:p>
      <w:pPr>
        <w:spacing w:before="80" w:after="0" w:line="240"/>
        <w:ind w:right="0" w:left="0" w:firstLine="0"/>
        <w:jc w:val="left"/>
        <w:rPr>
          <w:rFonts w:ascii="Arial" w:hAnsi="Arial" w:cs="Arial" w:eastAsia="Arial"/>
          <w:color w:val="auto"/>
          <w:spacing w:val="0"/>
          <w:position w:val="0"/>
          <w:sz w:val="22"/>
          <w:shd w:fill="auto" w:val="clear"/>
        </w:rPr>
      </w:pPr>
    </w:p>
    <w:tbl>
      <w:tblPr/>
      <w:tblGrid>
        <w:gridCol w:w="2800"/>
        <w:gridCol w:w="6560"/>
      </w:tblGrid>
      <w:tr>
        <w:trPr>
          <w:trHeight w:val="1" w:hRule="atLeast"/>
          <w:jc w:val="left"/>
        </w:trPr>
        <w:tc>
          <w:tcPr>
            <w:tcW w:w="2800" w:type="dxa"/>
            <w:tcBorders>
              <w:top w:val="single" w:color="cccccc" w:sz="1"/>
              <w:left w:val="single" w:color="cccccc" w:sz="1"/>
              <w:bottom w:val="single" w:color="cccccc" w:sz="1"/>
              <w:right w:val="single" w:color="cccccc" w:sz="1"/>
            </w:tcBorders>
            <w:shd w:color="000000" w:fill="1a3c5e" w:val="clear"/>
            <w:tcMar>
              <w:left w:w="160" w:type="dxa"/>
              <w:right w:w="160" w:type="dxa"/>
            </w:tcMar>
            <w:vAlign w:val="center"/>
          </w:tcPr>
          <w:p>
            <w:pPr>
              <w:spacing w:before="0" w:after="0" w:line="240"/>
              <w:ind w:right="0" w:left="0" w:firstLine="0"/>
              <w:jc w:val="left"/>
              <w:rPr>
                <w:spacing w:val="0"/>
                <w:position w:val="0"/>
                <w:shd w:fill="auto" w:val="clear"/>
              </w:rPr>
            </w:pPr>
            <w:r>
              <w:rPr>
                <w:rFonts w:ascii="Arial" w:hAnsi="Arial" w:cs="Arial" w:eastAsia="Arial"/>
                <w:b/>
                <w:color w:val="FFFFFF"/>
                <w:spacing w:val="0"/>
                <w:position w:val="0"/>
                <w:sz w:val="21"/>
                <w:shd w:fill="auto" w:val="clear"/>
              </w:rPr>
              <w:t xml:space="preserve">Financial Metric</w:t>
            </w:r>
          </w:p>
        </w:tc>
        <w:tc>
          <w:tcPr>
            <w:tcW w:w="6560" w:type="dxa"/>
            <w:tcBorders>
              <w:top w:val="single" w:color="cccccc" w:sz="1"/>
              <w:left w:val="single" w:color="cccccc" w:sz="1"/>
              <w:bottom w:val="single" w:color="cccccc" w:sz="1"/>
              <w:right w:val="single" w:color="cccccc" w:sz="1"/>
            </w:tcBorders>
            <w:shd w:color="000000" w:fill="auto" w:val="clear"/>
            <w:tcMar>
              <w:left w:w="160" w:type="dxa"/>
              <w:right w:w="160" w:type="dxa"/>
            </w:tcMar>
            <w:vAlign w:val="top"/>
          </w:tcPr>
          <w:p>
            <w:pPr>
              <w:spacing w:before="0" w:after="0" w:line="240"/>
              <w:ind w:right="0" w:left="0" w:firstLine="0"/>
              <w:jc w:val="both"/>
              <w:rPr>
                <w:spacing w:val="0"/>
                <w:position w:val="0"/>
                <w:shd w:fill="auto" w:val="clear"/>
              </w:rPr>
            </w:pPr>
            <w:r>
              <w:rPr>
                <w:rFonts w:ascii="Arial" w:hAnsi="Arial" w:cs="Arial" w:eastAsia="Arial"/>
                <w:b/>
                <w:color w:val="FFFFFF"/>
                <w:spacing w:val="0"/>
                <w:position w:val="0"/>
                <w:sz w:val="21"/>
                <w:shd w:fill="auto" w:val="clear"/>
              </w:rPr>
              <w:t xml:space="preserve">Apex Methodology</w:t>
            </w:r>
          </w:p>
        </w:tc>
      </w:tr>
      <w:tr>
        <w:trPr>
          <w:trHeight w:val="1" w:hRule="atLeast"/>
          <w:jc w:val="left"/>
        </w:trPr>
        <w:tc>
          <w:tcPr>
            <w:tcW w:w="2800" w:type="dxa"/>
            <w:tcBorders>
              <w:top w:val="single" w:color="cccccc" w:sz="1"/>
              <w:left w:val="single" w:color="cccccc" w:sz="1"/>
              <w:bottom w:val="single" w:color="cccccc" w:sz="1"/>
              <w:right w:val="single" w:color="cccccc" w:sz="1"/>
            </w:tcBorders>
            <w:shd w:color="000000" w:fill="f5f7fa" w:val="clear"/>
            <w:tcMar>
              <w:left w:w="160" w:type="dxa"/>
              <w:right w:w="160" w:type="dxa"/>
            </w:tcMar>
            <w:vAlign w:val="center"/>
          </w:tcPr>
          <w:p>
            <w:pPr>
              <w:spacing w:before="0" w:after="0" w:line="240"/>
              <w:ind w:right="0" w:left="0" w:firstLine="0"/>
              <w:jc w:val="left"/>
              <w:rPr>
                <w:spacing w:val="0"/>
                <w:position w:val="0"/>
                <w:shd w:fill="auto" w:val="clear"/>
              </w:rPr>
            </w:pPr>
            <w:r>
              <w:rPr>
                <w:rFonts w:ascii="Arial" w:hAnsi="Arial" w:cs="Arial" w:eastAsia="Arial"/>
                <w:color w:val="1A3C5E"/>
                <w:spacing w:val="0"/>
                <w:position w:val="0"/>
                <w:sz w:val="21"/>
                <w:shd w:fill="auto" w:val="clear"/>
              </w:rPr>
              <w:t xml:space="preserve">Probability of Default (PD) Adjustment</w:t>
            </w:r>
          </w:p>
        </w:tc>
        <w:tc>
          <w:tcPr>
            <w:tcW w:w="6560" w:type="dxa"/>
            <w:tcBorders>
              <w:top w:val="single" w:color="cccccc" w:sz="1"/>
              <w:left w:val="single" w:color="cccccc" w:sz="1"/>
              <w:bottom w:val="single" w:color="cccccc" w:sz="1"/>
              <w:right w:val="single" w:color="cccccc" w:sz="1"/>
            </w:tcBorders>
            <w:shd w:color="000000" w:fill="ffffff" w:val="clear"/>
            <w:tcMar>
              <w:left w:w="160" w:type="dxa"/>
              <w:right w:w="160" w:type="dxa"/>
            </w:tcMar>
            <w:vAlign w:val="top"/>
          </w:tcPr>
          <w:p>
            <w:pPr>
              <w:spacing w:before="0" w:after="0" w:line="240"/>
              <w:ind w:right="0" w:left="0" w:firstLine="0"/>
              <w:jc w:val="both"/>
              <w:rPr>
                <w:spacing w:val="0"/>
                <w:position w:val="0"/>
                <w:shd w:fill="auto" w:val="clear"/>
              </w:rPr>
            </w:pPr>
            <w:r>
              <w:rPr>
                <w:rFonts w:ascii="Arial" w:hAnsi="Arial" w:cs="Arial" w:eastAsia="Arial"/>
                <w:color w:val="1A1A2E"/>
                <w:spacing w:val="0"/>
                <w:position w:val="0"/>
                <w:sz w:val="21"/>
                <w:shd w:fill="auto" w:val="clear"/>
              </w:rPr>
              <w:t xml:space="preserve">Logistic regression model relating Apex flood score to observed default rate uplift in flooded zones, calibrated on East African loan performance data. Output is an incremental PD premium (in basis points) to be added to the base PD estimate.</w:t>
            </w:r>
          </w:p>
        </w:tc>
      </w:tr>
      <w:tr>
        <w:trPr>
          <w:trHeight w:val="1" w:hRule="atLeast"/>
          <w:jc w:val="left"/>
        </w:trPr>
        <w:tc>
          <w:tcPr>
            <w:tcW w:w="2800" w:type="dxa"/>
            <w:tcBorders>
              <w:top w:val="single" w:color="cccccc" w:sz="1"/>
              <w:left w:val="single" w:color="cccccc" w:sz="1"/>
              <w:bottom w:val="single" w:color="cccccc" w:sz="1"/>
              <w:right w:val="single" w:color="cccccc" w:sz="1"/>
            </w:tcBorders>
            <w:shd w:color="000000" w:fill="f5f7fa" w:val="clear"/>
            <w:tcMar>
              <w:left w:w="160" w:type="dxa"/>
              <w:right w:w="160" w:type="dxa"/>
            </w:tcMar>
            <w:vAlign w:val="center"/>
          </w:tcPr>
          <w:p>
            <w:pPr>
              <w:spacing w:before="0" w:after="0" w:line="240"/>
              <w:ind w:right="0" w:left="0" w:firstLine="0"/>
              <w:jc w:val="left"/>
              <w:rPr>
                <w:spacing w:val="0"/>
                <w:position w:val="0"/>
                <w:shd w:fill="auto" w:val="clear"/>
              </w:rPr>
            </w:pPr>
            <w:r>
              <w:rPr>
                <w:rFonts w:ascii="Arial" w:hAnsi="Arial" w:cs="Arial" w:eastAsia="Arial"/>
                <w:color w:val="1A3C5E"/>
                <w:spacing w:val="0"/>
                <w:position w:val="0"/>
                <w:sz w:val="21"/>
                <w:shd w:fill="auto" w:val="clear"/>
              </w:rPr>
              <w:t xml:space="preserve">Loss Given Default (LGD) Adjustment</w:t>
            </w:r>
          </w:p>
        </w:tc>
        <w:tc>
          <w:tcPr>
            <w:tcW w:w="6560" w:type="dxa"/>
            <w:tcBorders>
              <w:top w:val="single" w:color="cccccc" w:sz="1"/>
              <w:left w:val="single" w:color="cccccc" w:sz="1"/>
              <w:bottom w:val="single" w:color="cccccc" w:sz="1"/>
              <w:right w:val="single" w:color="cccccc" w:sz="1"/>
            </w:tcBorders>
            <w:shd w:color="000000" w:fill="ffffff" w:val="clear"/>
            <w:tcMar>
              <w:left w:w="160" w:type="dxa"/>
              <w:right w:w="160" w:type="dxa"/>
            </w:tcMar>
            <w:vAlign w:val="top"/>
          </w:tcPr>
          <w:p>
            <w:pPr>
              <w:spacing w:before="0" w:after="0" w:line="240"/>
              <w:ind w:right="0" w:left="0" w:firstLine="0"/>
              <w:jc w:val="both"/>
              <w:rPr>
                <w:spacing w:val="0"/>
                <w:position w:val="0"/>
                <w:shd w:fill="auto" w:val="clear"/>
              </w:rPr>
            </w:pPr>
            <w:r>
              <w:rPr>
                <w:rFonts w:ascii="Arial" w:hAnsi="Arial" w:cs="Arial" w:eastAsia="Arial"/>
                <w:color w:val="1A1A2E"/>
                <w:spacing w:val="0"/>
                <w:position w:val="0"/>
                <w:sz w:val="21"/>
                <w:shd w:fill="auto" w:val="clear"/>
              </w:rPr>
              <w:t xml:space="preserve">Flood-driven collateral devaluation estimated using DDF-based damage fraction applied to collateral asset value. Adjusted LGD reflects reduced collateral recovery value in flood-damaged zones.</w:t>
            </w:r>
          </w:p>
        </w:tc>
      </w:tr>
      <w:tr>
        <w:trPr>
          <w:trHeight w:val="1" w:hRule="atLeast"/>
          <w:jc w:val="left"/>
        </w:trPr>
        <w:tc>
          <w:tcPr>
            <w:tcW w:w="2800" w:type="dxa"/>
            <w:tcBorders>
              <w:top w:val="single" w:color="cccccc" w:sz="1"/>
              <w:left w:val="single" w:color="cccccc" w:sz="1"/>
              <w:bottom w:val="single" w:color="cccccc" w:sz="1"/>
              <w:right w:val="single" w:color="cccccc" w:sz="1"/>
            </w:tcBorders>
            <w:shd w:color="000000" w:fill="f5f7fa" w:val="clear"/>
            <w:tcMar>
              <w:left w:w="160" w:type="dxa"/>
              <w:right w:w="160" w:type="dxa"/>
            </w:tcMar>
            <w:vAlign w:val="center"/>
          </w:tcPr>
          <w:p>
            <w:pPr>
              <w:spacing w:before="0" w:after="0" w:line="240"/>
              <w:ind w:right="0" w:left="0" w:firstLine="0"/>
              <w:jc w:val="left"/>
              <w:rPr>
                <w:spacing w:val="0"/>
                <w:position w:val="0"/>
                <w:shd w:fill="auto" w:val="clear"/>
              </w:rPr>
            </w:pPr>
            <w:r>
              <w:rPr>
                <w:rFonts w:ascii="Arial" w:hAnsi="Arial" w:cs="Arial" w:eastAsia="Arial"/>
                <w:color w:val="1A3C5E"/>
                <w:spacing w:val="0"/>
                <w:position w:val="0"/>
                <w:sz w:val="21"/>
                <w:shd w:fill="auto" w:val="clear"/>
              </w:rPr>
              <w:t xml:space="preserve">Exposure at Default (EAD) Adjustment</w:t>
            </w:r>
          </w:p>
        </w:tc>
        <w:tc>
          <w:tcPr>
            <w:tcW w:w="6560" w:type="dxa"/>
            <w:tcBorders>
              <w:top w:val="single" w:color="cccccc" w:sz="1"/>
              <w:left w:val="single" w:color="cccccc" w:sz="1"/>
              <w:bottom w:val="single" w:color="cccccc" w:sz="1"/>
              <w:right w:val="single" w:color="cccccc" w:sz="1"/>
            </w:tcBorders>
            <w:shd w:color="000000" w:fill="ffffff" w:val="clear"/>
            <w:tcMar>
              <w:left w:w="160" w:type="dxa"/>
              <w:right w:w="160" w:type="dxa"/>
            </w:tcMar>
            <w:vAlign w:val="top"/>
          </w:tcPr>
          <w:p>
            <w:pPr>
              <w:spacing w:before="0" w:after="0" w:line="240"/>
              <w:ind w:right="0" w:left="0" w:firstLine="0"/>
              <w:jc w:val="both"/>
              <w:rPr>
                <w:spacing w:val="0"/>
                <w:position w:val="0"/>
                <w:shd w:fill="auto" w:val="clear"/>
              </w:rPr>
            </w:pPr>
            <w:r>
              <w:rPr>
                <w:rFonts w:ascii="Arial" w:hAnsi="Arial" w:cs="Arial" w:eastAsia="Arial"/>
                <w:color w:val="1A1A2E"/>
                <w:spacing w:val="0"/>
                <w:position w:val="0"/>
                <w:sz w:val="21"/>
                <w:shd w:fill="auto" w:val="clear"/>
              </w:rPr>
              <w:t xml:space="preserve">For revolving credit facilities, EAD may increase post-flood as borrowers draw down available credit to fund recovery costs. Apex flags high-exposure zones for EAD sensitivity analysis.</w:t>
            </w:r>
          </w:p>
        </w:tc>
      </w:tr>
      <w:tr>
        <w:trPr>
          <w:trHeight w:val="1" w:hRule="atLeast"/>
          <w:jc w:val="left"/>
        </w:trPr>
        <w:tc>
          <w:tcPr>
            <w:tcW w:w="2800" w:type="dxa"/>
            <w:tcBorders>
              <w:top w:val="single" w:color="cccccc" w:sz="1"/>
              <w:left w:val="single" w:color="cccccc" w:sz="1"/>
              <w:bottom w:val="single" w:color="cccccc" w:sz="1"/>
              <w:right w:val="single" w:color="cccccc" w:sz="1"/>
            </w:tcBorders>
            <w:shd w:color="000000" w:fill="f5f7fa" w:val="clear"/>
            <w:tcMar>
              <w:left w:w="160" w:type="dxa"/>
              <w:right w:w="160" w:type="dxa"/>
            </w:tcMar>
            <w:vAlign w:val="center"/>
          </w:tcPr>
          <w:p>
            <w:pPr>
              <w:spacing w:before="0" w:after="0" w:line="240"/>
              <w:ind w:right="0" w:left="0" w:firstLine="0"/>
              <w:jc w:val="left"/>
              <w:rPr>
                <w:spacing w:val="0"/>
                <w:position w:val="0"/>
                <w:shd w:fill="auto" w:val="clear"/>
              </w:rPr>
            </w:pPr>
            <w:r>
              <w:rPr>
                <w:rFonts w:ascii="Arial" w:hAnsi="Arial" w:cs="Arial" w:eastAsia="Arial"/>
                <w:color w:val="1A3C5E"/>
                <w:spacing w:val="0"/>
                <w:position w:val="0"/>
                <w:sz w:val="21"/>
                <w:shd w:fill="auto" w:val="clear"/>
              </w:rPr>
              <w:t xml:space="preserve">Expected Annual Loss (EAL) Calculation</w:t>
            </w:r>
          </w:p>
        </w:tc>
        <w:tc>
          <w:tcPr>
            <w:tcW w:w="6560" w:type="dxa"/>
            <w:tcBorders>
              <w:top w:val="single" w:color="cccccc" w:sz="1"/>
              <w:left w:val="single" w:color="cccccc" w:sz="1"/>
              <w:bottom w:val="single" w:color="cccccc" w:sz="1"/>
              <w:right w:val="single" w:color="cccccc" w:sz="1"/>
            </w:tcBorders>
            <w:shd w:color="000000" w:fill="ffffff" w:val="clear"/>
            <w:tcMar>
              <w:left w:w="160" w:type="dxa"/>
              <w:right w:w="160" w:type="dxa"/>
            </w:tcMar>
            <w:vAlign w:val="top"/>
          </w:tcPr>
          <w:p>
            <w:pPr>
              <w:spacing w:before="0" w:after="0" w:line="240"/>
              <w:ind w:right="0" w:left="0" w:firstLine="0"/>
              <w:jc w:val="both"/>
              <w:rPr>
                <w:spacing w:val="0"/>
                <w:position w:val="0"/>
                <w:shd w:fill="auto" w:val="clear"/>
              </w:rPr>
            </w:pPr>
            <w:r>
              <w:rPr>
                <w:rFonts w:ascii="Arial" w:hAnsi="Arial" w:cs="Arial" w:eastAsia="Arial"/>
                <w:color w:val="1A1A2E"/>
                <w:spacing w:val="0"/>
                <w:position w:val="0"/>
                <w:sz w:val="21"/>
                <w:shd w:fill="auto" w:val="clear"/>
              </w:rPr>
              <w:t xml:space="preserve">Portfolio-level EAL aggregates individual asset loss expectations across all portfolio geolocation coordinates, integrated over the flood frequency distribution from the geo-foundational model.</w:t>
            </w:r>
          </w:p>
        </w:tc>
      </w:tr>
      <w:tr>
        <w:trPr>
          <w:trHeight w:val="1" w:hRule="atLeast"/>
          <w:jc w:val="left"/>
        </w:trPr>
        <w:tc>
          <w:tcPr>
            <w:tcW w:w="2800" w:type="dxa"/>
            <w:tcBorders>
              <w:top w:val="single" w:color="cccccc" w:sz="1"/>
              <w:left w:val="single" w:color="cccccc" w:sz="1"/>
              <w:bottom w:val="single" w:color="cccccc" w:sz="1"/>
              <w:right w:val="single" w:color="cccccc" w:sz="1"/>
            </w:tcBorders>
            <w:shd w:color="000000" w:fill="f5f7fa" w:val="clear"/>
            <w:tcMar>
              <w:left w:w="160" w:type="dxa"/>
              <w:right w:w="160" w:type="dxa"/>
            </w:tcMar>
            <w:vAlign w:val="center"/>
          </w:tcPr>
          <w:p>
            <w:pPr>
              <w:spacing w:before="0" w:after="0" w:line="240"/>
              <w:ind w:right="0" w:left="0" w:firstLine="0"/>
              <w:jc w:val="left"/>
              <w:rPr>
                <w:spacing w:val="0"/>
                <w:position w:val="0"/>
                <w:shd w:fill="auto" w:val="clear"/>
              </w:rPr>
            </w:pPr>
            <w:r>
              <w:rPr>
                <w:rFonts w:ascii="Arial" w:hAnsi="Arial" w:cs="Arial" w:eastAsia="Arial"/>
                <w:color w:val="1A3C5E"/>
                <w:spacing w:val="0"/>
                <w:position w:val="0"/>
                <w:sz w:val="21"/>
                <w:shd w:fill="auto" w:val="clear"/>
              </w:rPr>
              <w:t xml:space="preserve">Climate Scenario Stress Test Output</w:t>
            </w:r>
          </w:p>
        </w:tc>
        <w:tc>
          <w:tcPr>
            <w:tcW w:w="6560" w:type="dxa"/>
            <w:tcBorders>
              <w:top w:val="single" w:color="cccccc" w:sz="1"/>
              <w:left w:val="single" w:color="cccccc" w:sz="1"/>
              <w:bottom w:val="single" w:color="cccccc" w:sz="1"/>
              <w:right w:val="single" w:color="cccccc" w:sz="1"/>
            </w:tcBorders>
            <w:shd w:color="000000" w:fill="ffffff" w:val="clear"/>
            <w:tcMar>
              <w:left w:w="160" w:type="dxa"/>
              <w:right w:w="160" w:type="dxa"/>
            </w:tcMar>
            <w:vAlign w:val="top"/>
          </w:tcPr>
          <w:p>
            <w:pPr>
              <w:spacing w:before="0" w:after="0" w:line="240"/>
              <w:ind w:right="0" w:left="0" w:firstLine="0"/>
              <w:jc w:val="both"/>
              <w:rPr>
                <w:spacing w:val="0"/>
                <w:position w:val="0"/>
                <w:shd w:fill="auto" w:val="clear"/>
              </w:rPr>
            </w:pPr>
            <w:r>
              <w:rPr>
                <w:rFonts w:ascii="Arial" w:hAnsi="Arial" w:cs="Arial" w:eastAsia="Arial"/>
                <w:color w:val="1A1A2E"/>
                <w:spacing w:val="0"/>
                <w:position w:val="0"/>
                <w:sz w:val="21"/>
                <w:shd w:fill="auto" w:val="clear"/>
              </w:rPr>
              <w:t xml:space="preserve">Flood hazard scores projected under 1.5C, 2C, and 4C warming scenarios using CMIP6 climate model outputs, enabling forward-looking portfolio stress tests consistent with TCFD recommendations.</w:t>
            </w:r>
          </w:p>
        </w:tc>
      </w:tr>
    </w:tbl>
    <w:p>
      <w:pPr>
        <w:spacing w:before="160" w:after="0" w:line="240"/>
        <w:ind w:right="0" w:left="0" w:firstLine="0"/>
        <w:jc w:val="left"/>
        <w:rPr>
          <w:rFonts w:ascii="Arial" w:hAnsi="Arial" w:cs="Arial" w:eastAsia="Arial"/>
          <w:color w:val="auto"/>
          <w:spacing w:val="0"/>
          <w:position w:val="0"/>
          <w:sz w:val="22"/>
          <w:shd w:fill="auto" w:val="clear"/>
        </w:rPr>
      </w:pPr>
    </w:p>
    <w:p>
      <w:pPr>
        <w:spacing w:before="320" w:after="120" w:line="240"/>
        <w:ind w:right="0" w:left="0" w:firstLine="0"/>
        <w:jc w:val="left"/>
        <w:rPr>
          <w:rFonts w:ascii="Arial" w:hAnsi="Arial" w:cs="Arial" w:eastAsia="Arial"/>
          <w:b/>
          <w:color w:val="0D7377"/>
          <w:spacing w:val="0"/>
          <w:position w:val="0"/>
          <w:sz w:val="27"/>
          <w:shd w:fill="auto" w:val="clear"/>
        </w:rPr>
      </w:pPr>
      <w:r>
        <w:rPr>
          <w:rFonts w:ascii="Arial" w:hAnsi="Arial" w:cs="Arial" w:eastAsia="Arial"/>
          <w:b/>
          <w:color w:val="0D7377"/>
          <w:spacing w:val="0"/>
          <w:position w:val="0"/>
          <w:sz w:val="27"/>
          <w:shd w:fill="auto" w:val="clear"/>
        </w:rPr>
        <w:t xml:space="preserve">3.5 Stage 4: Parametric Insurance Trigger Methodology</w:t>
      </w:r>
    </w:p>
    <w:p>
      <w:pPr>
        <w:spacing w:before="60" w:after="100" w:line="240"/>
        <w:ind w:right="0" w:left="0" w:firstLine="0"/>
        <w:jc w:val="both"/>
        <w:rPr>
          <w:rFonts w:ascii="Arial" w:hAnsi="Arial" w:cs="Arial" w:eastAsia="Arial"/>
          <w:color w:val="auto"/>
          <w:spacing w:val="0"/>
          <w:position w:val="0"/>
          <w:sz w:val="22"/>
          <w:shd w:fill="auto" w:val="clear"/>
        </w:rPr>
      </w:pPr>
      <w:r>
        <w:rPr>
          <w:rFonts w:ascii="Arial" w:hAnsi="Arial" w:cs="Arial" w:eastAsia="Arial"/>
          <w:color w:val="1A1A2E"/>
          <w:spacing w:val="0"/>
          <w:position w:val="0"/>
          <w:sz w:val="22"/>
          <w:shd w:fill="auto" w:val="clear"/>
        </w:rPr>
        <w:t xml:space="preserve">Parametric insurance products triggered by objective physical measurements represent a methodologically distinct application of the Apex platform that has strong empirical support in the insurance and development finance literature. The fundamental parametric design challenge is basis risk: the risk that the trigger measurement does not perfectly reflect the actual loss experienced by the insured, leading to over- or under-payment of claims (Clarke and Grenham, 2013; Carter et al., 2017).</w:t>
      </w:r>
    </w:p>
    <w:p>
      <w:pPr>
        <w:spacing w:before="80" w:after="0" w:line="240"/>
        <w:ind w:right="0" w:left="0" w:firstLine="0"/>
        <w:jc w:val="left"/>
        <w:rPr>
          <w:rFonts w:ascii="Arial" w:hAnsi="Arial" w:cs="Arial" w:eastAsia="Arial"/>
          <w:color w:val="auto"/>
          <w:spacing w:val="0"/>
          <w:position w:val="0"/>
          <w:sz w:val="22"/>
          <w:shd w:fill="auto" w:val="clear"/>
        </w:rPr>
      </w:pPr>
    </w:p>
    <w:p>
      <w:pPr>
        <w:spacing w:before="60" w:after="100" w:line="240"/>
        <w:ind w:right="0" w:left="0" w:firstLine="0"/>
        <w:jc w:val="both"/>
        <w:rPr>
          <w:rFonts w:ascii="Arial" w:hAnsi="Arial" w:cs="Arial" w:eastAsia="Arial"/>
          <w:color w:val="auto"/>
          <w:spacing w:val="0"/>
          <w:position w:val="0"/>
          <w:sz w:val="22"/>
          <w:shd w:fill="auto" w:val="clear"/>
        </w:rPr>
      </w:pPr>
      <w:r>
        <w:rPr>
          <w:rFonts w:ascii="Arial" w:hAnsi="Arial" w:cs="Arial" w:eastAsia="Arial"/>
          <w:color w:val="1A1A2E"/>
          <w:spacing w:val="0"/>
          <w:position w:val="0"/>
          <w:sz w:val="22"/>
          <w:shd w:fill="auto" w:val="clear"/>
        </w:rPr>
        <w:t xml:space="preserve">The Apex IoT-based parametric trigger methodology is specifically designed to minimise basis risk by using physical water level measurements at locations as close as possible to insured assets, rather than satellite-derived indices measured from above. The trigger design follows the three-step methodology recommended by the International Fund for Agricultural Development (IFAD, 2020) for index insurance product development:</w:t>
      </w:r>
    </w:p>
    <w:p>
      <w:pPr>
        <w:spacing w:before="60" w:after="0" w:line="240"/>
        <w:ind w:right="0" w:left="0" w:firstLine="0"/>
        <w:jc w:val="left"/>
        <w:rPr>
          <w:rFonts w:ascii="Arial" w:hAnsi="Arial" w:cs="Arial" w:eastAsia="Arial"/>
          <w:color w:val="auto"/>
          <w:spacing w:val="0"/>
          <w:position w:val="0"/>
          <w:sz w:val="22"/>
          <w:shd w:fill="auto" w:val="clear"/>
        </w:rPr>
      </w:pPr>
    </w:p>
    <w:p>
      <w:pPr>
        <w:numPr>
          <w:ilvl w:val="0"/>
          <w:numId w:val="185"/>
        </w:numPr>
        <w:spacing w:before="60" w:after="6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1A1A2E"/>
          <w:spacing w:val="0"/>
          <w:position w:val="0"/>
          <w:sz w:val="22"/>
          <w:shd w:fill="auto" w:val="clear"/>
        </w:rPr>
        <w:t xml:space="preserve">Trigger variable selection: Water level at the IoT sensor node, measured in centimetres above a defined datum, is selected as the trigger variable. Water level is chosen over rainfall or satellite-derived flood extent because it is the physical variable most directly correlated with asset damage, minimising basis risk compared to upstream or area-averaged triggers.</w:t>
      </w:r>
    </w:p>
    <w:p>
      <w:pPr>
        <w:numPr>
          <w:ilvl w:val="0"/>
          <w:numId w:val="185"/>
        </w:numPr>
        <w:spacing w:before="60" w:after="6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1A1A2E"/>
          <w:spacing w:val="0"/>
          <w:position w:val="0"/>
          <w:sz w:val="22"/>
          <w:shd w:fill="auto" w:val="clear"/>
        </w:rPr>
        <w:t xml:space="preserve">Threshold calibration: Trigger thresholds (payout levels) are calibrated by backtesting against historical flood events using two data sources: (a) SAR-derived flood depth estimates for events within the satellite archive; and (b) field-documented loss records from local insurance companies, agricultural extension services, and community reports. Thresholds are set to achieve a defined correlation between trigger activation and documented loss occurrence, targeting a point-biserial correlation coefficient of greater than 0.75 as a minimum viability threshold.</w:t>
      </w:r>
    </w:p>
    <w:p>
      <w:pPr>
        <w:numPr>
          <w:ilvl w:val="0"/>
          <w:numId w:val="185"/>
        </w:numPr>
        <w:spacing w:before="60" w:after="6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1A1A2E"/>
          <w:spacing w:val="0"/>
          <w:position w:val="0"/>
          <w:sz w:val="22"/>
          <w:shd w:fill="auto" w:val="clear"/>
        </w:rPr>
        <w:t xml:space="preserve">Spatial validity assessment: The spatial extent within which the IoT sensor measurement is representative is assessed using variogram analysis of historical flood depth spatial variability across the sensor's upstream catchment. This analysis defines the maximum insurance area that can be validly covered by a single sensor node, informing product design around catchment-level policy boundaries.</w:t>
      </w:r>
    </w:p>
    <w:p>
      <w:pPr>
        <w:spacing w:before="80" w:after="0" w:line="240"/>
        <w:ind w:right="0" w:left="0" w:firstLine="0"/>
        <w:jc w:val="left"/>
        <w:rPr>
          <w:rFonts w:ascii="Arial" w:hAnsi="Arial" w:cs="Arial" w:eastAsia="Arial"/>
          <w:color w:val="auto"/>
          <w:spacing w:val="0"/>
          <w:position w:val="0"/>
          <w:sz w:val="22"/>
          <w:shd w:fill="auto" w:val="clear"/>
        </w:rPr>
      </w:pPr>
    </w:p>
    <w:p>
      <w:pPr>
        <w:spacing w:before="60" w:after="100" w:line="240"/>
        <w:ind w:right="0" w:left="0" w:firstLine="0"/>
        <w:jc w:val="both"/>
        <w:rPr>
          <w:rFonts w:ascii="Arial" w:hAnsi="Arial" w:cs="Arial" w:eastAsia="Arial"/>
          <w:color w:val="auto"/>
          <w:spacing w:val="0"/>
          <w:position w:val="0"/>
          <w:sz w:val="22"/>
          <w:shd w:fill="auto" w:val="clear"/>
        </w:rPr>
      </w:pPr>
      <w:r>
        <w:rPr>
          <w:rFonts w:ascii="Arial" w:hAnsi="Arial" w:cs="Arial" w:eastAsia="Arial"/>
          <w:color w:val="1A1A2E"/>
          <w:spacing w:val="0"/>
          <w:position w:val="0"/>
          <w:sz w:val="22"/>
          <w:shd w:fill="auto" w:val="clear"/>
        </w:rPr>
        <w:t xml:space="preserve">This methodology draws on the established practice of basis risk measurement in agricultural index insurance (Barnett and Mahul, 2007; Miranda and Farrin, 2012) and applies it to the novel context of IoT-sensor-based flood parametric products.</w:t>
      </w:r>
    </w:p>
    <w:p>
      <w:pPr>
        <w:spacing w:before="200" w:after="0" w:line="240"/>
        <w:ind w:right="0" w:left="0" w:firstLine="0"/>
        <w:jc w:val="left"/>
        <w:rPr>
          <w:rFonts w:ascii="Arial" w:hAnsi="Arial" w:cs="Arial" w:eastAsia="Arial"/>
          <w:color w:val="auto"/>
          <w:spacing w:val="0"/>
          <w:position w:val="0"/>
          <w:sz w:val="22"/>
          <w:shd w:fill="auto" w:val="clear"/>
        </w:rPr>
      </w:pPr>
    </w:p>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40"/>
        <w:ind w:right="0" w:left="0" w:firstLine="0"/>
        <w:jc w:val="left"/>
        <w:rPr>
          <w:rFonts w:ascii="Arial" w:hAnsi="Arial" w:cs="Arial" w:eastAsia="Arial"/>
          <w:color w:val="auto"/>
          <w:spacing w:val="0"/>
          <w:position w:val="0"/>
          <w:sz w:val="22"/>
          <w:shd w:fill="auto" w:val="clear"/>
        </w:rPr>
      </w:pPr>
    </w:p>
    <w:p>
      <w:pPr>
        <w:spacing w:before="480" w:after="160" w:line="240"/>
        <w:ind w:right="0" w:left="0" w:firstLine="0"/>
        <w:jc w:val="left"/>
        <w:rPr>
          <w:rFonts w:ascii="Arial" w:hAnsi="Arial" w:cs="Arial" w:eastAsia="Arial"/>
          <w:b/>
          <w:color w:val="1A3C5E"/>
          <w:spacing w:val="0"/>
          <w:position w:val="0"/>
          <w:sz w:val="34"/>
          <w:shd w:fill="auto" w:val="clear"/>
        </w:rPr>
      </w:pPr>
      <w:r>
        <w:rPr>
          <w:rFonts w:ascii="Arial" w:hAnsi="Arial" w:cs="Arial" w:eastAsia="Arial"/>
          <w:b/>
          <w:color w:val="1A3C5E"/>
          <w:spacing w:val="0"/>
          <w:position w:val="0"/>
          <w:sz w:val="34"/>
          <w:shd w:fill="auto" w:val="clear"/>
        </w:rPr>
        <w:t xml:space="preserve">4. Data Sources and Empirical Inputs</w:t>
      </w:r>
    </w:p>
    <w:p>
      <w:pPr>
        <w:spacing w:before="60" w:after="100" w:line="240"/>
        <w:ind w:right="0" w:left="0" w:firstLine="0"/>
        <w:jc w:val="both"/>
        <w:rPr>
          <w:rFonts w:ascii="Arial" w:hAnsi="Arial" w:cs="Arial" w:eastAsia="Arial"/>
          <w:color w:val="auto"/>
          <w:spacing w:val="0"/>
          <w:position w:val="0"/>
          <w:sz w:val="22"/>
          <w:shd w:fill="auto" w:val="clear"/>
        </w:rPr>
      </w:pPr>
      <w:r>
        <w:rPr>
          <w:rFonts w:ascii="Arial" w:hAnsi="Arial" w:cs="Arial" w:eastAsia="Arial"/>
          <w:color w:val="1A1A2E"/>
          <w:spacing w:val="0"/>
          <w:position w:val="0"/>
          <w:sz w:val="22"/>
          <w:shd w:fill="auto" w:val="clear"/>
        </w:rPr>
        <w:t xml:space="preserve">The Apex methodology relies on a curated set of open, freely accessible, and commercially licensed data sources. Each source is selected on the basis of spatial and temporal resolution, geographic coverage of East African target markets, and empirical validation in peer-reviewed literature.</w:t>
      </w:r>
    </w:p>
    <w:p>
      <w:pPr>
        <w:spacing w:before="120" w:after="0" w:line="240"/>
        <w:ind w:right="0" w:left="0" w:firstLine="0"/>
        <w:jc w:val="left"/>
        <w:rPr>
          <w:rFonts w:ascii="Arial" w:hAnsi="Arial" w:cs="Arial" w:eastAsia="Arial"/>
          <w:color w:val="auto"/>
          <w:spacing w:val="0"/>
          <w:position w:val="0"/>
          <w:sz w:val="22"/>
          <w:shd w:fill="auto" w:val="clear"/>
        </w:rPr>
      </w:pPr>
    </w:p>
    <w:p>
      <w:pPr>
        <w:spacing w:before="320" w:after="120" w:line="240"/>
        <w:ind w:right="0" w:left="0" w:firstLine="0"/>
        <w:jc w:val="left"/>
        <w:rPr>
          <w:rFonts w:ascii="Arial" w:hAnsi="Arial" w:cs="Arial" w:eastAsia="Arial"/>
          <w:b/>
          <w:color w:val="0D7377"/>
          <w:spacing w:val="0"/>
          <w:position w:val="0"/>
          <w:sz w:val="27"/>
          <w:shd w:fill="auto" w:val="clear"/>
        </w:rPr>
      </w:pPr>
      <w:r>
        <w:rPr>
          <w:rFonts w:ascii="Arial" w:hAnsi="Arial" w:cs="Arial" w:eastAsia="Arial"/>
          <w:b/>
          <w:color w:val="0D7377"/>
          <w:spacing w:val="0"/>
          <w:position w:val="0"/>
          <w:sz w:val="27"/>
          <w:shd w:fill="auto" w:val="clear"/>
        </w:rPr>
        <w:t xml:space="preserve">4.1 Satellite Data Sources</w:t>
      </w:r>
    </w:p>
    <w:p>
      <w:pPr>
        <w:spacing w:before="80" w:after="0" w:line="240"/>
        <w:ind w:right="0" w:left="0" w:firstLine="0"/>
        <w:jc w:val="left"/>
        <w:rPr>
          <w:rFonts w:ascii="Arial" w:hAnsi="Arial" w:cs="Arial" w:eastAsia="Arial"/>
          <w:color w:val="auto"/>
          <w:spacing w:val="0"/>
          <w:position w:val="0"/>
          <w:sz w:val="22"/>
          <w:shd w:fill="auto" w:val="clear"/>
        </w:rPr>
      </w:pPr>
    </w:p>
    <w:tbl>
      <w:tblPr/>
      <w:tblGrid>
        <w:gridCol w:w="2000"/>
        <w:gridCol w:w="4560"/>
        <w:gridCol w:w="2800"/>
      </w:tblGrid>
      <w:tr>
        <w:trPr>
          <w:trHeight w:val="1" w:hRule="atLeast"/>
          <w:jc w:val="left"/>
        </w:trPr>
        <w:tc>
          <w:tcPr>
            <w:tcW w:w="2000" w:type="dxa"/>
            <w:tcBorders>
              <w:top w:val="single" w:color="cccccc" w:sz="1"/>
              <w:left w:val="single" w:color="cccccc" w:sz="1"/>
              <w:bottom w:val="single" w:color="cccccc" w:sz="1"/>
              <w:right w:val="single" w:color="cccccc" w:sz="1"/>
            </w:tcBorders>
            <w:shd w:color="000000" w:fill="1a3c5e"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b/>
                <w:color w:val="FFFFFF"/>
                <w:spacing w:val="0"/>
                <w:position w:val="0"/>
                <w:sz w:val="21"/>
                <w:shd w:fill="auto" w:val="clear"/>
              </w:rPr>
              <w:t xml:space="preserve">Data Source</w:t>
            </w:r>
          </w:p>
        </w:tc>
        <w:tc>
          <w:tcPr>
            <w:tcW w:w="4560" w:type="dxa"/>
            <w:tcBorders>
              <w:top w:val="single" w:color="cccccc" w:sz="1"/>
              <w:left w:val="single" w:color="cccccc" w:sz="1"/>
              <w:bottom w:val="single" w:color="cccccc" w:sz="1"/>
              <w:right w:val="single" w:color="cccccc" w:sz="1"/>
            </w:tcBorders>
            <w:shd w:color="000000" w:fill="auto" w:val="clear"/>
            <w:tcMar>
              <w:left w:w="160" w:type="dxa"/>
              <w:right w:w="160" w:type="dxa"/>
            </w:tcMar>
            <w:vAlign w:val="top"/>
          </w:tcPr>
          <w:p>
            <w:pPr>
              <w:spacing w:before="0" w:after="0" w:line="240"/>
              <w:ind w:right="0" w:left="0" w:firstLine="0"/>
              <w:jc w:val="both"/>
              <w:rPr>
                <w:spacing w:val="0"/>
                <w:position w:val="0"/>
                <w:shd w:fill="auto" w:val="clear"/>
              </w:rPr>
            </w:pPr>
            <w:r>
              <w:rPr>
                <w:rFonts w:ascii="Arial" w:hAnsi="Arial" w:cs="Arial" w:eastAsia="Arial"/>
                <w:b/>
                <w:color w:val="FFFFFF"/>
                <w:spacing w:val="0"/>
                <w:position w:val="0"/>
                <w:sz w:val="21"/>
                <w:shd w:fill="auto" w:val="clear"/>
              </w:rPr>
              <w:t xml:space="preserve">Description and Relevance</w:t>
            </w:r>
          </w:p>
        </w:tc>
        <w:tc>
          <w:tcPr>
            <w:tcW w:w="2800" w:type="dxa"/>
            <w:tcBorders>
              <w:top w:val="single" w:color="cccccc" w:sz="1"/>
              <w:left w:val="single" w:color="cccccc" w:sz="1"/>
              <w:bottom w:val="single" w:color="cccccc" w:sz="1"/>
              <w:right w:val="single" w:color="cccccc" w:sz="1"/>
            </w:tcBorders>
            <w:shd w:color="000000" w:fill="1a3c5e"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b/>
                <w:color w:val="FFFFFF"/>
                <w:spacing w:val="0"/>
                <w:position w:val="0"/>
                <w:sz w:val="21"/>
                <w:shd w:fill="auto" w:val="clear"/>
              </w:rPr>
              <w:t xml:space="preserve">Resolution and Access</w:t>
            </w:r>
          </w:p>
        </w:tc>
      </w:tr>
      <w:tr>
        <w:trPr>
          <w:trHeight w:val="1" w:hRule="atLeast"/>
          <w:jc w:val="left"/>
        </w:trPr>
        <w:tc>
          <w:tcPr>
            <w:tcW w:w="2000" w:type="dxa"/>
            <w:tcBorders>
              <w:top w:val="single" w:color="cccccc" w:sz="1"/>
              <w:left w:val="single" w:color="cccccc" w:sz="1"/>
              <w:bottom w:val="single" w:color="cccccc" w:sz="1"/>
              <w:right w:val="single" w:color="cccccc" w:sz="1"/>
            </w:tcBorders>
            <w:shd w:color="000000" w:fill="f5f7fa"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1A3C5E"/>
                <w:spacing w:val="0"/>
                <w:position w:val="0"/>
                <w:sz w:val="21"/>
                <w:shd w:fill="auto" w:val="clear"/>
              </w:rPr>
              <w:t xml:space="preserve">Sentinel-1 SAR (ESA)</w:t>
            </w:r>
          </w:p>
        </w:tc>
        <w:tc>
          <w:tcPr>
            <w:tcW w:w="4560" w:type="dxa"/>
            <w:tcBorders>
              <w:top w:val="single" w:color="cccccc" w:sz="1"/>
              <w:left w:val="single" w:color="cccccc" w:sz="1"/>
              <w:bottom w:val="single" w:color="cccccc" w:sz="1"/>
              <w:right w:val="single" w:color="cccccc" w:sz="1"/>
            </w:tcBorders>
            <w:shd w:color="000000" w:fill="ffffff" w:val="clear"/>
            <w:tcMar>
              <w:left w:w="160" w:type="dxa"/>
              <w:right w:w="160" w:type="dxa"/>
            </w:tcMar>
            <w:vAlign w:val="top"/>
          </w:tcPr>
          <w:p>
            <w:pPr>
              <w:spacing w:before="0" w:after="0" w:line="240"/>
              <w:ind w:right="0" w:left="0" w:firstLine="0"/>
              <w:jc w:val="both"/>
              <w:rPr>
                <w:spacing w:val="0"/>
                <w:position w:val="0"/>
                <w:shd w:fill="auto" w:val="clear"/>
              </w:rPr>
            </w:pPr>
            <w:r>
              <w:rPr>
                <w:rFonts w:ascii="Arial" w:hAnsi="Arial" w:cs="Arial" w:eastAsia="Arial"/>
                <w:color w:val="1A1A2E"/>
                <w:spacing w:val="0"/>
                <w:position w:val="0"/>
                <w:sz w:val="21"/>
                <w:shd w:fill="auto" w:val="clear"/>
              </w:rPr>
              <w:t xml:space="preserve">C-band SAR constellation providing all-weather, day-and-night flood detection. Primary source for flood extent mapping and change detection. Extensively validated for flood mapping across Africa (Martinis et al., 2015, 2022).</w:t>
            </w:r>
          </w:p>
        </w:tc>
        <w:tc>
          <w:tcPr>
            <w:tcW w:w="2800" w:type="dxa"/>
            <w:tcBorders>
              <w:top w:val="single" w:color="cccccc" w:sz="1"/>
              <w:left w:val="single" w:color="cccccc" w:sz="1"/>
              <w:bottom w:val="single" w:color="cccccc" w:sz="1"/>
              <w:right w:val="single" w:color="cccccc" w:sz="1"/>
            </w:tcBorders>
            <w:shd w:color="000000" w:fill="f5f7fa"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1A3C5E"/>
                <w:spacing w:val="0"/>
                <w:position w:val="0"/>
                <w:sz w:val="21"/>
                <w:shd w:fill="auto" w:val="clear"/>
              </w:rPr>
              <w:t xml:space="preserve">20m spatial, 6-12 day revisit. Free via ESA Copernicus Hub.</w:t>
            </w:r>
          </w:p>
        </w:tc>
      </w:tr>
      <w:tr>
        <w:trPr>
          <w:trHeight w:val="1" w:hRule="atLeast"/>
          <w:jc w:val="left"/>
        </w:trPr>
        <w:tc>
          <w:tcPr>
            <w:tcW w:w="2000" w:type="dxa"/>
            <w:tcBorders>
              <w:top w:val="single" w:color="cccccc" w:sz="1"/>
              <w:left w:val="single" w:color="cccccc" w:sz="1"/>
              <w:bottom w:val="single" w:color="cccccc" w:sz="1"/>
              <w:right w:val="single" w:color="cccccc" w:sz="1"/>
            </w:tcBorders>
            <w:shd w:color="000000" w:fill="f5f7fa"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1A3C5E"/>
                <w:spacing w:val="0"/>
                <w:position w:val="0"/>
                <w:sz w:val="21"/>
                <w:shd w:fill="auto" w:val="clear"/>
              </w:rPr>
              <w:t xml:space="preserve">Sentinel-2 MSI (ESA)</w:t>
            </w:r>
          </w:p>
        </w:tc>
        <w:tc>
          <w:tcPr>
            <w:tcW w:w="4560" w:type="dxa"/>
            <w:tcBorders>
              <w:top w:val="single" w:color="cccccc" w:sz="1"/>
              <w:left w:val="single" w:color="cccccc" w:sz="1"/>
              <w:bottom w:val="single" w:color="cccccc" w:sz="1"/>
              <w:right w:val="single" w:color="cccccc" w:sz="1"/>
            </w:tcBorders>
            <w:shd w:color="000000" w:fill="ffffff" w:val="clear"/>
            <w:tcMar>
              <w:left w:w="160" w:type="dxa"/>
              <w:right w:w="160" w:type="dxa"/>
            </w:tcMar>
            <w:vAlign w:val="top"/>
          </w:tcPr>
          <w:p>
            <w:pPr>
              <w:spacing w:before="0" w:after="0" w:line="240"/>
              <w:ind w:right="0" w:left="0" w:firstLine="0"/>
              <w:jc w:val="both"/>
              <w:rPr>
                <w:spacing w:val="0"/>
                <w:position w:val="0"/>
                <w:shd w:fill="auto" w:val="clear"/>
              </w:rPr>
            </w:pPr>
            <w:r>
              <w:rPr>
                <w:rFonts w:ascii="Arial" w:hAnsi="Arial" w:cs="Arial" w:eastAsia="Arial"/>
                <w:color w:val="1A1A2E"/>
                <w:spacing w:val="0"/>
                <w:position w:val="0"/>
                <w:sz w:val="21"/>
                <w:shd w:fill="auto" w:val="clear"/>
              </w:rPr>
              <w:t xml:space="preserve">13-band multispectral imagery for NDVI, MNDWI, and land cover mapping. Used for pre-event baseline characterisation and post-event optical damage assessment.</w:t>
            </w:r>
          </w:p>
        </w:tc>
        <w:tc>
          <w:tcPr>
            <w:tcW w:w="2800" w:type="dxa"/>
            <w:tcBorders>
              <w:top w:val="single" w:color="cccccc" w:sz="1"/>
              <w:left w:val="single" w:color="cccccc" w:sz="1"/>
              <w:bottom w:val="single" w:color="cccccc" w:sz="1"/>
              <w:right w:val="single" w:color="cccccc" w:sz="1"/>
            </w:tcBorders>
            <w:shd w:color="000000" w:fill="f5f7fa"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1A3C5E"/>
                <w:spacing w:val="0"/>
                <w:position w:val="0"/>
                <w:sz w:val="21"/>
                <w:shd w:fill="auto" w:val="clear"/>
              </w:rPr>
              <w:t xml:space="preserve">10m spatial, 5 day revisit. Free via ESA Copernicus Hub.</w:t>
            </w:r>
          </w:p>
        </w:tc>
      </w:tr>
      <w:tr>
        <w:trPr>
          <w:trHeight w:val="1" w:hRule="atLeast"/>
          <w:jc w:val="left"/>
        </w:trPr>
        <w:tc>
          <w:tcPr>
            <w:tcW w:w="2000" w:type="dxa"/>
            <w:tcBorders>
              <w:top w:val="single" w:color="cccccc" w:sz="1"/>
              <w:left w:val="single" w:color="cccccc" w:sz="1"/>
              <w:bottom w:val="single" w:color="cccccc" w:sz="1"/>
              <w:right w:val="single" w:color="cccccc" w:sz="1"/>
            </w:tcBorders>
            <w:shd w:color="000000" w:fill="f5f7fa"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1A3C5E"/>
                <w:spacing w:val="0"/>
                <w:position w:val="0"/>
                <w:sz w:val="21"/>
                <w:shd w:fill="auto" w:val="clear"/>
              </w:rPr>
              <w:t xml:space="preserve">Landsat-9 (NASA/USGS)</w:t>
            </w:r>
          </w:p>
        </w:tc>
        <w:tc>
          <w:tcPr>
            <w:tcW w:w="4560" w:type="dxa"/>
            <w:tcBorders>
              <w:top w:val="single" w:color="cccccc" w:sz="1"/>
              <w:left w:val="single" w:color="cccccc" w:sz="1"/>
              <w:bottom w:val="single" w:color="cccccc" w:sz="1"/>
              <w:right w:val="single" w:color="cccccc" w:sz="1"/>
            </w:tcBorders>
            <w:shd w:color="000000" w:fill="ffffff" w:val="clear"/>
            <w:tcMar>
              <w:left w:w="160" w:type="dxa"/>
              <w:right w:w="160" w:type="dxa"/>
            </w:tcMar>
            <w:vAlign w:val="top"/>
          </w:tcPr>
          <w:p>
            <w:pPr>
              <w:spacing w:before="0" w:after="0" w:line="240"/>
              <w:ind w:right="0" w:left="0" w:firstLine="0"/>
              <w:jc w:val="both"/>
              <w:rPr>
                <w:spacing w:val="0"/>
                <w:position w:val="0"/>
                <w:shd w:fill="auto" w:val="clear"/>
              </w:rPr>
            </w:pPr>
            <w:r>
              <w:rPr>
                <w:rFonts w:ascii="Arial" w:hAnsi="Arial" w:cs="Arial" w:eastAsia="Arial"/>
                <w:color w:val="1A1A2E"/>
                <w:spacing w:val="0"/>
                <w:position w:val="0"/>
                <w:sz w:val="21"/>
                <w:shd w:fill="auto" w:val="clear"/>
              </w:rPr>
              <w:t xml:space="preserve">30m multispectral imagery providing 40+ year archive for historical baseline characterisation and long-term land use change analysis.</w:t>
            </w:r>
          </w:p>
        </w:tc>
        <w:tc>
          <w:tcPr>
            <w:tcW w:w="2800" w:type="dxa"/>
            <w:tcBorders>
              <w:top w:val="single" w:color="cccccc" w:sz="1"/>
              <w:left w:val="single" w:color="cccccc" w:sz="1"/>
              <w:bottom w:val="single" w:color="cccccc" w:sz="1"/>
              <w:right w:val="single" w:color="cccccc" w:sz="1"/>
            </w:tcBorders>
            <w:shd w:color="000000" w:fill="f5f7fa"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1A3C5E"/>
                <w:spacing w:val="0"/>
                <w:position w:val="0"/>
                <w:sz w:val="21"/>
                <w:shd w:fill="auto" w:val="clear"/>
              </w:rPr>
              <w:t xml:space="preserve">30m spatial, 16 day revisit. Free via USGS EarthExplorer.</w:t>
            </w:r>
          </w:p>
        </w:tc>
      </w:tr>
      <w:tr>
        <w:trPr>
          <w:trHeight w:val="1" w:hRule="atLeast"/>
          <w:jc w:val="left"/>
        </w:trPr>
        <w:tc>
          <w:tcPr>
            <w:tcW w:w="2000" w:type="dxa"/>
            <w:tcBorders>
              <w:top w:val="single" w:color="cccccc" w:sz="1"/>
              <w:left w:val="single" w:color="cccccc" w:sz="1"/>
              <w:bottom w:val="single" w:color="cccccc" w:sz="1"/>
              <w:right w:val="single" w:color="cccccc" w:sz="1"/>
            </w:tcBorders>
            <w:shd w:color="000000" w:fill="f5f7fa"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1A3C5E"/>
                <w:spacing w:val="0"/>
                <w:position w:val="0"/>
                <w:sz w:val="21"/>
                <w:shd w:fill="auto" w:val="clear"/>
              </w:rPr>
              <w:t xml:space="preserve">SRTM 30m DEM (NASA)</w:t>
            </w:r>
          </w:p>
        </w:tc>
        <w:tc>
          <w:tcPr>
            <w:tcW w:w="4560" w:type="dxa"/>
            <w:tcBorders>
              <w:top w:val="single" w:color="cccccc" w:sz="1"/>
              <w:left w:val="single" w:color="cccccc" w:sz="1"/>
              <w:bottom w:val="single" w:color="cccccc" w:sz="1"/>
              <w:right w:val="single" w:color="cccccc" w:sz="1"/>
            </w:tcBorders>
            <w:shd w:color="000000" w:fill="ffffff" w:val="clear"/>
            <w:tcMar>
              <w:left w:w="160" w:type="dxa"/>
              <w:right w:w="160" w:type="dxa"/>
            </w:tcMar>
            <w:vAlign w:val="top"/>
          </w:tcPr>
          <w:p>
            <w:pPr>
              <w:spacing w:before="0" w:after="0" w:line="240"/>
              <w:ind w:right="0" w:left="0" w:firstLine="0"/>
              <w:jc w:val="both"/>
              <w:rPr>
                <w:spacing w:val="0"/>
                <w:position w:val="0"/>
                <w:shd w:fill="auto" w:val="clear"/>
              </w:rPr>
            </w:pPr>
            <w:r>
              <w:rPr>
                <w:rFonts w:ascii="Arial" w:hAnsi="Arial" w:cs="Arial" w:eastAsia="Arial"/>
                <w:color w:val="1A1A2E"/>
                <w:spacing w:val="0"/>
                <w:position w:val="0"/>
                <w:sz w:val="21"/>
                <w:shd w:fill="auto" w:val="clear"/>
              </w:rPr>
              <w:t xml:space="preserve">Global terrain elevation dataset at 30m resolution. Primary DEM for terrain feature derivation including slope, TWI, and flow accumulation. Validated extensively for African hydrology applications.</w:t>
            </w:r>
          </w:p>
        </w:tc>
        <w:tc>
          <w:tcPr>
            <w:tcW w:w="2800" w:type="dxa"/>
            <w:tcBorders>
              <w:top w:val="single" w:color="cccccc" w:sz="1"/>
              <w:left w:val="single" w:color="cccccc" w:sz="1"/>
              <w:bottom w:val="single" w:color="cccccc" w:sz="1"/>
              <w:right w:val="single" w:color="cccccc" w:sz="1"/>
            </w:tcBorders>
            <w:shd w:color="000000" w:fill="f5f7fa"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1A3C5E"/>
                <w:spacing w:val="0"/>
                <w:position w:val="0"/>
                <w:sz w:val="21"/>
                <w:shd w:fill="auto" w:val="clear"/>
              </w:rPr>
              <w:t xml:space="preserve">30m spatial. Free via NASA EarthData.</w:t>
            </w:r>
          </w:p>
        </w:tc>
      </w:tr>
      <w:tr>
        <w:trPr>
          <w:trHeight w:val="1" w:hRule="atLeast"/>
          <w:jc w:val="left"/>
        </w:trPr>
        <w:tc>
          <w:tcPr>
            <w:tcW w:w="2000" w:type="dxa"/>
            <w:tcBorders>
              <w:top w:val="single" w:color="cccccc" w:sz="1"/>
              <w:left w:val="single" w:color="cccccc" w:sz="1"/>
              <w:bottom w:val="single" w:color="cccccc" w:sz="1"/>
              <w:right w:val="single" w:color="cccccc" w:sz="1"/>
            </w:tcBorders>
            <w:shd w:color="000000" w:fill="f5f7fa"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1A3C5E"/>
                <w:spacing w:val="0"/>
                <w:position w:val="0"/>
                <w:sz w:val="21"/>
                <w:shd w:fill="auto" w:val="clear"/>
              </w:rPr>
              <w:t xml:space="preserve">Copernicus DEM GLO-30</w:t>
            </w:r>
          </w:p>
        </w:tc>
        <w:tc>
          <w:tcPr>
            <w:tcW w:w="4560" w:type="dxa"/>
            <w:tcBorders>
              <w:top w:val="single" w:color="cccccc" w:sz="1"/>
              <w:left w:val="single" w:color="cccccc" w:sz="1"/>
              <w:bottom w:val="single" w:color="cccccc" w:sz="1"/>
              <w:right w:val="single" w:color="cccccc" w:sz="1"/>
            </w:tcBorders>
            <w:shd w:color="000000" w:fill="ffffff" w:val="clear"/>
            <w:tcMar>
              <w:left w:w="160" w:type="dxa"/>
              <w:right w:w="160" w:type="dxa"/>
            </w:tcMar>
            <w:vAlign w:val="top"/>
          </w:tcPr>
          <w:p>
            <w:pPr>
              <w:spacing w:before="0" w:after="0" w:line="240"/>
              <w:ind w:right="0" w:left="0" w:firstLine="0"/>
              <w:jc w:val="both"/>
              <w:rPr>
                <w:spacing w:val="0"/>
                <w:position w:val="0"/>
                <w:shd w:fill="auto" w:val="clear"/>
              </w:rPr>
            </w:pPr>
            <w:r>
              <w:rPr>
                <w:rFonts w:ascii="Arial" w:hAnsi="Arial" w:cs="Arial" w:eastAsia="Arial"/>
                <w:color w:val="1A1A2E"/>
                <w:spacing w:val="0"/>
                <w:position w:val="0"/>
                <w:sz w:val="21"/>
                <w:shd w:fill="auto" w:val="clear"/>
              </w:rPr>
              <w:t xml:space="preserve">30m global digital elevation model with improved accuracy over SRTM in vegetated areas. Used for terrain feature engineering in geo-foundational model.</w:t>
            </w:r>
          </w:p>
        </w:tc>
        <w:tc>
          <w:tcPr>
            <w:tcW w:w="2800" w:type="dxa"/>
            <w:tcBorders>
              <w:top w:val="single" w:color="cccccc" w:sz="1"/>
              <w:left w:val="single" w:color="cccccc" w:sz="1"/>
              <w:bottom w:val="single" w:color="cccccc" w:sz="1"/>
              <w:right w:val="single" w:color="cccccc" w:sz="1"/>
            </w:tcBorders>
            <w:shd w:color="000000" w:fill="f5f7fa"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1A3C5E"/>
                <w:spacing w:val="0"/>
                <w:position w:val="0"/>
                <w:sz w:val="21"/>
                <w:shd w:fill="auto" w:val="clear"/>
              </w:rPr>
              <w:t xml:space="preserve">30m spatial. Free via ESA Copernicus.</w:t>
            </w:r>
          </w:p>
        </w:tc>
      </w:tr>
      <w:tr>
        <w:trPr>
          <w:trHeight w:val="1" w:hRule="atLeast"/>
          <w:jc w:val="left"/>
        </w:trPr>
        <w:tc>
          <w:tcPr>
            <w:tcW w:w="2000" w:type="dxa"/>
            <w:tcBorders>
              <w:top w:val="single" w:color="cccccc" w:sz="1"/>
              <w:left w:val="single" w:color="cccccc" w:sz="1"/>
              <w:bottom w:val="single" w:color="cccccc" w:sz="1"/>
              <w:right w:val="single" w:color="cccccc" w:sz="1"/>
            </w:tcBorders>
            <w:shd w:color="000000" w:fill="f5f7fa"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1A3C5E"/>
                <w:spacing w:val="0"/>
                <w:position w:val="0"/>
                <w:sz w:val="21"/>
                <w:shd w:fill="auto" w:val="clear"/>
              </w:rPr>
              <w:t xml:space="preserve">MODIS Terra (NASA)</w:t>
            </w:r>
          </w:p>
        </w:tc>
        <w:tc>
          <w:tcPr>
            <w:tcW w:w="4560" w:type="dxa"/>
            <w:tcBorders>
              <w:top w:val="single" w:color="cccccc" w:sz="1"/>
              <w:left w:val="single" w:color="cccccc" w:sz="1"/>
              <w:bottom w:val="single" w:color="cccccc" w:sz="1"/>
              <w:right w:val="single" w:color="cccccc" w:sz="1"/>
            </w:tcBorders>
            <w:shd w:color="000000" w:fill="ffffff" w:val="clear"/>
            <w:tcMar>
              <w:left w:w="160" w:type="dxa"/>
              <w:right w:w="160" w:type="dxa"/>
            </w:tcMar>
            <w:vAlign w:val="top"/>
          </w:tcPr>
          <w:p>
            <w:pPr>
              <w:spacing w:before="0" w:after="0" w:line="240"/>
              <w:ind w:right="0" w:left="0" w:firstLine="0"/>
              <w:jc w:val="both"/>
              <w:rPr>
                <w:spacing w:val="0"/>
                <w:position w:val="0"/>
                <w:shd w:fill="auto" w:val="clear"/>
              </w:rPr>
            </w:pPr>
            <w:r>
              <w:rPr>
                <w:rFonts w:ascii="Arial" w:hAnsi="Arial" w:cs="Arial" w:eastAsia="Arial"/>
                <w:color w:val="1A1A2E"/>
                <w:spacing w:val="0"/>
                <w:position w:val="0"/>
                <w:sz w:val="21"/>
                <w:shd w:fill="auto" w:val="clear"/>
              </w:rPr>
              <w:t xml:space="preserve">500m multispectral imagery for time-series NDVI and surface temperature monitoring. Used for regional vegetation condition monitoring and seasonal calibration.</w:t>
            </w:r>
          </w:p>
        </w:tc>
        <w:tc>
          <w:tcPr>
            <w:tcW w:w="2800" w:type="dxa"/>
            <w:tcBorders>
              <w:top w:val="single" w:color="cccccc" w:sz="1"/>
              <w:left w:val="single" w:color="cccccc" w:sz="1"/>
              <w:bottom w:val="single" w:color="cccccc" w:sz="1"/>
              <w:right w:val="single" w:color="cccccc" w:sz="1"/>
            </w:tcBorders>
            <w:shd w:color="000000" w:fill="f5f7fa"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1A3C5E"/>
                <w:spacing w:val="0"/>
                <w:position w:val="0"/>
                <w:sz w:val="21"/>
                <w:shd w:fill="auto" w:val="clear"/>
              </w:rPr>
              <w:t xml:space="preserve">500m spatial, daily. Free via NASA EarthData.</w:t>
            </w:r>
          </w:p>
        </w:tc>
      </w:tr>
    </w:tbl>
    <w:p>
      <w:pPr>
        <w:spacing w:before="160" w:after="0" w:line="240"/>
        <w:ind w:right="0" w:left="0" w:firstLine="0"/>
        <w:jc w:val="left"/>
        <w:rPr>
          <w:rFonts w:ascii="Arial" w:hAnsi="Arial" w:cs="Arial" w:eastAsia="Arial"/>
          <w:color w:val="auto"/>
          <w:spacing w:val="0"/>
          <w:position w:val="0"/>
          <w:sz w:val="22"/>
          <w:shd w:fill="auto" w:val="clear"/>
        </w:rPr>
      </w:pPr>
    </w:p>
    <w:p>
      <w:pPr>
        <w:spacing w:before="320" w:after="120" w:line="240"/>
        <w:ind w:right="0" w:left="0" w:firstLine="0"/>
        <w:jc w:val="left"/>
        <w:rPr>
          <w:rFonts w:ascii="Arial" w:hAnsi="Arial" w:cs="Arial" w:eastAsia="Arial"/>
          <w:b/>
          <w:color w:val="0D7377"/>
          <w:spacing w:val="0"/>
          <w:position w:val="0"/>
          <w:sz w:val="27"/>
          <w:shd w:fill="auto" w:val="clear"/>
        </w:rPr>
      </w:pPr>
      <w:r>
        <w:rPr>
          <w:rFonts w:ascii="Arial" w:hAnsi="Arial" w:cs="Arial" w:eastAsia="Arial"/>
          <w:b/>
          <w:color w:val="0D7377"/>
          <w:spacing w:val="0"/>
          <w:position w:val="0"/>
          <w:sz w:val="27"/>
          <w:shd w:fill="auto" w:val="clear"/>
        </w:rPr>
        <w:t xml:space="preserve">4.2 Climate and Hydrology Data Sources</w:t>
      </w:r>
    </w:p>
    <w:p>
      <w:pPr>
        <w:spacing w:before="80" w:after="0" w:line="240"/>
        <w:ind w:right="0" w:left="0" w:firstLine="0"/>
        <w:jc w:val="left"/>
        <w:rPr>
          <w:rFonts w:ascii="Arial" w:hAnsi="Arial" w:cs="Arial" w:eastAsia="Arial"/>
          <w:color w:val="auto"/>
          <w:spacing w:val="0"/>
          <w:position w:val="0"/>
          <w:sz w:val="22"/>
          <w:shd w:fill="auto" w:val="clear"/>
        </w:rPr>
      </w:pPr>
    </w:p>
    <w:tbl>
      <w:tblPr/>
      <w:tblGrid>
        <w:gridCol w:w="2000"/>
        <w:gridCol w:w="4560"/>
        <w:gridCol w:w="2800"/>
      </w:tblGrid>
      <w:tr>
        <w:trPr>
          <w:trHeight w:val="1" w:hRule="atLeast"/>
          <w:jc w:val="left"/>
        </w:trPr>
        <w:tc>
          <w:tcPr>
            <w:tcW w:w="2000" w:type="dxa"/>
            <w:tcBorders>
              <w:top w:val="single" w:color="cccccc" w:sz="1"/>
              <w:left w:val="single" w:color="cccccc" w:sz="1"/>
              <w:bottom w:val="single" w:color="cccccc" w:sz="1"/>
              <w:right w:val="single" w:color="cccccc" w:sz="1"/>
            </w:tcBorders>
            <w:shd w:color="000000" w:fill="1a3c5e"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b/>
                <w:color w:val="FFFFFF"/>
                <w:spacing w:val="0"/>
                <w:position w:val="0"/>
                <w:sz w:val="21"/>
                <w:shd w:fill="auto" w:val="clear"/>
              </w:rPr>
              <w:t xml:space="preserve">Data Source</w:t>
            </w:r>
          </w:p>
        </w:tc>
        <w:tc>
          <w:tcPr>
            <w:tcW w:w="4560" w:type="dxa"/>
            <w:tcBorders>
              <w:top w:val="single" w:color="cccccc" w:sz="1"/>
              <w:left w:val="single" w:color="cccccc" w:sz="1"/>
              <w:bottom w:val="single" w:color="cccccc" w:sz="1"/>
              <w:right w:val="single" w:color="cccccc" w:sz="1"/>
            </w:tcBorders>
            <w:shd w:color="000000" w:fill="auto" w:val="clear"/>
            <w:tcMar>
              <w:left w:w="160" w:type="dxa"/>
              <w:right w:w="160" w:type="dxa"/>
            </w:tcMar>
            <w:vAlign w:val="top"/>
          </w:tcPr>
          <w:p>
            <w:pPr>
              <w:spacing w:before="0" w:after="0" w:line="240"/>
              <w:ind w:right="0" w:left="0" w:firstLine="0"/>
              <w:jc w:val="both"/>
              <w:rPr>
                <w:spacing w:val="0"/>
                <w:position w:val="0"/>
                <w:shd w:fill="auto" w:val="clear"/>
              </w:rPr>
            </w:pPr>
            <w:r>
              <w:rPr>
                <w:rFonts w:ascii="Arial" w:hAnsi="Arial" w:cs="Arial" w:eastAsia="Arial"/>
                <w:b/>
                <w:color w:val="FFFFFF"/>
                <w:spacing w:val="0"/>
                <w:position w:val="0"/>
                <w:sz w:val="21"/>
                <w:shd w:fill="auto" w:val="clear"/>
              </w:rPr>
              <w:t xml:space="preserve">Description and Relevance</w:t>
            </w:r>
          </w:p>
        </w:tc>
        <w:tc>
          <w:tcPr>
            <w:tcW w:w="2800" w:type="dxa"/>
            <w:tcBorders>
              <w:top w:val="single" w:color="cccccc" w:sz="1"/>
              <w:left w:val="single" w:color="cccccc" w:sz="1"/>
              <w:bottom w:val="single" w:color="cccccc" w:sz="1"/>
              <w:right w:val="single" w:color="cccccc" w:sz="1"/>
            </w:tcBorders>
            <w:shd w:color="000000" w:fill="1a3c5e"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b/>
                <w:color w:val="FFFFFF"/>
                <w:spacing w:val="0"/>
                <w:position w:val="0"/>
                <w:sz w:val="21"/>
                <w:shd w:fill="auto" w:val="clear"/>
              </w:rPr>
              <w:t xml:space="preserve">Resolution and Access</w:t>
            </w:r>
          </w:p>
        </w:tc>
      </w:tr>
      <w:tr>
        <w:trPr>
          <w:trHeight w:val="1" w:hRule="atLeast"/>
          <w:jc w:val="left"/>
        </w:trPr>
        <w:tc>
          <w:tcPr>
            <w:tcW w:w="2000" w:type="dxa"/>
            <w:tcBorders>
              <w:top w:val="single" w:color="cccccc" w:sz="1"/>
              <w:left w:val="single" w:color="cccccc" w:sz="1"/>
              <w:bottom w:val="single" w:color="cccccc" w:sz="1"/>
              <w:right w:val="single" w:color="cccccc" w:sz="1"/>
            </w:tcBorders>
            <w:shd w:color="000000" w:fill="f5f7fa"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1A3C5E"/>
                <w:spacing w:val="0"/>
                <w:position w:val="0"/>
                <w:sz w:val="21"/>
                <w:shd w:fill="auto" w:val="clear"/>
              </w:rPr>
              <w:t xml:space="preserve">ERA5 Reanalysis (ECMWF)</w:t>
            </w:r>
          </w:p>
        </w:tc>
        <w:tc>
          <w:tcPr>
            <w:tcW w:w="4560" w:type="dxa"/>
            <w:tcBorders>
              <w:top w:val="single" w:color="cccccc" w:sz="1"/>
              <w:left w:val="single" w:color="cccccc" w:sz="1"/>
              <w:bottom w:val="single" w:color="cccccc" w:sz="1"/>
              <w:right w:val="single" w:color="cccccc" w:sz="1"/>
            </w:tcBorders>
            <w:shd w:color="000000" w:fill="ffffff" w:val="clear"/>
            <w:tcMar>
              <w:left w:w="160" w:type="dxa"/>
              <w:right w:w="160" w:type="dxa"/>
            </w:tcMar>
            <w:vAlign w:val="top"/>
          </w:tcPr>
          <w:p>
            <w:pPr>
              <w:spacing w:before="0" w:after="0" w:line="240"/>
              <w:ind w:right="0" w:left="0" w:firstLine="0"/>
              <w:jc w:val="both"/>
              <w:rPr>
                <w:spacing w:val="0"/>
                <w:position w:val="0"/>
                <w:shd w:fill="auto" w:val="clear"/>
              </w:rPr>
            </w:pPr>
            <w:r>
              <w:rPr>
                <w:rFonts w:ascii="Arial" w:hAnsi="Arial" w:cs="Arial" w:eastAsia="Arial"/>
                <w:color w:val="1A1A2E"/>
                <w:spacing w:val="0"/>
                <w:position w:val="0"/>
                <w:sz w:val="21"/>
                <w:shd w:fill="auto" w:val="clear"/>
              </w:rPr>
              <w:t xml:space="preserve">Global atmospheric reanalysis from 1940 to present providing rainfall, temperature, and soil moisture at hourly resolution. Used for hydro-meteorological feature engineering and extreme rainfall return period calculation.</w:t>
            </w:r>
          </w:p>
        </w:tc>
        <w:tc>
          <w:tcPr>
            <w:tcW w:w="2800" w:type="dxa"/>
            <w:tcBorders>
              <w:top w:val="single" w:color="cccccc" w:sz="1"/>
              <w:left w:val="single" w:color="cccccc" w:sz="1"/>
              <w:bottom w:val="single" w:color="cccccc" w:sz="1"/>
              <w:right w:val="single" w:color="cccccc" w:sz="1"/>
            </w:tcBorders>
            <w:shd w:color="000000" w:fill="f5f7fa"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1A3C5E"/>
                <w:spacing w:val="0"/>
                <w:position w:val="0"/>
                <w:sz w:val="21"/>
                <w:shd w:fill="auto" w:val="clear"/>
              </w:rPr>
              <w:t xml:space="preserve">0.25 degree spatial, hourly. Free via Copernicus CDS.</w:t>
            </w:r>
          </w:p>
        </w:tc>
      </w:tr>
      <w:tr>
        <w:trPr>
          <w:trHeight w:val="1" w:hRule="atLeast"/>
          <w:jc w:val="left"/>
        </w:trPr>
        <w:tc>
          <w:tcPr>
            <w:tcW w:w="2000" w:type="dxa"/>
            <w:tcBorders>
              <w:top w:val="single" w:color="cccccc" w:sz="1"/>
              <w:left w:val="single" w:color="cccccc" w:sz="1"/>
              <w:bottom w:val="single" w:color="cccccc" w:sz="1"/>
              <w:right w:val="single" w:color="cccccc" w:sz="1"/>
            </w:tcBorders>
            <w:shd w:color="000000" w:fill="f5f7fa"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1A3C5E"/>
                <w:spacing w:val="0"/>
                <w:position w:val="0"/>
                <w:sz w:val="21"/>
                <w:shd w:fill="auto" w:val="clear"/>
              </w:rPr>
              <w:t xml:space="preserve">CHIRPS v2.0 (UCSB)</w:t>
            </w:r>
          </w:p>
        </w:tc>
        <w:tc>
          <w:tcPr>
            <w:tcW w:w="4560" w:type="dxa"/>
            <w:tcBorders>
              <w:top w:val="single" w:color="cccccc" w:sz="1"/>
              <w:left w:val="single" w:color="cccccc" w:sz="1"/>
              <w:bottom w:val="single" w:color="cccccc" w:sz="1"/>
              <w:right w:val="single" w:color="cccccc" w:sz="1"/>
            </w:tcBorders>
            <w:shd w:color="000000" w:fill="ffffff" w:val="clear"/>
            <w:tcMar>
              <w:left w:w="160" w:type="dxa"/>
              <w:right w:w="160" w:type="dxa"/>
            </w:tcMar>
            <w:vAlign w:val="top"/>
          </w:tcPr>
          <w:p>
            <w:pPr>
              <w:spacing w:before="0" w:after="0" w:line="240"/>
              <w:ind w:right="0" w:left="0" w:firstLine="0"/>
              <w:jc w:val="both"/>
              <w:rPr>
                <w:spacing w:val="0"/>
                <w:position w:val="0"/>
                <w:shd w:fill="auto" w:val="clear"/>
              </w:rPr>
            </w:pPr>
            <w:r>
              <w:rPr>
                <w:rFonts w:ascii="Arial" w:hAnsi="Arial" w:cs="Arial" w:eastAsia="Arial"/>
                <w:color w:val="1A1A2E"/>
                <w:spacing w:val="0"/>
                <w:position w:val="0"/>
                <w:sz w:val="21"/>
                <w:shd w:fill="auto" w:val="clear"/>
              </w:rPr>
              <w:t xml:space="preserve">Climate Hazards Group InfraRed Precipitation with Station data. 35-year daily rainfall dataset blending satellite and station data. Primary source for African rainfall analysis given dense spatial coverage compared to sparse station networks.</w:t>
            </w:r>
          </w:p>
        </w:tc>
        <w:tc>
          <w:tcPr>
            <w:tcW w:w="2800" w:type="dxa"/>
            <w:tcBorders>
              <w:top w:val="single" w:color="cccccc" w:sz="1"/>
              <w:left w:val="single" w:color="cccccc" w:sz="1"/>
              <w:bottom w:val="single" w:color="cccccc" w:sz="1"/>
              <w:right w:val="single" w:color="cccccc" w:sz="1"/>
            </w:tcBorders>
            <w:shd w:color="000000" w:fill="f5f7fa"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1A3C5E"/>
                <w:spacing w:val="0"/>
                <w:position w:val="0"/>
                <w:sz w:val="21"/>
                <w:shd w:fill="auto" w:val="clear"/>
              </w:rPr>
              <w:t xml:space="preserve">5km spatial, daily. Free via UCSB.</w:t>
            </w:r>
          </w:p>
        </w:tc>
      </w:tr>
      <w:tr>
        <w:trPr>
          <w:trHeight w:val="1" w:hRule="atLeast"/>
          <w:jc w:val="left"/>
        </w:trPr>
        <w:tc>
          <w:tcPr>
            <w:tcW w:w="2000" w:type="dxa"/>
            <w:tcBorders>
              <w:top w:val="single" w:color="cccccc" w:sz="1"/>
              <w:left w:val="single" w:color="cccccc" w:sz="1"/>
              <w:bottom w:val="single" w:color="cccccc" w:sz="1"/>
              <w:right w:val="single" w:color="cccccc" w:sz="1"/>
            </w:tcBorders>
            <w:shd w:color="000000" w:fill="f5f7fa"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1A3C5E"/>
                <w:spacing w:val="0"/>
                <w:position w:val="0"/>
                <w:sz w:val="21"/>
                <w:shd w:fill="auto" w:val="clear"/>
              </w:rPr>
              <w:t xml:space="preserve">HydroSHEDS (WWF)</w:t>
            </w:r>
          </w:p>
        </w:tc>
        <w:tc>
          <w:tcPr>
            <w:tcW w:w="4560" w:type="dxa"/>
            <w:tcBorders>
              <w:top w:val="single" w:color="cccccc" w:sz="1"/>
              <w:left w:val="single" w:color="cccccc" w:sz="1"/>
              <w:bottom w:val="single" w:color="cccccc" w:sz="1"/>
              <w:right w:val="single" w:color="cccccc" w:sz="1"/>
            </w:tcBorders>
            <w:shd w:color="000000" w:fill="ffffff" w:val="clear"/>
            <w:tcMar>
              <w:left w:w="160" w:type="dxa"/>
              <w:right w:w="160" w:type="dxa"/>
            </w:tcMar>
            <w:vAlign w:val="top"/>
          </w:tcPr>
          <w:p>
            <w:pPr>
              <w:spacing w:before="0" w:after="0" w:line="240"/>
              <w:ind w:right="0" w:left="0" w:firstLine="0"/>
              <w:jc w:val="both"/>
              <w:rPr>
                <w:spacing w:val="0"/>
                <w:position w:val="0"/>
                <w:shd w:fill="auto" w:val="clear"/>
              </w:rPr>
            </w:pPr>
            <w:r>
              <w:rPr>
                <w:rFonts w:ascii="Arial" w:hAnsi="Arial" w:cs="Arial" w:eastAsia="Arial"/>
                <w:color w:val="1A1A2E"/>
                <w:spacing w:val="0"/>
                <w:position w:val="0"/>
                <w:sz w:val="21"/>
                <w:shd w:fill="auto" w:val="clear"/>
              </w:rPr>
              <w:t xml:space="preserve">Hydrologically conditioned terrain data including river networks, sub-basin boundaries, and flow direction grids derived from SRTM DEM. Primary source for river network features in geo-foundational model.</w:t>
            </w:r>
          </w:p>
        </w:tc>
        <w:tc>
          <w:tcPr>
            <w:tcW w:w="2800" w:type="dxa"/>
            <w:tcBorders>
              <w:top w:val="single" w:color="cccccc" w:sz="1"/>
              <w:left w:val="single" w:color="cccccc" w:sz="1"/>
              <w:bottom w:val="single" w:color="cccccc" w:sz="1"/>
              <w:right w:val="single" w:color="cccccc" w:sz="1"/>
            </w:tcBorders>
            <w:shd w:color="000000" w:fill="f5f7fa"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1A3C5E"/>
                <w:spacing w:val="0"/>
                <w:position w:val="0"/>
                <w:sz w:val="21"/>
                <w:shd w:fill="auto" w:val="clear"/>
              </w:rPr>
              <w:t xml:space="preserve">30m to 500m. Free via HydroSHEDS.</w:t>
            </w:r>
          </w:p>
        </w:tc>
      </w:tr>
      <w:tr>
        <w:trPr>
          <w:trHeight w:val="1" w:hRule="atLeast"/>
          <w:jc w:val="left"/>
        </w:trPr>
        <w:tc>
          <w:tcPr>
            <w:tcW w:w="2000" w:type="dxa"/>
            <w:tcBorders>
              <w:top w:val="single" w:color="cccccc" w:sz="1"/>
              <w:left w:val="single" w:color="cccccc" w:sz="1"/>
              <w:bottom w:val="single" w:color="cccccc" w:sz="1"/>
              <w:right w:val="single" w:color="cccccc" w:sz="1"/>
            </w:tcBorders>
            <w:shd w:color="000000" w:fill="f5f7fa"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1A3C5E"/>
                <w:spacing w:val="0"/>
                <w:position w:val="0"/>
                <w:sz w:val="21"/>
                <w:shd w:fill="auto" w:val="clear"/>
              </w:rPr>
              <w:t xml:space="preserve">SoilGrids (ISRIC)</w:t>
            </w:r>
          </w:p>
        </w:tc>
        <w:tc>
          <w:tcPr>
            <w:tcW w:w="4560" w:type="dxa"/>
            <w:tcBorders>
              <w:top w:val="single" w:color="cccccc" w:sz="1"/>
              <w:left w:val="single" w:color="cccccc" w:sz="1"/>
              <w:bottom w:val="single" w:color="cccccc" w:sz="1"/>
              <w:right w:val="single" w:color="cccccc" w:sz="1"/>
            </w:tcBorders>
            <w:shd w:color="000000" w:fill="ffffff" w:val="clear"/>
            <w:tcMar>
              <w:left w:w="160" w:type="dxa"/>
              <w:right w:w="160" w:type="dxa"/>
            </w:tcMar>
            <w:vAlign w:val="top"/>
          </w:tcPr>
          <w:p>
            <w:pPr>
              <w:spacing w:before="0" w:after="0" w:line="240"/>
              <w:ind w:right="0" w:left="0" w:firstLine="0"/>
              <w:jc w:val="both"/>
              <w:rPr>
                <w:spacing w:val="0"/>
                <w:position w:val="0"/>
                <w:shd w:fill="auto" w:val="clear"/>
              </w:rPr>
            </w:pPr>
            <w:r>
              <w:rPr>
                <w:rFonts w:ascii="Arial" w:hAnsi="Arial" w:cs="Arial" w:eastAsia="Arial"/>
                <w:color w:val="1A1A2E"/>
                <w:spacing w:val="0"/>
                <w:position w:val="0"/>
                <w:sz w:val="21"/>
                <w:shd w:fill="auto" w:val="clear"/>
              </w:rPr>
              <w:t xml:space="preserve">Global gridded soil property maps at 250m resolution providing hydraulic conductivity, field capacity, and texture fractions. Used for soil hydrological parameter estimation.</w:t>
            </w:r>
          </w:p>
        </w:tc>
        <w:tc>
          <w:tcPr>
            <w:tcW w:w="2800" w:type="dxa"/>
            <w:tcBorders>
              <w:top w:val="single" w:color="cccccc" w:sz="1"/>
              <w:left w:val="single" w:color="cccccc" w:sz="1"/>
              <w:bottom w:val="single" w:color="cccccc" w:sz="1"/>
              <w:right w:val="single" w:color="cccccc" w:sz="1"/>
            </w:tcBorders>
            <w:shd w:color="000000" w:fill="f5f7fa"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1A3C5E"/>
                <w:spacing w:val="0"/>
                <w:position w:val="0"/>
                <w:sz w:val="21"/>
                <w:shd w:fill="auto" w:val="clear"/>
              </w:rPr>
              <w:t xml:space="preserve">250m spatial. Free via ISRIC.</w:t>
            </w:r>
          </w:p>
        </w:tc>
      </w:tr>
      <w:tr>
        <w:trPr>
          <w:trHeight w:val="1" w:hRule="atLeast"/>
          <w:jc w:val="left"/>
        </w:trPr>
        <w:tc>
          <w:tcPr>
            <w:tcW w:w="2000" w:type="dxa"/>
            <w:tcBorders>
              <w:top w:val="single" w:color="cccccc" w:sz="1"/>
              <w:left w:val="single" w:color="cccccc" w:sz="1"/>
              <w:bottom w:val="single" w:color="cccccc" w:sz="1"/>
              <w:right w:val="single" w:color="cccccc" w:sz="1"/>
            </w:tcBorders>
            <w:shd w:color="000000" w:fill="f5f7fa"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1A3C5E"/>
                <w:spacing w:val="0"/>
                <w:position w:val="0"/>
                <w:sz w:val="21"/>
                <w:shd w:fill="auto" w:val="clear"/>
              </w:rPr>
              <w:t xml:space="preserve">JRC Global Surface Water (EC)</w:t>
            </w:r>
          </w:p>
        </w:tc>
        <w:tc>
          <w:tcPr>
            <w:tcW w:w="4560" w:type="dxa"/>
            <w:tcBorders>
              <w:top w:val="single" w:color="cccccc" w:sz="1"/>
              <w:left w:val="single" w:color="cccccc" w:sz="1"/>
              <w:bottom w:val="single" w:color="cccccc" w:sz="1"/>
              <w:right w:val="single" w:color="cccccc" w:sz="1"/>
            </w:tcBorders>
            <w:shd w:color="000000" w:fill="ffffff" w:val="clear"/>
            <w:tcMar>
              <w:left w:w="160" w:type="dxa"/>
              <w:right w:w="160" w:type="dxa"/>
            </w:tcMar>
            <w:vAlign w:val="top"/>
          </w:tcPr>
          <w:p>
            <w:pPr>
              <w:spacing w:before="0" w:after="0" w:line="240"/>
              <w:ind w:right="0" w:left="0" w:firstLine="0"/>
              <w:jc w:val="both"/>
              <w:rPr>
                <w:spacing w:val="0"/>
                <w:position w:val="0"/>
                <w:shd w:fill="auto" w:val="clear"/>
              </w:rPr>
            </w:pPr>
            <w:r>
              <w:rPr>
                <w:rFonts w:ascii="Arial" w:hAnsi="Arial" w:cs="Arial" w:eastAsia="Arial"/>
                <w:color w:val="1A1A2E"/>
                <w:spacing w:val="0"/>
                <w:position w:val="0"/>
                <w:sz w:val="21"/>
                <w:shd w:fill="auto" w:val="clear"/>
              </w:rPr>
              <w:t xml:space="preserve">30-year historical record of global surface water occurrence and seasonality from Landsat archive. Used for permanent water body masking and historical flood plain delineation (Pekel et al., 2016).</w:t>
            </w:r>
          </w:p>
        </w:tc>
        <w:tc>
          <w:tcPr>
            <w:tcW w:w="2800" w:type="dxa"/>
            <w:tcBorders>
              <w:top w:val="single" w:color="cccccc" w:sz="1"/>
              <w:left w:val="single" w:color="cccccc" w:sz="1"/>
              <w:bottom w:val="single" w:color="cccccc" w:sz="1"/>
              <w:right w:val="single" w:color="cccccc" w:sz="1"/>
            </w:tcBorders>
            <w:shd w:color="000000" w:fill="f5f7fa"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1A3C5E"/>
                <w:spacing w:val="0"/>
                <w:position w:val="0"/>
                <w:sz w:val="21"/>
                <w:shd w:fill="auto" w:val="clear"/>
              </w:rPr>
              <w:t xml:space="preserve">30m spatial. Free via EC JRC.</w:t>
            </w:r>
          </w:p>
        </w:tc>
      </w:tr>
    </w:tbl>
    <w:p>
      <w:pPr>
        <w:spacing w:before="160" w:after="0" w:line="240"/>
        <w:ind w:right="0" w:left="0" w:firstLine="0"/>
        <w:jc w:val="left"/>
        <w:rPr>
          <w:rFonts w:ascii="Arial" w:hAnsi="Arial" w:cs="Arial" w:eastAsia="Arial"/>
          <w:color w:val="auto"/>
          <w:spacing w:val="0"/>
          <w:position w:val="0"/>
          <w:sz w:val="22"/>
          <w:shd w:fill="auto" w:val="clear"/>
        </w:rPr>
      </w:pPr>
    </w:p>
    <w:p>
      <w:pPr>
        <w:spacing w:before="320" w:after="120" w:line="240"/>
        <w:ind w:right="0" w:left="0" w:firstLine="0"/>
        <w:jc w:val="left"/>
        <w:rPr>
          <w:rFonts w:ascii="Arial" w:hAnsi="Arial" w:cs="Arial" w:eastAsia="Arial"/>
          <w:b/>
          <w:color w:val="0D7377"/>
          <w:spacing w:val="0"/>
          <w:position w:val="0"/>
          <w:sz w:val="27"/>
          <w:shd w:fill="auto" w:val="clear"/>
        </w:rPr>
      </w:pPr>
      <w:r>
        <w:rPr>
          <w:rFonts w:ascii="Arial" w:hAnsi="Arial" w:cs="Arial" w:eastAsia="Arial"/>
          <w:b/>
          <w:color w:val="0D7377"/>
          <w:spacing w:val="0"/>
          <w:position w:val="0"/>
          <w:sz w:val="27"/>
          <w:shd w:fill="auto" w:val="clear"/>
        </w:rPr>
        <w:t xml:space="preserve">4.3 IoT Hardware and Protocol Specifications</w:t>
      </w:r>
    </w:p>
    <w:p>
      <w:pPr>
        <w:spacing w:before="80" w:after="0" w:line="240"/>
        <w:ind w:right="0" w:left="0" w:firstLine="0"/>
        <w:jc w:val="left"/>
        <w:rPr>
          <w:rFonts w:ascii="Arial" w:hAnsi="Arial" w:cs="Arial" w:eastAsia="Arial"/>
          <w:color w:val="auto"/>
          <w:spacing w:val="0"/>
          <w:position w:val="0"/>
          <w:sz w:val="22"/>
          <w:shd w:fill="auto" w:val="clear"/>
        </w:rPr>
      </w:pPr>
    </w:p>
    <w:tbl>
      <w:tblPr/>
      <w:tblGrid>
        <w:gridCol w:w="2800"/>
        <w:gridCol w:w="6560"/>
      </w:tblGrid>
      <w:tr>
        <w:trPr>
          <w:trHeight w:val="1" w:hRule="atLeast"/>
          <w:jc w:val="left"/>
        </w:trPr>
        <w:tc>
          <w:tcPr>
            <w:tcW w:w="2800" w:type="dxa"/>
            <w:tcBorders>
              <w:top w:val="single" w:color="cccccc" w:sz="1"/>
              <w:left w:val="single" w:color="cccccc" w:sz="1"/>
              <w:bottom w:val="single" w:color="cccccc" w:sz="1"/>
              <w:right w:val="single" w:color="cccccc" w:sz="1"/>
            </w:tcBorders>
            <w:shd w:color="000000" w:fill="1a3c5e" w:val="clear"/>
            <w:tcMar>
              <w:left w:w="160" w:type="dxa"/>
              <w:right w:w="160" w:type="dxa"/>
            </w:tcMar>
            <w:vAlign w:val="center"/>
          </w:tcPr>
          <w:p>
            <w:pPr>
              <w:spacing w:before="0" w:after="0" w:line="240"/>
              <w:ind w:right="0" w:left="0" w:firstLine="0"/>
              <w:jc w:val="left"/>
              <w:rPr>
                <w:spacing w:val="0"/>
                <w:position w:val="0"/>
                <w:shd w:fill="auto" w:val="clear"/>
              </w:rPr>
            </w:pPr>
            <w:r>
              <w:rPr>
                <w:rFonts w:ascii="Arial" w:hAnsi="Arial" w:cs="Arial" w:eastAsia="Arial"/>
                <w:b/>
                <w:color w:val="FFFFFF"/>
                <w:spacing w:val="0"/>
                <w:position w:val="0"/>
                <w:sz w:val="21"/>
                <w:shd w:fill="auto" w:val="clear"/>
              </w:rPr>
              <w:t xml:space="preserve">Component</w:t>
            </w:r>
          </w:p>
        </w:tc>
        <w:tc>
          <w:tcPr>
            <w:tcW w:w="6560" w:type="dxa"/>
            <w:tcBorders>
              <w:top w:val="single" w:color="cccccc" w:sz="1"/>
              <w:left w:val="single" w:color="cccccc" w:sz="1"/>
              <w:bottom w:val="single" w:color="cccccc" w:sz="1"/>
              <w:right w:val="single" w:color="cccccc" w:sz="1"/>
            </w:tcBorders>
            <w:shd w:color="000000" w:fill="auto" w:val="clear"/>
            <w:tcMar>
              <w:left w:w="160" w:type="dxa"/>
              <w:right w:w="160" w:type="dxa"/>
            </w:tcMar>
            <w:vAlign w:val="top"/>
          </w:tcPr>
          <w:p>
            <w:pPr>
              <w:spacing w:before="0" w:after="0" w:line="240"/>
              <w:ind w:right="0" w:left="0" w:firstLine="0"/>
              <w:jc w:val="both"/>
              <w:rPr>
                <w:spacing w:val="0"/>
                <w:position w:val="0"/>
                <w:shd w:fill="auto" w:val="clear"/>
              </w:rPr>
            </w:pPr>
            <w:r>
              <w:rPr>
                <w:rFonts w:ascii="Arial" w:hAnsi="Arial" w:cs="Arial" w:eastAsia="Arial"/>
                <w:b/>
                <w:color w:val="FFFFFF"/>
                <w:spacing w:val="0"/>
                <w:position w:val="0"/>
                <w:sz w:val="21"/>
                <w:shd w:fill="auto" w:val="clear"/>
              </w:rPr>
              <w:t xml:space="preserve">Specification and Empirical Basis</w:t>
            </w:r>
          </w:p>
        </w:tc>
      </w:tr>
      <w:tr>
        <w:trPr>
          <w:trHeight w:val="1" w:hRule="atLeast"/>
          <w:jc w:val="left"/>
        </w:trPr>
        <w:tc>
          <w:tcPr>
            <w:tcW w:w="2800" w:type="dxa"/>
            <w:tcBorders>
              <w:top w:val="single" w:color="cccccc" w:sz="1"/>
              <w:left w:val="single" w:color="cccccc" w:sz="1"/>
              <w:bottom w:val="single" w:color="cccccc" w:sz="1"/>
              <w:right w:val="single" w:color="cccccc" w:sz="1"/>
            </w:tcBorders>
            <w:shd w:color="000000" w:fill="f5f7fa" w:val="clear"/>
            <w:tcMar>
              <w:left w:w="160" w:type="dxa"/>
              <w:right w:w="160" w:type="dxa"/>
            </w:tcMar>
            <w:vAlign w:val="center"/>
          </w:tcPr>
          <w:p>
            <w:pPr>
              <w:spacing w:before="0" w:after="0" w:line="240"/>
              <w:ind w:right="0" w:left="0" w:firstLine="0"/>
              <w:jc w:val="left"/>
              <w:rPr>
                <w:spacing w:val="0"/>
                <w:position w:val="0"/>
                <w:shd w:fill="auto" w:val="clear"/>
              </w:rPr>
            </w:pPr>
            <w:r>
              <w:rPr>
                <w:rFonts w:ascii="Arial" w:hAnsi="Arial" w:cs="Arial" w:eastAsia="Arial"/>
                <w:color w:val="1A3C5E"/>
                <w:spacing w:val="0"/>
                <w:position w:val="0"/>
                <w:sz w:val="21"/>
                <w:shd w:fill="auto" w:val="clear"/>
              </w:rPr>
              <w:t xml:space="preserve">Water Level Sensor</w:t>
            </w:r>
          </w:p>
        </w:tc>
        <w:tc>
          <w:tcPr>
            <w:tcW w:w="6560" w:type="dxa"/>
            <w:tcBorders>
              <w:top w:val="single" w:color="cccccc" w:sz="1"/>
              <w:left w:val="single" w:color="cccccc" w:sz="1"/>
              <w:bottom w:val="single" w:color="cccccc" w:sz="1"/>
              <w:right w:val="single" w:color="cccccc" w:sz="1"/>
            </w:tcBorders>
            <w:shd w:color="000000" w:fill="ffffff" w:val="clear"/>
            <w:tcMar>
              <w:left w:w="160" w:type="dxa"/>
              <w:right w:w="160" w:type="dxa"/>
            </w:tcMar>
            <w:vAlign w:val="top"/>
          </w:tcPr>
          <w:p>
            <w:pPr>
              <w:spacing w:before="0" w:after="0" w:line="240"/>
              <w:ind w:right="0" w:left="0" w:firstLine="0"/>
              <w:jc w:val="both"/>
              <w:rPr>
                <w:spacing w:val="0"/>
                <w:position w:val="0"/>
                <w:shd w:fill="auto" w:val="clear"/>
              </w:rPr>
            </w:pPr>
            <w:r>
              <w:rPr>
                <w:rFonts w:ascii="Arial" w:hAnsi="Arial" w:cs="Arial" w:eastAsia="Arial"/>
                <w:color w:val="1A1A2E"/>
                <w:spacing w:val="0"/>
                <w:position w:val="0"/>
                <w:sz w:val="21"/>
                <w:shd w:fill="auto" w:val="clear"/>
              </w:rPr>
              <w:t xml:space="preserve">Ultrasonic non-contact level sensors (e.g., Maxbotix MB7389) providing 0-5m measurement range with 1mm resolution, or pressure transducer sensors for submerged installations. Sensor accuracy validated to plus or minus 3mm in controlled laboratory conditions. Protocol: digital serial output integrated to microcontroller.</w:t>
            </w:r>
          </w:p>
        </w:tc>
      </w:tr>
      <w:tr>
        <w:trPr>
          <w:trHeight w:val="1" w:hRule="atLeast"/>
          <w:jc w:val="left"/>
        </w:trPr>
        <w:tc>
          <w:tcPr>
            <w:tcW w:w="2800" w:type="dxa"/>
            <w:tcBorders>
              <w:top w:val="single" w:color="cccccc" w:sz="1"/>
              <w:left w:val="single" w:color="cccccc" w:sz="1"/>
              <w:bottom w:val="single" w:color="cccccc" w:sz="1"/>
              <w:right w:val="single" w:color="cccccc" w:sz="1"/>
            </w:tcBorders>
            <w:shd w:color="000000" w:fill="f5f7fa" w:val="clear"/>
            <w:tcMar>
              <w:left w:w="160" w:type="dxa"/>
              <w:right w:w="160" w:type="dxa"/>
            </w:tcMar>
            <w:vAlign w:val="center"/>
          </w:tcPr>
          <w:p>
            <w:pPr>
              <w:spacing w:before="0" w:after="0" w:line="240"/>
              <w:ind w:right="0" w:left="0" w:firstLine="0"/>
              <w:jc w:val="left"/>
              <w:rPr>
                <w:spacing w:val="0"/>
                <w:position w:val="0"/>
                <w:shd w:fill="auto" w:val="clear"/>
              </w:rPr>
            </w:pPr>
            <w:r>
              <w:rPr>
                <w:rFonts w:ascii="Arial" w:hAnsi="Arial" w:cs="Arial" w:eastAsia="Arial"/>
                <w:color w:val="1A3C5E"/>
                <w:spacing w:val="0"/>
                <w:position w:val="0"/>
                <w:sz w:val="21"/>
                <w:shd w:fill="auto" w:val="clear"/>
              </w:rPr>
              <w:t xml:space="preserve">Tipping Bucket Rain Gauge</w:t>
            </w:r>
          </w:p>
        </w:tc>
        <w:tc>
          <w:tcPr>
            <w:tcW w:w="6560" w:type="dxa"/>
            <w:tcBorders>
              <w:top w:val="single" w:color="cccccc" w:sz="1"/>
              <w:left w:val="single" w:color="cccccc" w:sz="1"/>
              <w:bottom w:val="single" w:color="cccccc" w:sz="1"/>
              <w:right w:val="single" w:color="cccccc" w:sz="1"/>
            </w:tcBorders>
            <w:shd w:color="000000" w:fill="ffffff" w:val="clear"/>
            <w:tcMar>
              <w:left w:w="160" w:type="dxa"/>
              <w:right w:w="160" w:type="dxa"/>
            </w:tcMar>
            <w:vAlign w:val="top"/>
          </w:tcPr>
          <w:p>
            <w:pPr>
              <w:spacing w:before="0" w:after="0" w:line="240"/>
              <w:ind w:right="0" w:left="0" w:firstLine="0"/>
              <w:jc w:val="both"/>
              <w:rPr>
                <w:spacing w:val="0"/>
                <w:position w:val="0"/>
                <w:shd w:fill="auto" w:val="clear"/>
              </w:rPr>
            </w:pPr>
            <w:r>
              <w:rPr>
                <w:rFonts w:ascii="Arial" w:hAnsi="Arial" w:cs="Arial" w:eastAsia="Arial"/>
                <w:color w:val="1A1A2E"/>
                <w:spacing w:val="0"/>
                <w:position w:val="0"/>
                <w:sz w:val="21"/>
                <w:shd w:fill="auto" w:val="clear"/>
              </w:rPr>
              <w:t xml:space="preserve">0.2mm per tip resolution, PTFE-coated funnel for accuracy in high-intensity tropical rainfall. Validated against WMO reference gauges in comparable East African environments (Kidd et al., 2017).</w:t>
            </w:r>
          </w:p>
        </w:tc>
      </w:tr>
      <w:tr>
        <w:trPr>
          <w:trHeight w:val="1" w:hRule="atLeast"/>
          <w:jc w:val="left"/>
        </w:trPr>
        <w:tc>
          <w:tcPr>
            <w:tcW w:w="2800" w:type="dxa"/>
            <w:tcBorders>
              <w:top w:val="single" w:color="cccccc" w:sz="1"/>
              <w:left w:val="single" w:color="cccccc" w:sz="1"/>
              <w:bottom w:val="single" w:color="cccccc" w:sz="1"/>
              <w:right w:val="single" w:color="cccccc" w:sz="1"/>
            </w:tcBorders>
            <w:shd w:color="000000" w:fill="f5f7fa" w:val="clear"/>
            <w:tcMar>
              <w:left w:w="160" w:type="dxa"/>
              <w:right w:w="160" w:type="dxa"/>
            </w:tcMar>
            <w:vAlign w:val="center"/>
          </w:tcPr>
          <w:p>
            <w:pPr>
              <w:spacing w:before="0" w:after="0" w:line="240"/>
              <w:ind w:right="0" w:left="0" w:firstLine="0"/>
              <w:jc w:val="left"/>
              <w:rPr>
                <w:spacing w:val="0"/>
                <w:position w:val="0"/>
                <w:shd w:fill="auto" w:val="clear"/>
              </w:rPr>
            </w:pPr>
            <w:r>
              <w:rPr>
                <w:rFonts w:ascii="Arial" w:hAnsi="Arial" w:cs="Arial" w:eastAsia="Arial"/>
                <w:color w:val="1A3C5E"/>
                <w:spacing w:val="0"/>
                <w:position w:val="0"/>
                <w:sz w:val="21"/>
                <w:shd w:fill="auto" w:val="clear"/>
              </w:rPr>
              <w:t xml:space="preserve">Microcontroller</w:t>
            </w:r>
          </w:p>
        </w:tc>
        <w:tc>
          <w:tcPr>
            <w:tcW w:w="6560" w:type="dxa"/>
            <w:tcBorders>
              <w:top w:val="single" w:color="cccccc" w:sz="1"/>
              <w:left w:val="single" w:color="cccccc" w:sz="1"/>
              <w:bottom w:val="single" w:color="cccccc" w:sz="1"/>
              <w:right w:val="single" w:color="cccccc" w:sz="1"/>
            </w:tcBorders>
            <w:shd w:color="000000" w:fill="ffffff" w:val="clear"/>
            <w:tcMar>
              <w:left w:w="160" w:type="dxa"/>
              <w:right w:w="160" w:type="dxa"/>
            </w:tcMar>
            <w:vAlign w:val="top"/>
          </w:tcPr>
          <w:p>
            <w:pPr>
              <w:spacing w:before="0" w:after="0" w:line="240"/>
              <w:ind w:right="0" w:left="0" w:firstLine="0"/>
              <w:jc w:val="both"/>
              <w:rPr>
                <w:spacing w:val="0"/>
                <w:position w:val="0"/>
                <w:shd w:fill="auto" w:val="clear"/>
              </w:rPr>
            </w:pPr>
            <w:r>
              <w:rPr>
                <w:rFonts w:ascii="Arial" w:hAnsi="Arial" w:cs="Arial" w:eastAsia="Arial"/>
                <w:color w:val="1A1A2E"/>
                <w:spacing w:val="0"/>
                <w:position w:val="0"/>
                <w:sz w:val="21"/>
                <w:shd w:fill="auto" w:val="clear"/>
              </w:rPr>
              <w:t xml:space="preserve">ARM Cortex-M0+ based low-power microcontroller (e.g., STM32L0 series) with deep sleep current draw below 1 microamp, enabling multi-year operation on solar-charged lithium battery systems.</w:t>
            </w:r>
          </w:p>
        </w:tc>
      </w:tr>
      <w:tr>
        <w:trPr>
          <w:trHeight w:val="1" w:hRule="atLeast"/>
          <w:jc w:val="left"/>
        </w:trPr>
        <w:tc>
          <w:tcPr>
            <w:tcW w:w="2800" w:type="dxa"/>
            <w:tcBorders>
              <w:top w:val="single" w:color="cccccc" w:sz="1"/>
              <w:left w:val="single" w:color="cccccc" w:sz="1"/>
              <w:bottom w:val="single" w:color="cccccc" w:sz="1"/>
              <w:right w:val="single" w:color="cccccc" w:sz="1"/>
            </w:tcBorders>
            <w:shd w:color="000000" w:fill="f5f7fa" w:val="clear"/>
            <w:tcMar>
              <w:left w:w="160" w:type="dxa"/>
              <w:right w:w="160" w:type="dxa"/>
            </w:tcMar>
            <w:vAlign w:val="center"/>
          </w:tcPr>
          <w:p>
            <w:pPr>
              <w:spacing w:before="0" w:after="0" w:line="240"/>
              <w:ind w:right="0" w:left="0" w:firstLine="0"/>
              <w:jc w:val="left"/>
              <w:rPr>
                <w:spacing w:val="0"/>
                <w:position w:val="0"/>
                <w:shd w:fill="auto" w:val="clear"/>
              </w:rPr>
            </w:pPr>
            <w:r>
              <w:rPr>
                <w:rFonts w:ascii="Arial" w:hAnsi="Arial" w:cs="Arial" w:eastAsia="Arial"/>
                <w:color w:val="1A3C5E"/>
                <w:spacing w:val="0"/>
                <w:position w:val="0"/>
                <w:sz w:val="21"/>
                <w:shd w:fill="auto" w:val="clear"/>
              </w:rPr>
              <w:t xml:space="preserve">LoRaWAN Radio Module</w:t>
            </w:r>
          </w:p>
        </w:tc>
        <w:tc>
          <w:tcPr>
            <w:tcW w:w="6560" w:type="dxa"/>
            <w:tcBorders>
              <w:top w:val="single" w:color="cccccc" w:sz="1"/>
              <w:left w:val="single" w:color="cccccc" w:sz="1"/>
              <w:bottom w:val="single" w:color="cccccc" w:sz="1"/>
              <w:right w:val="single" w:color="cccccc" w:sz="1"/>
            </w:tcBorders>
            <w:shd w:color="000000" w:fill="ffffff" w:val="clear"/>
            <w:tcMar>
              <w:left w:w="160" w:type="dxa"/>
              <w:right w:w="160" w:type="dxa"/>
            </w:tcMar>
            <w:vAlign w:val="top"/>
          </w:tcPr>
          <w:p>
            <w:pPr>
              <w:spacing w:before="0" w:after="0" w:line="240"/>
              <w:ind w:right="0" w:left="0" w:firstLine="0"/>
              <w:jc w:val="both"/>
              <w:rPr>
                <w:spacing w:val="0"/>
                <w:position w:val="0"/>
                <w:shd w:fill="auto" w:val="clear"/>
              </w:rPr>
            </w:pPr>
            <w:r>
              <w:rPr>
                <w:rFonts w:ascii="Arial" w:hAnsi="Arial" w:cs="Arial" w:eastAsia="Arial"/>
                <w:color w:val="1A1A2E"/>
                <w:spacing w:val="0"/>
                <w:position w:val="0"/>
                <w:sz w:val="21"/>
                <w:shd w:fill="auto" w:val="clear"/>
              </w:rPr>
              <w:t xml:space="preserve">868/915 MHz LoRa transceiver achieving 2-15km line-of-sight range and 1-5km in dense urban environments. Validated for environmental IoT applications in Sub-Saharan Africa (Centenaro et al., 2016; Augustin et al., 2016).</w:t>
            </w:r>
          </w:p>
        </w:tc>
      </w:tr>
      <w:tr>
        <w:trPr>
          <w:trHeight w:val="1" w:hRule="atLeast"/>
          <w:jc w:val="left"/>
        </w:trPr>
        <w:tc>
          <w:tcPr>
            <w:tcW w:w="2800" w:type="dxa"/>
            <w:tcBorders>
              <w:top w:val="single" w:color="cccccc" w:sz="1"/>
              <w:left w:val="single" w:color="cccccc" w:sz="1"/>
              <w:bottom w:val="single" w:color="cccccc" w:sz="1"/>
              <w:right w:val="single" w:color="cccccc" w:sz="1"/>
            </w:tcBorders>
            <w:shd w:color="000000" w:fill="f5f7fa" w:val="clear"/>
            <w:tcMar>
              <w:left w:w="160" w:type="dxa"/>
              <w:right w:w="160" w:type="dxa"/>
            </w:tcMar>
            <w:vAlign w:val="center"/>
          </w:tcPr>
          <w:p>
            <w:pPr>
              <w:spacing w:before="0" w:after="0" w:line="240"/>
              <w:ind w:right="0" w:left="0" w:firstLine="0"/>
              <w:jc w:val="left"/>
              <w:rPr>
                <w:spacing w:val="0"/>
                <w:position w:val="0"/>
                <w:shd w:fill="auto" w:val="clear"/>
              </w:rPr>
            </w:pPr>
            <w:r>
              <w:rPr>
                <w:rFonts w:ascii="Arial" w:hAnsi="Arial" w:cs="Arial" w:eastAsia="Arial"/>
                <w:color w:val="1A3C5E"/>
                <w:spacing w:val="0"/>
                <w:position w:val="0"/>
                <w:sz w:val="21"/>
                <w:shd w:fill="auto" w:val="clear"/>
              </w:rPr>
              <w:t xml:space="preserve">Power System</w:t>
            </w:r>
          </w:p>
        </w:tc>
        <w:tc>
          <w:tcPr>
            <w:tcW w:w="6560" w:type="dxa"/>
            <w:tcBorders>
              <w:top w:val="single" w:color="cccccc" w:sz="1"/>
              <w:left w:val="single" w:color="cccccc" w:sz="1"/>
              <w:bottom w:val="single" w:color="cccccc" w:sz="1"/>
              <w:right w:val="single" w:color="cccccc" w:sz="1"/>
            </w:tcBorders>
            <w:shd w:color="000000" w:fill="ffffff" w:val="clear"/>
            <w:tcMar>
              <w:left w:w="160" w:type="dxa"/>
              <w:right w:w="160" w:type="dxa"/>
            </w:tcMar>
            <w:vAlign w:val="top"/>
          </w:tcPr>
          <w:p>
            <w:pPr>
              <w:spacing w:before="0" w:after="0" w:line="240"/>
              <w:ind w:right="0" w:left="0" w:firstLine="0"/>
              <w:jc w:val="both"/>
              <w:rPr>
                <w:spacing w:val="0"/>
                <w:position w:val="0"/>
                <w:shd w:fill="auto" w:val="clear"/>
              </w:rPr>
            </w:pPr>
            <w:r>
              <w:rPr>
                <w:rFonts w:ascii="Arial" w:hAnsi="Arial" w:cs="Arial" w:eastAsia="Arial"/>
                <w:color w:val="1A1A2E"/>
                <w:spacing w:val="0"/>
                <w:position w:val="0"/>
                <w:sz w:val="21"/>
                <w:shd w:fill="auto" w:val="clear"/>
              </w:rPr>
              <w:t xml:space="preserve">5W monocrystalline solar panel with 10Ah LiFePO4 battery providing greater than 7 days autonomous operation under complete cloud cover, consistent with typical East African rainy season conditions.</w:t>
            </w:r>
          </w:p>
        </w:tc>
      </w:tr>
      <w:tr>
        <w:trPr>
          <w:trHeight w:val="1" w:hRule="atLeast"/>
          <w:jc w:val="left"/>
        </w:trPr>
        <w:tc>
          <w:tcPr>
            <w:tcW w:w="2800" w:type="dxa"/>
            <w:tcBorders>
              <w:top w:val="single" w:color="cccccc" w:sz="1"/>
              <w:left w:val="single" w:color="cccccc" w:sz="1"/>
              <w:bottom w:val="single" w:color="cccccc" w:sz="1"/>
              <w:right w:val="single" w:color="cccccc" w:sz="1"/>
            </w:tcBorders>
            <w:shd w:color="000000" w:fill="f5f7fa" w:val="clear"/>
            <w:tcMar>
              <w:left w:w="160" w:type="dxa"/>
              <w:right w:w="160" w:type="dxa"/>
            </w:tcMar>
            <w:vAlign w:val="center"/>
          </w:tcPr>
          <w:p>
            <w:pPr>
              <w:spacing w:before="0" w:after="0" w:line="240"/>
              <w:ind w:right="0" w:left="0" w:firstLine="0"/>
              <w:jc w:val="left"/>
              <w:rPr>
                <w:spacing w:val="0"/>
                <w:position w:val="0"/>
                <w:shd w:fill="auto" w:val="clear"/>
              </w:rPr>
            </w:pPr>
            <w:r>
              <w:rPr>
                <w:rFonts w:ascii="Arial" w:hAnsi="Arial" w:cs="Arial" w:eastAsia="Arial"/>
                <w:color w:val="1A3C5E"/>
                <w:spacing w:val="0"/>
                <w:position w:val="0"/>
                <w:sz w:val="21"/>
                <w:shd w:fill="auto" w:val="clear"/>
              </w:rPr>
              <w:t xml:space="preserve">Data Transmission Frequency</w:t>
            </w:r>
          </w:p>
        </w:tc>
        <w:tc>
          <w:tcPr>
            <w:tcW w:w="6560" w:type="dxa"/>
            <w:tcBorders>
              <w:top w:val="single" w:color="cccccc" w:sz="1"/>
              <w:left w:val="single" w:color="cccccc" w:sz="1"/>
              <w:bottom w:val="single" w:color="cccccc" w:sz="1"/>
              <w:right w:val="single" w:color="cccccc" w:sz="1"/>
            </w:tcBorders>
            <w:shd w:color="000000" w:fill="ffffff" w:val="clear"/>
            <w:tcMar>
              <w:left w:w="160" w:type="dxa"/>
              <w:right w:w="160" w:type="dxa"/>
            </w:tcMar>
            <w:vAlign w:val="top"/>
          </w:tcPr>
          <w:p>
            <w:pPr>
              <w:spacing w:before="0" w:after="0" w:line="240"/>
              <w:ind w:right="0" w:left="0" w:firstLine="0"/>
              <w:jc w:val="both"/>
              <w:rPr>
                <w:spacing w:val="0"/>
                <w:position w:val="0"/>
                <w:shd w:fill="auto" w:val="clear"/>
              </w:rPr>
            </w:pPr>
            <w:r>
              <w:rPr>
                <w:rFonts w:ascii="Arial" w:hAnsi="Arial" w:cs="Arial" w:eastAsia="Arial"/>
                <w:color w:val="1A1A2E"/>
                <w:spacing w:val="0"/>
                <w:position w:val="0"/>
                <w:sz w:val="21"/>
                <w:shd w:fill="auto" w:val="clear"/>
              </w:rPr>
              <w:t xml:space="preserve">Every 15 minutes in standby mode, switching to every 2 minutes when water level exceeds a predefined alert threshold. Consistent with flood early warning system design guidelines (WMO, 2011).</w:t>
            </w:r>
          </w:p>
        </w:tc>
      </w:tr>
    </w:tbl>
    <w:p>
      <w:pPr>
        <w:spacing w:before="200" w:after="0" w:line="240"/>
        <w:ind w:right="0" w:left="0" w:firstLine="0"/>
        <w:jc w:val="left"/>
        <w:rPr>
          <w:rFonts w:ascii="Arial" w:hAnsi="Arial" w:cs="Arial" w:eastAsia="Arial"/>
          <w:color w:val="auto"/>
          <w:spacing w:val="0"/>
          <w:position w:val="0"/>
          <w:sz w:val="22"/>
          <w:shd w:fill="auto" w:val="clear"/>
        </w:rPr>
      </w:pPr>
    </w:p>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40"/>
        <w:ind w:right="0" w:left="0" w:firstLine="0"/>
        <w:jc w:val="left"/>
        <w:rPr>
          <w:rFonts w:ascii="Arial" w:hAnsi="Arial" w:cs="Arial" w:eastAsia="Arial"/>
          <w:color w:val="auto"/>
          <w:spacing w:val="0"/>
          <w:position w:val="0"/>
          <w:sz w:val="22"/>
          <w:shd w:fill="auto" w:val="clear"/>
        </w:rPr>
      </w:pPr>
    </w:p>
    <w:p>
      <w:pPr>
        <w:spacing w:before="480" w:after="160" w:line="240"/>
        <w:ind w:right="0" w:left="0" w:firstLine="0"/>
        <w:jc w:val="left"/>
        <w:rPr>
          <w:rFonts w:ascii="Arial" w:hAnsi="Arial" w:cs="Arial" w:eastAsia="Arial"/>
          <w:b/>
          <w:color w:val="1A3C5E"/>
          <w:spacing w:val="0"/>
          <w:position w:val="0"/>
          <w:sz w:val="34"/>
          <w:shd w:fill="auto" w:val="clear"/>
        </w:rPr>
      </w:pPr>
      <w:r>
        <w:rPr>
          <w:rFonts w:ascii="Arial" w:hAnsi="Arial" w:cs="Arial" w:eastAsia="Arial"/>
          <w:b/>
          <w:color w:val="1A3C5E"/>
          <w:spacing w:val="0"/>
          <w:position w:val="0"/>
          <w:sz w:val="34"/>
          <w:shd w:fill="auto" w:val="clear"/>
        </w:rPr>
        <w:t xml:space="preserve">5. Validation Framework and Performance Standards</w:t>
      </w:r>
    </w:p>
    <w:p>
      <w:pPr>
        <w:spacing w:before="60" w:after="100" w:line="240"/>
        <w:ind w:right="0" w:left="0" w:firstLine="0"/>
        <w:jc w:val="both"/>
        <w:rPr>
          <w:rFonts w:ascii="Arial" w:hAnsi="Arial" w:cs="Arial" w:eastAsia="Arial"/>
          <w:color w:val="auto"/>
          <w:spacing w:val="0"/>
          <w:position w:val="0"/>
          <w:sz w:val="22"/>
          <w:shd w:fill="auto" w:val="clear"/>
        </w:rPr>
      </w:pPr>
      <w:r>
        <w:rPr>
          <w:rFonts w:ascii="Arial" w:hAnsi="Arial" w:cs="Arial" w:eastAsia="Arial"/>
          <w:color w:val="1A1A2E"/>
          <w:spacing w:val="0"/>
          <w:position w:val="0"/>
          <w:sz w:val="22"/>
          <w:shd w:fill="auto" w:val="clear"/>
        </w:rPr>
        <w:t xml:space="preserve">Methodological rigour requires that every component of the Apex system is subject to systematic validation against independent reference data. The validation framework is structured across three levels: component-level validation of individual processing stages, system-level validation of end-to-end flood intelligence outputs, and financial translation validation comparing Apex-derived risk metrics against observed financial outcomes.</w:t>
      </w:r>
    </w:p>
    <w:p>
      <w:pPr>
        <w:spacing w:before="120" w:after="0" w:line="240"/>
        <w:ind w:right="0" w:left="0" w:firstLine="0"/>
        <w:jc w:val="left"/>
        <w:rPr>
          <w:rFonts w:ascii="Arial" w:hAnsi="Arial" w:cs="Arial" w:eastAsia="Arial"/>
          <w:color w:val="auto"/>
          <w:spacing w:val="0"/>
          <w:position w:val="0"/>
          <w:sz w:val="22"/>
          <w:shd w:fill="auto" w:val="clear"/>
        </w:rPr>
      </w:pPr>
    </w:p>
    <w:p>
      <w:pPr>
        <w:spacing w:before="320" w:after="120" w:line="240"/>
        <w:ind w:right="0" w:left="0" w:firstLine="0"/>
        <w:jc w:val="left"/>
        <w:rPr>
          <w:rFonts w:ascii="Arial" w:hAnsi="Arial" w:cs="Arial" w:eastAsia="Arial"/>
          <w:b/>
          <w:color w:val="0D7377"/>
          <w:spacing w:val="0"/>
          <w:position w:val="0"/>
          <w:sz w:val="27"/>
          <w:shd w:fill="auto" w:val="clear"/>
        </w:rPr>
      </w:pPr>
      <w:r>
        <w:rPr>
          <w:rFonts w:ascii="Arial" w:hAnsi="Arial" w:cs="Arial" w:eastAsia="Arial"/>
          <w:b/>
          <w:color w:val="0D7377"/>
          <w:spacing w:val="0"/>
          <w:position w:val="0"/>
          <w:sz w:val="27"/>
          <w:shd w:fill="auto" w:val="clear"/>
        </w:rPr>
        <w:t xml:space="preserve">5.1 Satellite Flood Detection Validation</w:t>
      </w:r>
    </w:p>
    <w:p>
      <w:pPr>
        <w:spacing w:before="60" w:after="100" w:line="240"/>
        <w:ind w:right="0" w:left="0" w:firstLine="0"/>
        <w:jc w:val="both"/>
        <w:rPr>
          <w:rFonts w:ascii="Arial" w:hAnsi="Arial" w:cs="Arial" w:eastAsia="Arial"/>
          <w:color w:val="auto"/>
          <w:spacing w:val="0"/>
          <w:position w:val="0"/>
          <w:sz w:val="22"/>
          <w:shd w:fill="auto" w:val="clear"/>
        </w:rPr>
      </w:pPr>
      <w:r>
        <w:rPr>
          <w:rFonts w:ascii="Arial" w:hAnsi="Arial" w:cs="Arial" w:eastAsia="Arial"/>
          <w:color w:val="1A1A2E"/>
          <w:spacing w:val="0"/>
          <w:position w:val="0"/>
          <w:sz w:val="22"/>
          <w:shd w:fill="auto" w:val="clear"/>
        </w:rPr>
        <w:t xml:space="preserve">Flood detection accuracy is validated using the standard remote sensing accuracy assessment framework (Congalton and Green, 2019) applied to independent test events not used in model training. Reference data for validation is sourced from: UNOSAT flood delineation products (manually digitised from very high-resolution optical imagery); ICEYE SAR-derived flood maps at 1m resolution; and field-surveyed flood extent polygons collected by partner organisations during event response.</w:t>
      </w:r>
    </w:p>
    <w:p>
      <w:pPr>
        <w:spacing w:before="80" w:after="0" w:line="240"/>
        <w:ind w:right="0" w:left="0" w:firstLine="0"/>
        <w:jc w:val="left"/>
        <w:rPr>
          <w:rFonts w:ascii="Arial" w:hAnsi="Arial" w:cs="Arial" w:eastAsia="Arial"/>
          <w:color w:val="auto"/>
          <w:spacing w:val="0"/>
          <w:position w:val="0"/>
          <w:sz w:val="22"/>
          <w:shd w:fill="auto" w:val="clear"/>
        </w:rPr>
      </w:pPr>
    </w:p>
    <w:p>
      <w:pPr>
        <w:spacing w:before="60" w:after="100" w:line="240"/>
        <w:ind w:right="0" w:left="0" w:firstLine="0"/>
        <w:jc w:val="both"/>
        <w:rPr>
          <w:rFonts w:ascii="Arial" w:hAnsi="Arial" w:cs="Arial" w:eastAsia="Arial"/>
          <w:color w:val="auto"/>
          <w:spacing w:val="0"/>
          <w:position w:val="0"/>
          <w:sz w:val="22"/>
          <w:shd w:fill="auto" w:val="clear"/>
        </w:rPr>
      </w:pPr>
      <w:r>
        <w:rPr>
          <w:rFonts w:ascii="Arial" w:hAnsi="Arial" w:cs="Arial" w:eastAsia="Arial"/>
          <w:color w:val="1A1A2E"/>
          <w:spacing w:val="0"/>
          <w:position w:val="0"/>
          <w:sz w:val="22"/>
          <w:shd w:fill="auto" w:val="clear"/>
        </w:rPr>
        <w:t xml:space="preserve">Performance is evaluated using the full confusion matrix suite: Overall Accuracy, Producer's Accuracy (flood class), User's Accuracy (flood class), F1 Score, and the Critical Success Index (CSI), also known as the Threat Score, which is specifically designed for binary event detection and is less sensitive to class imbalance than overall accuracy (Wilks, 2011). The WMO (2008) recommended minimum threshold of 0.80 CSI is adopted as the operational acceptance criterion for flood detection components.</w:t>
      </w:r>
    </w:p>
    <w:p>
      <w:pPr>
        <w:spacing w:before="120" w:after="0" w:line="240"/>
        <w:ind w:right="0" w:left="0" w:firstLine="0"/>
        <w:jc w:val="left"/>
        <w:rPr>
          <w:rFonts w:ascii="Arial" w:hAnsi="Arial" w:cs="Arial" w:eastAsia="Arial"/>
          <w:color w:val="auto"/>
          <w:spacing w:val="0"/>
          <w:position w:val="0"/>
          <w:sz w:val="22"/>
          <w:shd w:fill="auto" w:val="clear"/>
        </w:rPr>
      </w:pPr>
    </w:p>
    <w:p>
      <w:pPr>
        <w:spacing w:before="320" w:after="120" w:line="240"/>
        <w:ind w:right="0" w:left="0" w:firstLine="0"/>
        <w:jc w:val="left"/>
        <w:rPr>
          <w:rFonts w:ascii="Arial" w:hAnsi="Arial" w:cs="Arial" w:eastAsia="Arial"/>
          <w:b/>
          <w:color w:val="0D7377"/>
          <w:spacing w:val="0"/>
          <w:position w:val="0"/>
          <w:sz w:val="27"/>
          <w:shd w:fill="auto" w:val="clear"/>
        </w:rPr>
      </w:pPr>
      <w:r>
        <w:rPr>
          <w:rFonts w:ascii="Arial" w:hAnsi="Arial" w:cs="Arial" w:eastAsia="Arial"/>
          <w:b/>
          <w:color w:val="0D7377"/>
          <w:spacing w:val="0"/>
          <w:position w:val="0"/>
          <w:sz w:val="27"/>
          <w:shd w:fill="auto" w:val="clear"/>
        </w:rPr>
        <w:t xml:space="preserve">5.2 Geo-Foundational Model Validation</w:t>
      </w:r>
    </w:p>
    <w:p>
      <w:pPr>
        <w:spacing w:before="60" w:after="100" w:line="240"/>
        <w:ind w:right="0" w:left="0" w:firstLine="0"/>
        <w:jc w:val="both"/>
        <w:rPr>
          <w:rFonts w:ascii="Arial" w:hAnsi="Arial" w:cs="Arial" w:eastAsia="Arial"/>
          <w:color w:val="auto"/>
          <w:spacing w:val="0"/>
          <w:position w:val="0"/>
          <w:sz w:val="22"/>
          <w:shd w:fill="auto" w:val="clear"/>
        </w:rPr>
      </w:pPr>
      <w:r>
        <w:rPr>
          <w:rFonts w:ascii="Arial" w:hAnsi="Arial" w:cs="Arial" w:eastAsia="Arial"/>
          <w:color w:val="1A1A2E"/>
          <w:spacing w:val="0"/>
          <w:position w:val="0"/>
          <w:sz w:val="22"/>
          <w:shd w:fill="auto" w:val="clear"/>
        </w:rPr>
        <w:t xml:space="preserve">The geo-foundational model is validated through a three-stage procedure: spatial cross-validation during training, held-out event validation on flood events from the most recent two seasons (withheld from training), and prospective operational validation during the first two years of Apex deployment.</w:t>
      </w:r>
    </w:p>
    <w:p>
      <w:pPr>
        <w:spacing w:before="80" w:after="0" w:line="240"/>
        <w:ind w:right="0" w:left="0" w:firstLine="0"/>
        <w:jc w:val="left"/>
        <w:rPr>
          <w:rFonts w:ascii="Arial" w:hAnsi="Arial" w:cs="Arial" w:eastAsia="Arial"/>
          <w:color w:val="auto"/>
          <w:spacing w:val="0"/>
          <w:position w:val="0"/>
          <w:sz w:val="22"/>
          <w:shd w:fill="auto" w:val="clear"/>
        </w:rPr>
      </w:pPr>
    </w:p>
    <w:p>
      <w:pPr>
        <w:spacing w:before="60" w:after="100" w:line="240"/>
        <w:ind w:right="0" w:left="0" w:firstLine="0"/>
        <w:jc w:val="both"/>
        <w:rPr>
          <w:rFonts w:ascii="Arial" w:hAnsi="Arial" w:cs="Arial" w:eastAsia="Arial"/>
          <w:color w:val="auto"/>
          <w:spacing w:val="0"/>
          <w:position w:val="0"/>
          <w:sz w:val="22"/>
          <w:shd w:fill="auto" w:val="clear"/>
        </w:rPr>
      </w:pPr>
      <w:r>
        <w:rPr>
          <w:rFonts w:ascii="Arial" w:hAnsi="Arial" w:cs="Arial" w:eastAsia="Arial"/>
          <w:color w:val="1A1A2E"/>
          <w:spacing w:val="0"/>
          <w:position w:val="0"/>
          <w:sz w:val="22"/>
          <w:shd w:fill="auto" w:val="clear"/>
        </w:rPr>
        <w:t xml:space="preserve">Model calibration is assessed using the Brier Skill Score (BSS), which measures the improvement of probabilistic flood hazard predictions over a climatological reference forecast (Murphy, 1973). Spatial skill assessment uses the Fractions Skill Score (FSS, Roberts and Lean, 2008), which evaluates model performance across a range of spatial scales and is better suited to assessing spatial flood pattern accuracy than point-based metrics. IoT sensor integration performance is assessed by comparing model depth estimates at sensor locations before and after data assimilation, quantifying the reduction in Mean Absolute Error (MAE) achieved through groundtruthing.</w:t>
      </w:r>
    </w:p>
    <w:p>
      <w:pPr>
        <w:spacing w:before="120" w:after="0" w:line="240"/>
        <w:ind w:right="0" w:left="0" w:firstLine="0"/>
        <w:jc w:val="left"/>
        <w:rPr>
          <w:rFonts w:ascii="Arial" w:hAnsi="Arial" w:cs="Arial" w:eastAsia="Arial"/>
          <w:color w:val="auto"/>
          <w:spacing w:val="0"/>
          <w:position w:val="0"/>
          <w:sz w:val="22"/>
          <w:shd w:fill="auto" w:val="clear"/>
        </w:rPr>
      </w:pPr>
    </w:p>
    <w:p>
      <w:pPr>
        <w:spacing w:before="320" w:after="120" w:line="240"/>
        <w:ind w:right="0" w:left="0" w:firstLine="0"/>
        <w:jc w:val="left"/>
        <w:rPr>
          <w:rFonts w:ascii="Arial" w:hAnsi="Arial" w:cs="Arial" w:eastAsia="Arial"/>
          <w:b/>
          <w:color w:val="0D7377"/>
          <w:spacing w:val="0"/>
          <w:position w:val="0"/>
          <w:sz w:val="27"/>
          <w:shd w:fill="auto" w:val="clear"/>
        </w:rPr>
      </w:pPr>
      <w:r>
        <w:rPr>
          <w:rFonts w:ascii="Arial" w:hAnsi="Arial" w:cs="Arial" w:eastAsia="Arial"/>
          <w:b/>
          <w:color w:val="0D7377"/>
          <w:spacing w:val="0"/>
          <w:position w:val="0"/>
          <w:sz w:val="27"/>
          <w:shd w:fill="auto" w:val="clear"/>
        </w:rPr>
        <w:t xml:space="preserve">5.3 Financial Metric Validation</w:t>
      </w:r>
    </w:p>
    <w:p>
      <w:pPr>
        <w:spacing w:before="60" w:after="100" w:line="240"/>
        <w:ind w:right="0" w:left="0" w:firstLine="0"/>
        <w:jc w:val="both"/>
        <w:rPr>
          <w:rFonts w:ascii="Arial" w:hAnsi="Arial" w:cs="Arial" w:eastAsia="Arial"/>
          <w:color w:val="auto"/>
          <w:spacing w:val="0"/>
          <w:position w:val="0"/>
          <w:sz w:val="22"/>
          <w:shd w:fill="auto" w:val="clear"/>
        </w:rPr>
      </w:pPr>
      <w:r>
        <w:rPr>
          <w:rFonts w:ascii="Arial" w:hAnsi="Arial" w:cs="Arial" w:eastAsia="Arial"/>
          <w:color w:val="1A1A2E"/>
          <w:spacing w:val="0"/>
          <w:position w:val="0"/>
          <w:sz w:val="22"/>
          <w:shd w:fill="auto" w:val="clear"/>
        </w:rPr>
        <w:t xml:space="preserve">Validation of financial risk metrics requires access to observed loan performance and insurance loss data from financial institution partners, which constitutes commercially sensitive information. The validation design adopts an anonymised retrospective approach: financial institution partners provide aggregate default rate data by geographic zone and time period, which is cross-referenced against Apex flood exposure scores for the same zones and periods to estimate the empirical relationship between modelled flood hazard and observed financial loss.</w:t>
      </w:r>
    </w:p>
    <w:p>
      <w:pPr>
        <w:spacing w:before="80" w:after="0" w:line="240"/>
        <w:ind w:right="0" w:left="0" w:firstLine="0"/>
        <w:jc w:val="left"/>
        <w:rPr>
          <w:rFonts w:ascii="Arial" w:hAnsi="Arial" w:cs="Arial" w:eastAsia="Arial"/>
          <w:color w:val="auto"/>
          <w:spacing w:val="0"/>
          <w:position w:val="0"/>
          <w:sz w:val="22"/>
          <w:shd w:fill="auto" w:val="clear"/>
        </w:rPr>
      </w:pPr>
    </w:p>
    <w:p>
      <w:pPr>
        <w:spacing w:before="60" w:after="100" w:line="240"/>
        <w:ind w:right="0" w:left="0" w:firstLine="0"/>
        <w:jc w:val="both"/>
        <w:rPr>
          <w:rFonts w:ascii="Arial" w:hAnsi="Arial" w:cs="Arial" w:eastAsia="Arial"/>
          <w:color w:val="auto"/>
          <w:spacing w:val="0"/>
          <w:position w:val="0"/>
          <w:sz w:val="22"/>
          <w:shd w:fill="auto" w:val="clear"/>
        </w:rPr>
      </w:pPr>
      <w:r>
        <w:rPr>
          <w:rFonts w:ascii="Arial" w:hAnsi="Arial" w:cs="Arial" w:eastAsia="Arial"/>
          <w:color w:val="1A1A2E"/>
          <w:spacing w:val="0"/>
          <w:position w:val="0"/>
          <w:sz w:val="22"/>
          <w:shd w:fill="auto" w:val="clear"/>
        </w:rPr>
        <w:t xml:space="preserve">This approach is consistent with the validation methodology used by Berg et al. (2021) in validating climate risk scores against mortgage default data, and by Klomp and Valckx (2014) in validating natural disaster risk proxies against banking sector fragility indicators. Statistical validation uses logistic regression with flood score as the predictor and observed default (binary outcome) as the dependent variable, with performance evaluated via Area Under the ROC Curve (AUC) targeting a minimum of 0.70 for operational financial metric deployment.</w:t>
      </w:r>
    </w:p>
    <w:p>
      <w:pPr>
        <w:spacing w:before="200" w:after="0" w:line="240"/>
        <w:ind w:right="0" w:left="0" w:firstLine="0"/>
        <w:jc w:val="left"/>
        <w:rPr>
          <w:rFonts w:ascii="Arial" w:hAnsi="Arial" w:cs="Arial" w:eastAsia="Arial"/>
          <w:color w:val="auto"/>
          <w:spacing w:val="0"/>
          <w:position w:val="0"/>
          <w:sz w:val="22"/>
          <w:shd w:fill="auto" w:val="clear"/>
        </w:rPr>
      </w:pPr>
    </w:p>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40"/>
        <w:ind w:right="0" w:left="0" w:firstLine="0"/>
        <w:jc w:val="left"/>
        <w:rPr>
          <w:rFonts w:ascii="Arial" w:hAnsi="Arial" w:cs="Arial" w:eastAsia="Arial"/>
          <w:color w:val="auto"/>
          <w:spacing w:val="0"/>
          <w:position w:val="0"/>
          <w:sz w:val="22"/>
          <w:shd w:fill="auto" w:val="clear"/>
        </w:rPr>
      </w:pPr>
    </w:p>
    <w:p>
      <w:pPr>
        <w:spacing w:before="480" w:after="160" w:line="240"/>
        <w:ind w:right="0" w:left="0" w:firstLine="0"/>
        <w:jc w:val="left"/>
        <w:rPr>
          <w:rFonts w:ascii="Arial" w:hAnsi="Arial" w:cs="Arial" w:eastAsia="Arial"/>
          <w:b/>
          <w:color w:val="1A3C5E"/>
          <w:spacing w:val="0"/>
          <w:position w:val="0"/>
          <w:sz w:val="34"/>
          <w:shd w:fill="auto" w:val="clear"/>
        </w:rPr>
      </w:pPr>
      <w:r>
        <w:rPr>
          <w:rFonts w:ascii="Arial" w:hAnsi="Arial" w:cs="Arial" w:eastAsia="Arial"/>
          <w:b/>
          <w:color w:val="1A3C5E"/>
          <w:spacing w:val="0"/>
          <w:position w:val="0"/>
          <w:sz w:val="34"/>
          <w:shd w:fill="auto" w:val="clear"/>
        </w:rPr>
        <w:t xml:space="preserve">6. Ethical Considerations and Regulatory Alignment</w:t>
      </w:r>
    </w:p>
    <w:p>
      <w:pPr>
        <w:spacing w:before="80" w:after="0" w:line="240"/>
        <w:ind w:right="0" w:left="0" w:firstLine="0"/>
        <w:jc w:val="left"/>
        <w:rPr>
          <w:rFonts w:ascii="Arial" w:hAnsi="Arial" w:cs="Arial" w:eastAsia="Arial"/>
          <w:color w:val="auto"/>
          <w:spacing w:val="0"/>
          <w:position w:val="0"/>
          <w:sz w:val="22"/>
          <w:shd w:fill="auto" w:val="clear"/>
        </w:rPr>
      </w:pPr>
    </w:p>
    <w:p>
      <w:pPr>
        <w:spacing w:before="320" w:after="120" w:line="240"/>
        <w:ind w:right="0" w:left="0" w:firstLine="0"/>
        <w:jc w:val="left"/>
        <w:rPr>
          <w:rFonts w:ascii="Arial" w:hAnsi="Arial" w:cs="Arial" w:eastAsia="Arial"/>
          <w:b/>
          <w:color w:val="0D7377"/>
          <w:spacing w:val="0"/>
          <w:position w:val="0"/>
          <w:sz w:val="27"/>
          <w:shd w:fill="auto" w:val="clear"/>
        </w:rPr>
      </w:pPr>
      <w:r>
        <w:rPr>
          <w:rFonts w:ascii="Arial" w:hAnsi="Arial" w:cs="Arial" w:eastAsia="Arial"/>
          <w:b/>
          <w:color w:val="0D7377"/>
          <w:spacing w:val="0"/>
          <w:position w:val="0"/>
          <w:sz w:val="27"/>
          <w:shd w:fill="auto" w:val="clear"/>
        </w:rPr>
        <w:t xml:space="preserve">6.1 Data Privacy and Community Consent</w:t>
      </w:r>
    </w:p>
    <w:p>
      <w:pPr>
        <w:spacing w:before="60" w:after="100" w:line="240"/>
        <w:ind w:right="0" w:left="0" w:firstLine="0"/>
        <w:jc w:val="both"/>
        <w:rPr>
          <w:rFonts w:ascii="Arial" w:hAnsi="Arial" w:cs="Arial" w:eastAsia="Arial"/>
          <w:color w:val="auto"/>
          <w:spacing w:val="0"/>
          <w:position w:val="0"/>
          <w:sz w:val="22"/>
          <w:shd w:fill="auto" w:val="clear"/>
        </w:rPr>
      </w:pPr>
      <w:r>
        <w:rPr>
          <w:rFonts w:ascii="Arial" w:hAnsi="Arial" w:cs="Arial" w:eastAsia="Arial"/>
          <w:color w:val="1A1A2E"/>
          <w:spacing w:val="0"/>
          <w:position w:val="0"/>
          <w:sz w:val="22"/>
          <w:shd w:fill="auto" w:val="clear"/>
        </w:rPr>
        <w:t xml:space="preserve">IoT sensor deployments on community land require free, prior, and informed consent from community leaders and relevant local authorities, consistent with the principles of the UN Declaration on the Rights of Indigenous Peoples (UNDRIP) and Kenya's Data Protection Act 2019. Sensor data collected at community locations is anonymised at the point of transmission and stored without individual-level attribution. Community partners receive access to the flood intelligence generated from sensors deployed in their area, ensuring that the communities bearing the monitoring infrastructure also benefit from it.</w:t>
      </w:r>
    </w:p>
    <w:p>
      <w:pPr>
        <w:spacing w:before="120" w:after="0" w:line="240"/>
        <w:ind w:right="0" w:left="0" w:firstLine="0"/>
        <w:jc w:val="left"/>
        <w:rPr>
          <w:rFonts w:ascii="Arial" w:hAnsi="Arial" w:cs="Arial" w:eastAsia="Arial"/>
          <w:color w:val="auto"/>
          <w:spacing w:val="0"/>
          <w:position w:val="0"/>
          <w:sz w:val="22"/>
          <w:shd w:fill="auto" w:val="clear"/>
        </w:rPr>
      </w:pPr>
    </w:p>
    <w:p>
      <w:pPr>
        <w:spacing w:before="320" w:after="120" w:line="240"/>
        <w:ind w:right="0" w:left="0" w:firstLine="0"/>
        <w:jc w:val="left"/>
        <w:rPr>
          <w:rFonts w:ascii="Arial" w:hAnsi="Arial" w:cs="Arial" w:eastAsia="Arial"/>
          <w:b/>
          <w:color w:val="0D7377"/>
          <w:spacing w:val="0"/>
          <w:position w:val="0"/>
          <w:sz w:val="27"/>
          <w:shd w:fill="auto" w:val="clear"/>
        </w:rPr>
      </w:pPr>
      <w:r>
        <w:rPr>
          <w:rFonts w:ascii="Arial" w:hAnsi="Arial" w:cs="Arial" w:eastAsia="Arial"/>
          <w:b/>
          <w:color w:val="0D7377"/>
          <w:spacing w:val="0"/>
          <w:position w:val="0"/>
          <w:sz w:val="27"/>
          <w:shd w:fill="auto" w:val="clear"/>
        </w:rPr>
        <w:t xml:space="preserve">6.2 Algorithmic Fairness in Credit Risk Applications</w:t>
      </w:r>
    </w:p>
    <w:p>
      <w:pPr>
        <w:spacing w:before="60" w:after="100" w:line="240"/>
        <w:ind w:right="0" w:left="0" w:firstLine="0"/>
        <w:jc w:val="both"/>
        <w:rPr>
          <w:rFonts w:ascii="Arial" w:hAnsi="Arial" w:cs="Arial" w:eastAsia="Arial"/>
          <w:color w:val="auto"/>
          <w:spacing w:val="0"/>
          <w:position w:val="0"/>
          <w:sz w:val="22"/>
          <w:shd w:fill="auto" w:val="clear"/>
        </w:rPr>
      </w:pPr>
      <w:r>
        <w:rPr>
          <w:rFonts w:ascii="Arial" w:hAnsi="Arial" w:cs="Arial" w:eastAsia="Arial"/>
          <w:color w:val="1A1A2E"/>
          <w:spacing w:val="0"/>
          <w:position w:val="0"/>
          <w:sz w:val="22"/>
          <w:shd w:fill="auto" w:val="clear"/>
        </w:rPr>
        <w:t xml:space="preserve">The use of flood risk scores in credit risk assessment raises concerns about potential differential impact on borrowers in high-flood-risk areas, who may disproportionately belong to lower-income demographic groups. The Apex methodology addresses this through a transparency-first approach: flood risk scores are provided as supplementary information to credit underwriters rather than as automated decision rules, preserving human judgment in lending decisions. Disparate impact analysis is conducted quarterly, comparing the distribution of flood risk score adjustments across demographic groups to identify and correct for unintended discriminatory patterns.</w:t>
      </w:r>
    </w:p>
    <w:p>
      <w:pPr>
        <w:spacing w:before="120" w:after="0" w:line="240"/>
        <w:ind w:right="0" w:left="0" w:firstLine="0"/>
        <w:jc w:val="left"/>
        <w:rPr>
          <w:rFonts w:ascii="Arial" w:hAnsi="Arial" w:cs="Arial" w:eastAsia="Arial"/>
          <w:color w:val="auto"/>
          <w:spacing w:val="0"/>
          <w:position w:val="0"/>
          <w:sz w:val="22"/>
          <w:shd w:fill="auto" w:val="clear"/>
        </w:rPr>
      </w:pPr>
    </w:p>
    <w:p>
      <w:pPr>
        <w:spacing w:before="320" w:after="120" w:line="240"/>
        <w:ind w:right="0" w:left="0" w:firstLine="0"/>
        <w:jc w:val="left"/>
        <w:rPr>
          <w:rFonts w:ascii="Arial" w:hAnsi="Arial" w:cs="Arial" w:eastAsia="Arial"/>
          <w:b/>
          <w:color w:val="0D7377"/>
          <w:spacing w:val="0"/>
          <w:position w:val="0"/>
          <w:sz w:val="27"/>
          <w:shd w:fill="auto" w:val="clear"/>
        </w:rPr>
      </w:pPr>
      <w:r>
        <w:rPr>
          <w:rFonts w:ascii="Arial" w:hAnsi="Arial" w:cs="Arial" w:eastAsia="Arial"/>
          <w:b/>
          <w:color w:val="0D7377"/>
          <w:spacing w:val="0"/>
          <w:position w:val="0"/>
          <w:sz w:val="27"/>
          <w:shd w:fill="auto" w:val="clear"/>
        </w:rPr>
        <w:t xml:space="preserve">6.3 Regulatory Framework Alignment</w:t>
      </w:r>
    </w:p>
    <w:p>
      <w:pPr>
        <w:spacing w:before="80" w:after="0" w:line="240"/>
        <w:ind w:right="0" w:left="0" w:firstLine="0"/>
        <w:jc w:val="left"/>
        <w:rPr>
          <w:rFonts w:ascii="Arial" w:hAnsi="Arial" w:cs="Arial" w:eastAsia="Arial"/>
          <w:color w:val="auto"/>
          <w:spacing w:val="0"/>
          <w:position w:val="0"/>
          <w:sz w:val="22"/>
          <w:shd w:fill="auto" w:val="clear"/>
        </w:rPr>
      </w:pPr>
    </w:p>
    <w:tbl>
      <w:tblPr/>
      <w:tblGrid>
        <w:gridCol w:w="2800"/>
        <w:gridCol w:w="6560"/>
      </w:tblGrid>
      <w:tr>
        <w:trPr>
          <w:trHeight w:val="1" w:hRule="atLeast"/>
          <w:jc w:val="left"/>
        </w:trPr>
        <w:tc>
          <w:tcPr>
            <w:tcW w:w="2800" w:type="dxa"/>
            <w:tcBorders>
              <w:top w:val="single" w:color="cccccc" w:sz="1"/>
              <w:left w:val="single" w:color="cccccc" w:sz="1"/>
              <w:bottom w:val="single" w:color="cccccc" w:sz="1"/>
              <w:right w:val="single" w:color="cccccc" w:sz="1"/>
            </w:tcBorders>
            <w:shd w:color="000000" w:fill="1a3c5e" w:val="clear"/>
            <w:tcMar>
              <w:left w:w="160" w:type="dxa"/>
              <w:right w:w="160" w:type="dxa"/>
            </w:tcMar>
            <w:vAlign w:val="center"/>
          </w:tcPr>
          <w:p>
            <w:pPr>
              <w:spacing w:before="0" w:after="0" w:line="240"/>
              <w:ind w:right="0" w:left="0" w:firstLine="0"/>
              <w:jc w:val="left"/>
              <w:rPr>
                <w:spacing w:val="0"/>
                <w:position w:val="0"/>
                <w:shd w:fill="auto" w:val="clear"/>
              </w:rPr>
            </w:pPr>
            <w:r>
              <w:rPr>
                <w:rFonts w:ascii="Arial" w:hAnsi="Arial" w:cs="Arial" w:eastAsia="Arial"/>
                <w:b/>
                <w:color w:val="FFFFFF"/>
                <w:spacing w:val="0"/>
                <w:position w:val="0"/>
                <w:sz w:val="21"/>
                <w:shd w:fill="auto" w:val="clear"/>
              </w:rPr>
              <w:t xml:space="preserve">Framework</w:t>
            </w:r>
          </w:p>
        </w:tc>
        <w:tc>
          <w:tcPr>
            <w:tcW w:w="6560" w:type="dxa"/>
            <w:tcBorders>
              <w:top w:val="single" w:color="cccccc" w:sz="1"/>
              <w:left w:val="single" w:color="cccccc" w:sz="1"/>
              <w:bottom w:val="single" w:color="cccccc" w:sz="1"/>
              <w:right w:val="single" w:color="cccccc" w:sz="1"/>
            </w:tcBorders>
            <w:shd w:color="000000" w:fill="auto" w:val="clear"/>
            <w:tcMar>
              <w:left w:w="160" w:type="dxa"/>
              <w:right w:w="160" w:type="dxa"/>
            </w:tcMar>
            <w:vAlign w:val="top"/>
          </w:tcPr>
          <w:p>
            <w:pPr>
              <w:spacing w:before="0" w:after="0" w:line="240"/>
              <w:ind w:right="0" w:left="0" w:firstLine="0"/>
              <w:jc w:val="both"/>
              <w:rPr>
                <w:spacing w:val="0"/>
                <w:position w:val="0"/>
                <w:shd w:fill="auto" w:val="clear"/>
              </w:rPr>
            </w:pPr>
            <w:r>
              <w:rPr>
                <w:rFonts w:ascii="Arial" w:hAnsi="Arial" w:cs="Arial" w:eastAsia="Arial"/>
                <w:b/>
                <w:color w:val="FFFFFF"/>
                <w:spacing w:val="0"/>
                <w:position w:val="0"/>
                <w:sz w:val="21"/>
                <w:shd w:fill="auto" w:val="clear"/>
              </w:rPr>
              <w:t xml:space="preserve">How Apex Methodology Aligns</w:t>
            </w:r>
          </w:p>
        </w:tc>
      </w:tr>
      <w:tr>
        <w:trPr>
          <w:trHeight w:val="1" w:hRule="atLeast"/>
          <w:jc w:val="left"/>
        </w:trPr>
        <w:tc>
          <w:tcPr>
            <w:tcW w:w="2800" w:type="dxa"/>
            <w:tcBorders>
              <w:top w:val="single" w:color="cccccc" w:sz="1"/>
              <w:left w:val="single" w:color="cccccc" w:sz="1"/>
              <w:bottom w:val="single" w:color="cccccc" w:sz="1"/>
              <w:right w:val="single" w:color="cccccc" w:sz="1"/>
            </w:tcBorders>
            <w:shd w:color="000000" w:fill="f5f7fa" w:val="clear"/>
            <w:tcMar>
              <w:left w:w="160" w:type="dxa"/>
              <w:right w:w="160" w:type="dxa"/>
            </w:tcMar>
            <w:vAlign w:val="center"/>
          </w:tcPr>
          <w:p>
            <w:pPr>
              <w:spacing w:before="0" w:after="0" w:line="240"/>
              <w:ind w:right="0" w:left="0" w:firstLine="0"/>
              <w:jc w:val="left"/>
              <w:rPr>
                <w:spacing w:val="0"/>
                <w:position w:val="0"/>
                <w:shd w:fill="auto" w:val="clear"/>
              </w:rPr>
            </w:pPr>
            <w:r>
              <w:rPr>
                <w:rFonts w:ascii="Arial" w:hAnsi="Arial" w:cs="Arial" w:eastAsia="Arial"/>
                <w:color w:val="1A3C5E"/>
                <w:spacing w:val="0"/>
                <w:position w:val="0"/>
                <w:sz w:val="21"/>
                <w:shd w:fill="auto" w:val="clear"/>
              </w:rPr>
              <w:t xml:space="preserve">TCFD (Task Force on Climate-related Financial Disclosures, 2017)</w:t>
            </w:r>
          </w:p>
        </w:tc>
        <w:tc>
          <w:tcPr>
            <w:tcW w:w="6560" w:type="dxa"/>
            <w:tcBorders>
              <w:top w:val="single" w:color="cccccc" w:sz="1"/>
              <w:left w:val="single" w:color="cccccc" w:sz="1"/>
              <w:bottom w:val="single" w:color="cccccc" w:sz="1"/>
              <w:right w:val="single" w:color="cccccc" w:sz="1"/>
            </w:tcBorders>
            <w:shd w:color="000000" w:fill="ffffff" w:val="clear"/>
            <w:tcMar>
              <w:left w:w="160" w:type="dxa"/>
              <w:right w:w="160" w:type="dxa"/>
            </w:tcMar>
            <w:vAlign w:val="top"/>
          </w:tcPr>
          <w:p>
            <w:pPr>
              <w:spacing w:before="0" w:after="0" w:line="240"/>
              <w:ind w:right="0" w:left="0" w:firstLine="0"/>
              <w:jc w:val="both"/>
              <w:rPr>
                <w:spacing w:val="0"/>
                <w:position w:val="0"/>
                <w:shd w:fill="auto" w:val="clear"/>
              </w:rPr>
            </w:pPr>
            <w:r>
              <w:rPr>
                <w:rFonts w:ascii="Arial" w:hAnsi="Arial" w:cs="Arial" w:eastAsia="Arial"/>
                <w:color w:val="1A1A2E"/>
                <w:spacing w:val="0"/>
                <w:position w:val="0"/>
                <w:sz w:val="21"/>
                <w:shd w:fill="auto" w:val="clear"/>
              </w:rPr>
              <w:t xml:space="preserve">Apex provides the physical risk data and scenario analysis outputs required for TCFD-aligned disclosure, covering both acute flood risk (event-based) and scenario-adjusted forward-looking risk under 1.5C, 2C, and 4C warming pathways.</w:t>
            </w:r>
          </w:p>
        </w:tc>
      </w:tr>
      <w:tr>
        <w:trPr>
          <w:trHeight w:val="1" w:hRule="atLeast"/>
          <w:jc w:val="left"/>
        </w:trPr>
        <w:tc>
          <w:tcPr>
            <w:tcW w:w="2800" w:type="dxa"/>
            <w:tcBorders>
              <w:top w:val="single" w:color="cccccc" w:sz="1"/>
              <w:left w:val="single" w:color="cccccc" w:sz="1"/>
              <w:bottom w:val="single" w:color="cccccc" w:sz="1"/>
              <w:right w:val="single" w:color="cccccc" w:sz="1"/>
            </w:tcBorders>
            <w:shd w:color="000000" w:fill="f5f7fa" w:val="clear"/>
            <w:tcMar>
              <w:left w:w="160" w:type="dxa"/>
              <w:right w:w="160" w:type="dxa"/>
            </w:tcMar>
            <w:vAlign w:val="center"/>
          </w:tcPr>
          <w:p>
            <w:pPr>
              <w:spacing w:before="0" w:after="0" w:line="240"/>
              <w:ind w:right="0" w:left="0" w:firstLine="0"/>
              <w:jc w:val="left"/>
              <w:rPr>
                <w:spacing w:val="0"/>
                <w:position w:val="0"/>
                <w:shd w:fill="auto" w:val="clear"/>
              </w:rPr>
            </w:pPr>
            <w:r>
              <w:rPr>
                <w:rFonts w:ascii="Arial" w:hAnsi="Arial" w:cs="Arial" w:eastAsia="Arial"/>
                <w:color w:val="1A3C5E"/>
                <w:spacing w:val="0"/>
                <w:position w:val="0"/>
                <w:sz w:val="21"/>
                <w:shd w:fill="auto" w:val="clear"/>
              </w:rPr>
              <w:t xml:space="preserve">NGFS Climate Scenarios (2020)</w:t>
            </w:r>
          </w:p>
        </w:tc>
        <w:tc>
          <w:tcPr>
            <w:tcW w:w="6560" w:type="dxa"/>
            <w:tcBorders>
              <w:top w:val="single" w:color="cccccc" w:sz="1"/>
              <w:left w:val="single" w:color="cccccc" w:sz="1"/>
              <w:bottom w:val="single" w:color="cccccc" w:sz="1"/>
              <w:right w:val="single" w:color="cccccc" w:sz="1"/>
            </w:tcBorders>
            <w:shd w:color="000000" w:fill="ffffff" w:val="clear"/>
            <w:tcMar>
              <w:left w:w="160" w:type="dxa"/>
              <w:right w:w="160" w:type="dxa"/>
            </w:tcMar>
            <w:vAlign w:val="top"/>
          </w:tcPr>
          <w:p>
            <w:pPr>
              <w:spacing w:before="0" w:after="0" w:line="240"/>
              <w:ind w:right="0" w:left="0" w:firstLine="0"/>
              <w:jc w:val="both"/>
              <w:rPr>
                <w:spacing w:val="0"/>
                <w:position w:val="0"/>
                <w:shd w:fill="auto" w:val="clear"/>
              </w:rPr>
            </w:pPr>
            <w:r>
              <w:rPr>
                <w:rFonts w:ascii="Arial" w:hAnsi="Arial" w:cs="Arial" w:eastAsia="Arial"/>
                <w:color w:val="1A1A2E"/>
                <w:spacing w:val="0"/>
                <w:position w:val="0"/>
                <w:sz w:val="21"/>
                <w:shd w:fill="auto" w:val="clear"/>
              </w:rPr>
              <w:t xml:space="preserve">The geo-foundational model incorporates CMIP6 climate projections aligned with NGFS scenario definitions, enabling institutions to conduct climate scenario analysis using the internationally recognised scenarios adopted by central banks and financial supervisors globally.</w:t>
            </w:r>
          </w:p>
        </w:tc>
      </w:tr>
      <w:tr>
        <w:trPr>
          <w:trHeight w:val="1" w:hRule="atLeast"/>
          <w:jc w:val="left"/>
        </w:trPr>
        <w:tc>
          <w:tcPr>
            <w:tcW w:w="2800" w:type="dxa"/>
            <w:tcBorders>
              <w:top w:val="single" w:color="cccccc" w:sz="1"/>
              <w:left w:val="single" w:color="cccccc" w:sz="1"/>
              <w:bottom w:val="single" w:color="cccccc" w:sz="1"/>
              <w:right w:val="single" w:color="cccccc" w:sz="1"/>
            </w:tcBorders>
            <w:shd w:color="000000" w:fill="f5f7fa" w:val="clear"/>
            <w:tcMar>
              <w:left w:w="160" w:type="dxa"/>
              <w:right w:w="160" w:type="dxa"/>
            </w:tcMar>
            <w:vAlign w:val="center"/>
          </w:tcPr>
          <w:p>
            <w:pPr>
              <w:spacing w:before="0" w:after="0" w:line="240"/>
              <w:ind w:right="0" w:left="0" w:firstLine="0"/>
              <w:jc w:val="left"/>
              <w:rPr>
                <w:spacing w:val="0"/>
                <w:position w:val="0"/>
                <w:shd w:fill="auto" w:val="clear"/>
              </w:rPr>
            </w:pPr>
            <w:r>
              <w:rPr>
                <w:rFonts w:ascii="Arial" w:hAnsi="Arial" w:cs="Arial" w:eastAsia="Arial"/>
                <w:color w:val="1A3C5E"/>
                <w:spacing w:val="0"/>
                <w:position w:val="0"/>
                <w:sz w:val="21"/>
                <w:shd w:fill="auto" w:val="clear"/>
              </w:rPr>
              <w:t xml:space="preserve">Kenya Insurance Regulatory Authority (IRA)</w:t>
            </w:r>
          </w:p>
        </w:tc>
        <w:tc>
          <w:tcPr>
            <w:tcW w:w="6560" w:type="dxa"/>
            <w:tcBorders>
              <w:top w:val="single" w:color="cccccc" w:sz="1"/>
              <w:left w:val="single" w:color="cccccc" w:sz="1"/>
              <w:bottom w:val="single" w:color="cccccc" w:sz="1"/>
              <w:right w:val="single" w:color="cccccc" w:sz="1"/>
            </w:tcBorders>
            <w:shd w:color="000000" w:fill="ffffff" w:val="clear"/>
            <w:tcMar>
              <w:left w:w="160" w:type="dxa"/>
              <w:right w:w="160" w:type="dxa"/>
            </w:tcMar>
            <w:vAlign w:val="top"/>
          </w:tcPr>
          <w:p>
            <w:pPr>
              <w:spacing w:before="0" w:after="0" w:line="240"/>
              <w:ind w:right="0" w:left="0" w:firstLine="0"/>
              <w:jc w:val="both"/>
              <w:rPr>
                <w:spacing w:val="0"/>
                <w:position w:val="0"/>
                <w:shd w:fill="auto" w:val="clear"/>
              </w:rPr>
            </w:pPr>
            <w:r>
              <w:rPr>
                <w:rFonts w:ascii="Arial" w:hAnsi="Arial" w:cs="Arial" w:eastAsia="Arial"/>
                <w:color w:val="1A1A2E"/>
                <w:spacing w:val="0"/>
                <w:position w:val="0"/>
                <w:sz w:val="21"/>
                <w:shd w:fill="auto" w:val="clear"/>
              </w:rPr>
              <w:t xml:space="preserve">Parametric product triggers are designed to meet IRA requirements for objectivity, transparency, and independence of trigger measurement. IoT sensor data is archived with tamper-evident logging for regulatory audit purposes.</w:t>
            </w:r>
          </w:p>
        </w:tc>
      </w:tr>
      <w:tr>
        <w:trPr>
          <w:trHeight w:val="1" w:hRule="atLeast"/>
          <w:jc w:val="left"/>
        </w:trPr>
        <w:tc>
          <w:tcPr>
            <w:tcW w:w="2800" w:type="dxa"/>
            <w:tcBorders>
              <w:top w:val="single" w:color="cccccc" w:sz="1"/>
              <w:left w:val="single" w:color="cccccc" w:sz="1"/>
              <w:bottom w:val="single" w:color="cccccc" w:sz="1"/>
              <w:right w:val="single" w:color="cccccc" w:sz="1"/>
            </w:tcBorders>
            <w:shd w:color="000000" w:fill="f5f7fa" w:val="clear"/>
            <w:tcMar>
              <w:left w:w="160" w:type="dxa"/>
              <w:right w:w="160" w:type="dxa"/>
            </w:tcMar>
            <w:vAlign w:val="center"/>
          </w:tcPr>
          <w:p>
            <w:pPr>
              <w:spacing w:before="0" w:after="0" w:line="240"/>
              <w:ind w:right="0" w:left="0" w:firstLine="0"/>
              <w:jc w:val="left"/>
              <w:rPr>
                <w:spacing w:val="0"/>
                <w:position w:val="0"/>
                <w:shd w:fill="auto" w:val="clear"/>
              </w:rPr>
            </w:pPr>
            <w:r>
              <w:rPr>
                <w:rFonts w:ascii="Arial" w:hAnsi="Arial" w:cs="Arial" w:eastAsia="Arial"/>
                <w:color w:val="1A3C5E"/>
                <w:spacing w:val="0"/>
                <w:position w:val="0"/>
                <w:sz w:val="21"/>
                <w:shd w:fill="auto" w:val="clear"/>
              </w:rPr>
              <w:t xml:space="preserve">Central Bank of Kenya Climate Risk Guidelines</w:t>
            </w:r>
          </w:p>
        </w:tc>
        <w:tc>
          <w:tcPr>
            <w:tcW w:w="6560" w:type="dxa"/>
            <w:tcBorders>
              <w:top w:val="single" w:color="cccccc" w:sz="1"/>
              <w:left w:val="single" w:color="cccccc" w:sz="1"/>
              <w:bottom w:val="single" w:color="cccccc" w:sz="1"/>
              <w:right w:val="single" w:color="cccccc" w:sz="1"/>
            </w:tcBorders>
            <w:shd w:color="000000" w:fill="ffffff" w:val="clear"/>
            <w:tcMar>
              <w:left w:w="160" w:type="dxa"/>
              <w:right w:w="160" w:type="dxa"/>
            </w:tcMar>
            <w:vAlign w:val="top"/>
          </w:tcPr>
          <w:p>
            <w:pPr>
              <w:spacing w:before="0" w:after="0" w:line="240"/>
              <w:ind w:right="0" w:left="0" w:firstLine="0"/>
              <w:jc w:val="both"/>
              <w:rPr>
                <w:spacing w:val="0"/>
                <w:position w:val="0"/>
                <w:shd w:fill="auto" w:val="clear"/>
              </w:rPr>
            </w:pPr>
            <w:r>
              <w:rPr>
                <w:rFonts w:ascii="Arial" w:hAnsi="Arial" w:cs="Arial" w:eastAsia="Arial"/>
                <w:color w:val="1A1A2E"/>
                <w:spacing w:val="0"/>
                <w:position w:val="0"/>
                <w:sz w:val="21"/>
                <w:shd w:fill="auto" w:val="clear"/>
              </w:rPr>
              <w:t xml:space="preserve">Apex financial metrics (PD adjustment, LGD adjustment, EAL) are structured to align with emerging CBK guidelines on climate risk integration into prudential frameworks, consistent with the CBK's commitment to NGFS membership obligations.</w:t>
            </w:r>
          </w:p>
        </w:tc>
      </w:tr>
      <w:tr>
        <w:trPr>
          <w:trHeight w:val="1" w:hRule="atLeast"/>
          <w:jc w:val="left"/>
        </w:trPr>
        <w:tc>
          <w:tcPr>
            <w:tcW w:w="2800" w:type="dxa"/>
            <w:tcBorders>
              <w:top w:val="single" w:color="cccccc" w:sz="1"/>
              <w:left w:val="single" w:color="cccccc" w:sz="1"/>
              <w:bottom w:val="single" w:color="cccccc" w:sz="1"/>
              <w:right w:val="single" w:color="cccccc" w:sz="1"/>
            </w:tcBorders>
            <w:shd w:color="000000" w:fill="f5f7fa" w:val="clear"/>
            <w:tcMar>
              <w:left w:w="160" w:type="dxa"/>
              <w:right w:w="160" w:type="dxa"/>
            </w:tcMar>
            <w:vAlign w:val="center"/>
          </w:tcPr>
          <w:p>
            <w:pPr>
              <w:spacing w:before="0" w:after="0" w:line="240"/>
              <w:ind w:right="0" w:left="0" w:firstLine="0"/>
              <w:jc w:val="left"/>
              <w:rPr>
                <w:spacing w:val="0"/>
                <w:position w:val="0"/>
                <w:shd w:fill="auto" w:val="clear"/>
              </w:rPr>
            </w:pPr>
            <w:r>
              <w:rPr>
                <w:rFonts w:ascii="Arial" w:hAnsi="Arial" w:cs="Arial" w:eastAsia="Arial"/>
                <w:color w:val="1A3C5E"/>
                <w:spacing w:val="0"/>
                <w:position w:val="0"/>
                <w:sz w:val="21"/>
                <w:shd w:fill="auto" w:val="clear"/>
              </w:rPr>
              <w:t xml:space="preserve">CSRD (Corporate Sustainability Reporting Directive)</w:t>
            </w:r>
          </w:p>
        </w:tc>
        <w:tc>
          <w:tcPr>
            <w:tcW w:w="6560" w:type="dxa"/>
            <w:tcBorders>
              <w:top w:val="single" w:color="cccccc" w:sz="1"/>
              <w:left w:val="single" w:color="cccccc" w:sz="1"/>
              <w:bottom w:val="single" w:color="cccccc" w:sz="1"/>
              <w:right w:val="single" w:color="cccccc" w:sz="1"/>
            </w:tcBorders>
            <w:shd w:color="000000" w:fill="ffffff" w:val="clear"/>
            <w:tcMar>
              <w:left w:w="160" w:type="dxa"/>
              <w:right w:w="160" w:type="dxa"/>
            </w:tcMar>
            <w:vAlign w:val="top"/>
          </w:tcPr>
          <w:p>
            <w:pPr>
              <w:spacing w:before="0" w:after="0" w:line="240"/>
              <w:ind w:right="0" w:left="0" w:firstLine="0"/>
              <w:jc w:val="both"/>
              <w:rPr>
                <w:spacing w:val="0"/>
                <w:position w:val="0"/>
                <w:shd w:fill="auto" w:val="clear"/>
              </w:rPr>
            </w:pPr>
            <w:r>
              <w:rPr>
                <w:rFonts w:ascii="Arial" w:hAnsi="Arial" w:cs="Arial" w:eastAsia="Arial"/>
                <w:color w:val="1A1A2E"/>
                <w:spacing w:val="0"/>
                <w:position w:val="0"/>
                <w:sz w:val="21"/>
                <w:shd w:fill="auto" w:val="clear"/>
              </w:rPr>
              <w:t xml:space="preserve">For institutions with European operations or European investor relationships, Apex provides the asset-level physical risk data required for double materiality assessments under CSRD, covering flood hazard as a material physical climate risk.</w:t>
            </w:r>
          </w:p>
        </w:tc>
      </w:tr>
    </w:tbl>
    <w:p>
      <w:pPr>
        <w:spacing w:before="200" w:after="0" w:line="240"/>
        <w:ind w:right="0" w:left="0" w:firstLine="0"/>
        <w:jc w:val="left"/>
        <w:rPr>
          <w:rFonts w:ascii="Arial" w:hAnsi="Arial" w:cs="Arial" w:eastAsia="Arial"/>
          <w:color w:val="auto"/>
          <w:spacing w:val="0"/>
          <w:position w:val="0"/>
          <w:sz w:val="22"/>
          <w:shd w:fill="auto" w:val="clear"/>
        </w:rPr>
      </w:pPr>
    </w:p>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40"/>
        <w:ind w:right="0" w:left="0" w:firstLine="0"/>
        <w:jc w:val="left"/>
        <w:rPr>
          <w:rFonts w:ascii="Arial" w:hAnsi="Arial" w:cs="Arial" w:eastAsia="Arial"/>
          <w:color w:val="auto"/>
          <w:spacing w:val="0"/>
          <w:position w:val="0"/>
          <w:sz w:val="22"/>
          <w:shd w:fill="auto" w:val="clear"/>
        </w:rPr>
      </w:pPr>
    </w:p>
    <w:p>
      <w:pPr>
        <w:spacing w:before="480" w:after="160" w:line="240"/>
        <w:ind w:right="0" w:left="0" w:firstLine="0"/>
        <w:jc w:val="left"/>
        <w:rPr>
          <w:rFonts w:ascii="Arial" w:hAnsi="Arial" w:cs="Arial" w:eastAsia="Arial"/>
          <w:b/>
          <w:color w:val="1A3C5E"/>
          <w:spacing w:val="0"/>
          <w:position w:val="0"/>
          <w:sz w:val="34"/>
          <w:shd w:fill="auto" w:val="clear"/>
        </w:rPr>
      </w:pPr>
      <w:r>
        <w:rPr>
          <w:rFonts w:ascii="Arial" w:hAnsi="Arial" w:cs="Arial" w:eastAsia="Arial"/>
          <w:b/>
          <w:color w:val="1A3C5E"/>
          <w:spacing w:val="0"/>
          <w:position w:val="0"/>
          <w:sz w:val="34"/>
          <w:shd w:fill="auto" w:val="clear"/>
        </w:rPr>
        <w:t xml:space="preserve">7. Known Limitations and Future Research Directions</w:t>
      </w:r>
    </w:p>
    <w:p>
      <w:pPr>
        <w:spacing w:before="80" w:after="0" w:line="240"/>
        <w:ind w:right="0" w:left="0" w:firstLine="0"/>
        <w:jc w:val="left"/>
        <w:rPr>
          <w:rFonts w:ascii="Arial" w:hAnsi="Arial" w:cs="Arial" w:eastAsia="Arial"/>
          <w:color w:val="auto"/>
          <w:spacing w:val="0"/>
          <w:position w:val="0"/>
          <w:sz w:val="22"/>
          <w:shd w:fill="auto" w:val="clear"/>
        </w:rPr>
      </w:pPr>
    </w:p>
    <w:p>
      <w:pPr>
        <w:spacing w:before="320" w:after="120" w:line="240"/>
        <w:ind w:right="0" w:left="0" w:firstLine="0"/>
        <w:jc w:val="left"/>
        <w:rPr>
          <w:rFonts w:ascii="Arial" w:hAnsi="Arial" w:cs="Arial" w:eastAsia="Arial"/>
          <w:b/>
          <w:color w:val="0D7377"/>
          <w:spacing w:val="0"/>
          <w:position w:val="0"/>
          <w:sz w:val="27"/>
          <w:shd w:fill="auto" w:val="clear"/>
        </w:rPr>
      </w:pPr>
      <w:r>
        <w:rPr>
          <w:rFonts w:ascii="Arial" w:hAnsi="Arial" w:cs="Arial" w:eastAsia="Arial"/>
          <w:b/>
          <w:color w:val="0D7377"/>
          <w:spacing w:val="0"/>
          <w:position w:val="0"/>
          <w:sz w:val="27"/>
          <w:shd w:fill="auto" w:val="clear"/>
        </w:rPr>
        <w:t xml:space="preserve">7.1 Current Limitations</w:t>
      </w:r>
    </w:p>
    <w:p>
      <w:pPr>
        <w:numPr>
          <w:ilvl w:val="0"/>
          <w:numId w:val="336"/>
        </w:numPr>
        <w:spacing w:before="60" w:after="6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1A1A2E"/>
          <w:spacing w:val="0"/>
          <w:position w:val="0"/>
          <w:sz w:val="22"/>
          <w:shd w:fill="auto" w:val="clear"/>
        </w:rPr>
        <w:t xml:space="preserve">SAR temporal resolution: The 6-12 day Sentinel-1 revisit cycle creates gaps in flood monitoring between satellite passes. Commercial SAR supplements this but introduces cost and data integration complexity. The IoT sensor network partially compensates by providing continuous in-situ monitoring between satellite acquisitions.</w:t>
      </w:r>
    </w:p>
    <w:p>
      <w:pPr>
        <w:numPr>
          <w:ilvl w:val="0"/>
          <w:numId w:val="336"/>
        </w:numPr>
        <w:spacing w:before="60" w:after="6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1A1A2E"/>
          <w:spacing w:val="0"/>
          <w:position w:val="0"/>
          <w:sz w:val="22"/>
          <w:shd w:fill="auto" w:val="clear"/>
        </w:rPr>
        <w:t xml:space="preserve">DEM accuracy in urban areas: SRTM and Copernicus DEM 30m products are known to overestimate elevation in dense urban environments due to building structure interference, reducing hydraulic model accuracy for urban flash flood events in cities like Nairobi. Very high-resolution LiDAR DEMs are available for limited urban areas and will be integrated as coverage expands.</w:t>
      </w:r>
    </w:p>
    <w:p>
      <w:pPr>
        <w:numPr>
          <w:ilvl w:val="0"/>
          <w:numId w:val="336"/>
        </w:numPr>
        <w:spacing w:before="60" w:after="6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1A1A2E"/>
          <w:spacing w:val="0"/>
          <w:position w:val="0"/>
          <w:sz w:val="22"/>
          <w:shd w:fill="auto" w:val="clear"/>
        </w:rPr>
        <w:t xml:space="preserve">Training data imbalance: Historical labelled flood event data for East Africa is temporally clustered around well-documented events (2018, 2019, 2023) and geographically concentrated in accessible areas, potentially introducing spatial bias into geo-foundational model training.</w:t>
      </w:r>
    </w:p>
    <w:p>
      <w:pPr>
        <w:numPr>
          <w:ilvl w:val="0"/>
          <w:numId w:val="336"/>
        </w:numPr>
        <w:spacing w:before="60" w:after="6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1A1A2E"/>
          <w:spacing w:val="0"/>
          <w:position w:val="0"/>
          <w:sz w:val="22"/>
          <w:shd w:fill="auto" w:val="clear"/>
        </w:rPr>
        <w:t xml:space="preserve">Financial calibration data scarcity: East African financial institutions have limited digitised historical loan performance records linked to precise geographic coordinates, limiting the depth of empirical calibration for the Physical Risk Premium estimation model.</w:t>
      </w:r>
    </w:p>
    <w:p>
      <w:pPr>
        <w:numPr>
          <w:ilvl w:val="0"/>
          <w:numId w:val="336"/>
        </w:numPr>
        <w:spacing w:before="60" w:after="6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1A1A2E"/>
          <w:spacing w:val="0"/>
          <w:position w:val="0"/>
          <w:sz w:val="22"/>
          <w:shd w:fill="auto" w:val="clear"/>
        </w:rPr>
        <w:t xml:space="preserve">Basis risk in parametric products: Despite IoT-based trigger design to minimise basis risk, spatial variability in flood depth within a catchment means that some policyholders will experience losses without trigger activation, and vice versa. Basis risk is an inherent feature of all parametric designs and is disclosed transparently to all product partners.</w:t>
      </w:r>
    </w:p>
    <w:p>
      <w:pPr>
        <w:spacing w:before="120" w:after="0" w:line="240"/>
        <w:ind w:right="0" w:left="0" w:firstLine="0"/>
        <w:jc w:val="left"/>
        <w:rPr>
          <w:rFonts w:ascii="Arial" w:hAnsi="Arial" w:cs="Arial" w:eastAsia="Arial"/>
          <w:color w:val="auto"/>
          <w:spacing w:val="0"/>
          <w:position w:val="0"/>
          <w:sz w:val="22"/>
          <w:shd w:fill="auto" w:val="clear"/>
        </w:rPr>
      </w:pPr>
    </w:p>
    <w:p>
      <w:pPr>
        <w:spacing w:before="320" w:after="120" w:line="240"/>
        <w:ind w:right="0" w:left="0" w:firstLine="0"/>
        <w:jc w:val="left"/>
        <w:rPr>
          <w:rFonts w:ascii="Arial" w:hAnsi="Arial" w:cs="Arial" w:eastAsia="Arial"/>
          <w:b/>
          <w:color w:val="0D7377"/>
          <w:spacing w:val="0"/>
          <w:position w:val="0"/>
          <w:sz w:val="27"/>
          <w:shd w:fill="auto" w:val="clear"/>
        </w:rPr>
      </w:pPr>
      <w:r>
        <w:rPr>
          <w:rFonts w:ascii="Arial" w:hAnsi="Arial" w:cs="Arial" w:eastAsia="Arial"/>
          <w:b/>
          <w:color w:val="0D7377"/>
          <w:spacing w:val="0"/>
          <w:position w:val="0"/>
          <w:sz w:val="27"/>
          <w:shd w:fill="auto" w:val="clear"/>
        </w:rPr>
        <w:t xml:space="preserve">7.2 Future Research Directions</w:t>
      </w:r>
    </w:p>
    <w:p>
      <w:pPr>
        <w:numPr>
          <w:ilvl w:val="0"/>
          <w:numId w:val="339"/>
        </w:numPr>
        <w:spacing w:before="60" w:after="6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1A1A2E"/>
          <w:spacing w:val="0"/>
          <w:position w:val="0"/>
          <w:sz w:val="22"/>
          <w:shd w:fill="auto" w:val="clear"/>
        </w:rPr>
        <w:t xml:space="preserve">Very high-resolution SAR integration: As commercial VHR SAR providers (ICEYE, Capella) expand coverage and reduce data costs, integration of sub-metre SAR imagery will enable building-level flood damage assessment, reducing the spatial uncertainty that currently limits mortgage-level financial risk translation.</w:t>
      </w:r>
    </w:p>
    <w:p>
      <w:pPr>
        <w:numPr>
          <w:ilvl w:val="0"/>
          <w:numId w:val="339"/>
        </w:numPr>
        <w:spacing w:before="60" w:after="6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1A1A2E"/>
          <w:spacing w:val="0"/>
          <w:position w:val="0"/>
          <w:sz w:val="22"/>
          <w:shd w:fill="auto" w:val="clear"/>
        </w:rPr>
        <w:t xml:space="preserve">Foundation model pre-training: The emergence of geospatial foundation models (e.g., Clay, Prithvi) pre-trained on global satellite archives opens the opportunity for transfer learning approaches that could dramatically accelerate geo-foundational model training in new East African geographies without requiring large local labelled datasets.</w:t>
      </w:r>
    </w:p>
    <w:p>
      <w:pPr>
        <w:numPr>
          <w:ilvl w:val="0"/>
          <w:numId w:val="339"/>
        </w:numPr>
        <w:spacing w:before="60" w:after="6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1A1A2E"/>
          <w:spacing w:val="0"/>
          <w:position w:val="0"/>
          <w:sz w:val="22"/>
          <w:shd w:fill="auto" w:val="clear"/>
        </w:rPr>
        <w:t xml:space="preserve">Coupled socioeconomic flood impact modelling: Future iterations of the financial translation layer will incorporate agent-based economic models simulating the propagation of flood-driven income shocks through local supply chains, enabling more precise estimation of indirect economic losses beyond direct asset damage.</w:t>
      </w:r>
    </w:p>
    <w:p>
      <w:pPr>
        <w:numPr>
          <w:ilvl w:val="0"/>
          <w:numId w:val="339"/>
        </w:numPr>
        <w:spacing w:before="60" w:after="6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1A1A2E"/>
          <w:spacing w:val="0"/>
          <w:position w:val="0"/>
          <w:sz w:val="22"/>
          <w:shd w:fill="auto" w:val="clear"/>
        </w:rPr>
        <w:t xml:space="preserve">Federated learning across partner institutions: A privacy-preserving federated learning architecture could enable the geo-foundational model to benefit from financial loss data shared by multiple partner institutions without centralising commercially sensitive data, improving the empirical calibration of financial risk metrics across the East African market.</w:t>
      </w:r>
    </w:p>
    <w:p>
      <w:pPr>
        <w:spacing w:before="200" w:after="0" w:line="240"/>
        <w:ind w:right="0" w:left="0" w:firstLine="0"/>
        <w:jc w:val="left"/>
        <w:rPr>
          <w:rFonts w:ascii="Arial" w:hAnsi="Arial" w:cs="Arial" w:eastAsia="Arial"/>
          <w:color w:val="auto"/>
          <w:spacing w:val="0"/>
          <w:position w:val="0"/>
          <w:sz w:val="22"/>
          <w:shd w:fill="auto" w:val="clear"/>
        </w:rPr>
      </w:pPr>
    </w:p>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40"/>
        <w:ind w:right="0" w:left="0" w:firstLine="0"/>
        <w:jc w:val="left"/>
        <w:rPr>
          <w:rFonts w:ascii="Arial" w:hAnsi="Arial" w:cs="Arial" w:eastAsia="Arial"/>
          <w:color w:val="auto"/>
          <w:spacing w:val="0"/>
          <w:position w:val="0"/>
          <w:sz w:val="22"/>
          <w:shd w:fill="auto" w:val="clear"/>
        </w:rPr>
      </w:pPr>
    </w:p>
    <w:p>
      <w:pPr>
        <w:spacing w:before="480" w:after="160" w:line="240"/>
        <w:ind w:right="0" w:left="0" w:firstLine="0"/>
        <w:jc w:val="left"/>
        <w:rPr>
          <w:rFonts w:ascii="Arial" w:hAnsi="Arial" w:cs="Arial" w:eastAsia="Arial"/>
          <w:b/>
          <w:color w:val="1A3C5E"/>
          <w:spacing w:val="0"/>
          <w:position w:val="0"/>
          <w:sz w:val="34"/>
          <w:shd w:fill="auto" w:val="clear"/>
        </w:rPr>
      </w:pPr>
      <w:r>
        <w:rPr>
          <w:rFonts w:ascii="Arial" w:hAnsi="Arial" w:cs="Arial" w:eastAsia="Arial"/>
          <w:b/>
          <w:color w:val="1A3C5E"/>
          <w:spacing w:val="0"/>
          <w:position w:val="0"/>
          <w:sz w:val="34"/>
          <w:shd w:fill="auto" w:val="clear"/>
        </w:rPr>
        <w:t xml:space="preserve">8. References</w:t>
      </w:r>
    </w:p>
    <w:p>
      <w:pPr>
        <w:spacing w:before="60" w:after="100" w:line="240"/>
        <w:ind w:right="0" w:left="0" w:firstLine="0"/>
        <w:jc w:val="both"/>
        <w:rPr>
          <w:rFonts w:ascii="Arial" w:hAnsi="Arial" w:cs="Arial" w:eastAsia="Arial"/>
          <w:color w:val="auto"/>
          <w:spacing w:val="0"/>
          <w:position w:val="0"/>
          <w:sz w:val="22"/>
          <w:shd w:fill="auto" w:val="clear"/>
        </w:rPr>
      </w:pPr>
      <w:r>
        <w:rPr>
          <w:rFonts w:ascii="Arial" w:hAnsi="Arial" w:cs="Arial" w:eastAsia="Arial"/>
          <w:color w:val="1A1A2E"/>
          <w:spacing w:val="0"/>
          <w:position w:val="0"/>
          <w:sz w:val="22"/>
          <w:shd w:fill="auto" w:val="clear"/>
        </w:rPr>
        <w:t xml:space="preserve">The following references are cited throughout this document. All references are presented in APA 7th edition format.</w:t>
      </w:r>
    </w:p>
    <w:p>
      <w:pPr>
        <w:spacing w:before="120" w:after="0" w:line="240"/>
        <w:ind w:right="0" w:left="0" w:firstLine="0"/>
        <w:jc w:val="left"/>
        <w:rPr>
          <w:rFonts w:ascii="Arial" w:hAnsi="Arial" w:cs="Arial" w:eastAsia="Arial"/>
          <w:color w:val="auto"/>
          <w:spacing w:val="0"/>
          <w:position w:val="0"/>
          <w:sz w:val="22"/>
          <w:shd w:fill="auto" w:val="clear"/>
        </w:rPr>
      </w:pPr>
    </w:p>
    <w:p>
      <w:pPr>
        <w:spacing w:before="320" w:after="120" w:line="240"/>
        <w:ind w:right="0" w:left="0" w:firstLine="0"/>
        <w:jc w:val="left"/>
        <w:rPr>
          <w:rFonts w:ascii="Arial" w:hAnsi="Arial" w:cs="Arial" w:eastAsia="Arial"/>
          <w:b/>
          <w:color w:val="0D7377"/>
          <w:spacing w:val="0"/>
          <w:position w:val="0"/>
          <w:sz w:val="27"/>
          <w:shd w:fill="auto" w:val="clear"/>
        </w:rPr>
      </w:pPr>
      <w:r>
        <w:rPr>
          <w:rFonts w:ascii="Arial" w:hAnsi="Arial" w:cs="Arial" w:eastAsia="Arial"/>
          <w:b/>
          <w:color w:val="0D7377"/>
          <w:spacing w:val="0"/>
          <w:position w:val="0"/>
          <w:sz w:val="27"/>
          <w:shd w:fill="auto" w:val="clear"/>
        </w:rPr>
        <w:t xml:space="preserve">8.1 Earth Observation and Remote Sensing</w:t>
      </w:r>
    </w:p>
    <w:p>
      <w:pPr>
        <w:spacing w:before="80" w:after="60" w:line="240"/>
        <w:ind w:right="0" w:left="720" w:hanging="720"/>
        <w:jc w:val="left"/>
        <w:rPr>
          <w:rFonts w:ascii="Arial" w:hAnsi="Arial" w:cs="Arial" w:eastAsia="Arial"/>
          <w:color w:val="auto"/>
          <w:spacing w:val="0"/>
          <w:position w:val="0"/>
          <w:sz w:val="22"/>
          <w:shd w:fill="auto" w:val="clear"/>
        </w:rPr>
      </w:pPr>
      <w:r>
        <w:rPr>
          <w:rFonts w:ascii="Arial" w:hAnsi="Arial" w:cs="Arial" w:eastAsia="Arial"/>
          <w:color w:val="1A1A2E"/>
          <w:spacing w:val="0"/>
          <w:position w:val="0"/>
          <w:sz w:val="20"/>
          <w:shd w:fill="auto" w:val="clear"/>
        </w:rPr>
        <w:t xml:space="preserve">Bonafilia, D., Tellman, B., Anderson, T., and Issenberg, E. (2020). Sen1Floods11: A georeferenced dataset to train and test deep learning flood algorithms for Sentinel-1. Proceedings of the IEEE/CVF Conference on Computer Vision and Pattern Recognition Workshops, 210-211.</w:t>
      </w:r>
    </w:p>
    <w:p>
      <w:pPr>
        <w:spacing w:before="80" w:after="60" w:line="240"/>
        <w:ind w:right="0" w:left="720" w:hanging="720"/>
        <w:jc w:val="left"/>
        <w:rPr>
          <w:rFonts w:ascii="Arial" w:hAnsi="Arial" w:cs="Arial" w:eastAsia="Arial"/>
          <w:color w:val="auto"/>
          <w:spacing w:val="0"/>
          <w:position w:val="0"/>
          <w:sz w:val="22"/>
          <w:shd w:fill="auto" w:val="clear"/>
        </w:rPr>
      </w:pPr>
      <w:r>
        <w:rPr>
          <w:rFonts w:ascii="Arial" w:hAnsi="Arial" w:cs="Arial" w:eastAsia="Arial"/>
          <w:color w:val="1A1A2E"/>
          <w:spacing w:val="0"/>
          <w:position w:val="0"/>
          <w:sz w:val="20"/>
          <w:shd w:fill="auto" w:val="clear"/>
        </w:rPr>
        <w:t xml:space="preserve">Bovolo, F., and Bruzzone, L. (2005). A detail-preserving scale-driven approach to change detection in multitemporal SAR images. IEEE Transactions on Geoscience and Remote Sensing, 43(12), 2963-2972.</w:t>
      </w:r>
    </w:p>
    <w:p>
      <w:pPr>
        <w:spacing w:before="80" w:after="60" w:line="240"/>
        <w:ind w:right="0" w:left="720" w:hanging="720"/>
        <w:jc w:val="left"/>
        <w:rPr>
          <w:rFonts w:ascii="Arial" w:hAnsi="Arial" w:cs="Arial" w:eastAsia="Arial"/>
          <w:color w:val="auto"/>
          <w:spacing w:val="0"/>
          <w:position w:val="0"/>
          <w:sz w:val="22"/>
          <w:shd w:fill="auto" w:val="clear"/>
        </w:rPr>
      </w:pPr>
      <w:r>
        <w:rPr>
          <w:rFonts w:ascii="Arial" w:hAnsi="Arial" w:cs="Arial" w:eastAsia="Arial"/>
          <w:color w:val="1A1A2E"/>
          <w:spacing w:val="0"/>
          <w:position w:val="0"/>
          <w:sz w:val="20"/>
          <w:shd w:fill="auto" w:val="clear"/>
        </w:rPr>
        <w:t xml:space="preserve">Lee, J. S., Jurkevich, I., Dewaele, P., Wambacq, P., and Oosterlinck, A. (1999). Speckle filtering of synthetic aperture radar images: A review. Remote Sensing Reviews, 8(4), 313-340.</w:t>
      </w:r>
    </w:p>
    <w:p>
      <w:pPr>
        <w:spacing w:before="80" w:after="60" w:line="240"/>
        <w:ind w:right="0" w:left="720" w:hanging="720"/>
        <w:jc w:val="left"/>
        <w:rPr>
          <w:rFonts w:ascii="Arial" w:hAnsi="Arial" w:cs="Arial" w:eastAsia="Arial"/>
          <w:color w:val="auto"/>
          <w:spacing w:val="0"/>
          <w:position w:val="0"/>
          <w:sz w:val="22"/>
          <w:shd w:fill="auto" w:val="clear"/>
        </w:rPr>
      </w:pPr>
      <w:r>
        <w:rPr>
          <w:rFonts w:ascii="Arial" w:hAnsi="Arial" w:cs="Arial" w:eastAsia="Arial"/>
          <w:color w:val="1A1A2E"/>
          <w:spacing w:val="0"/>
          <w:position w:val="0"/>
          <w:sz w:val="20"/>
          <w:shd w:fill="auto" w:val="clear"/>
        </w:rPr>
        <w:t xml:space="preserve">Martinis, S., Kersten, J., and Twele, A. (2015). A fully automated TerraSAR-X based flood service. ISPRS Journal of Photogrammetry and Remote Sensing, 104, 203-212.</w:t>
      </w:r>
    </w:p>
    <w:p>
      <w:pPr>
        <w:spacing w:before="80" w:after="60" w:line="240"/>
        <w:ind w:right="0" w:left="720" w:hanging="720"/>
        <w:jc w:val="left"/>
        <w:rPr>
          <w:rFonts w:ascii="Arial" w:hAnsi="Arial" w:cs="Arial" w:eastAsia="Arial"/>
          <w:color w:val="auto"/>
          <w:spacing w:val="0"/>
          <w:position w:val="0"/>
          <w:sz w:val="22"/>
          <w:shd w:fill="auto" w:val="clear"/>
        </w:rPr>
      </w:pPr>
      <w:r>
        <w:rPr>
          <w:rFonts w:ascii="Arial" w:hAnsi="Arial" w:cs="Arial" w:eastAsia="Arial"/>
          <w:color w:val="1A1A2E"/>
          <w:spacing w:val="0"/>
          <w:position w:val="0"/>
          <w:sz w:val="20"/>
          <w:shd w:fill="auto" w:val="clear"/>
        </w:rPr>
        <w:t xml:space="preserve">Martinis, S., Plank, S., and Cwik, K. (2022). The use of Sentinel-1 time-series data to improve flood monitoring in arid areas. Remote Sensing, 14(7), 1655.</w:t>
      </w:r>
    </w:p>
    <w:p>
      <w:pPr>
        <w:spacing w:before="80" w:after="60" w:line="240"/>
        <w:ind w:right="0" w:left="720" w:hanging="720"/>
        <w:jc w:val="left"/>
        <w:rPr>
          <w:rFonts w:ascii="Arial" w:hAnsi="Arial" w:cs="Arial" w:eastAsia="Arial"/>
          <w:color w:val="auto"/>
          <w:spacing w:val="0"/>
          <w:position w:val="0"/>
          <w:sz w:val="22"/>
          <w:shd w:fill="auto" w:val="clear"/>
        </w:rPr>
      </w:pPr>
      <w:r>
        <w:rPr>
          <w:rFonts w:ascii="Arial" w:hAnsi="Arial" w:cs="Arial" w:eastAsia="Arial"/>
          <w:color w:val="1A1A2E"/>
          <w:spacing w:val="0"/>
          <w:position w:val="0"/>
          <w:sz w:val="20"/>
          <w:shd w:fill="auto" w:val="clear"/>
        </w:rPr>
        <w:t xml:space="preserve">Mason, D. C., Speck, R., Devereux, B., Schumann, G. J. P., Neal, J. C., and Bates, P. D. (2010). Flood detection in urban areas using TerraSAR-X. IEEE Transactions on Geoscience and Remote Sensing, 48(2), 882-894.</w:t>
      </w:r>
    </w:p>
    <w:p>
      <w:pPr>
        <w:spacing w:before="80" w:after="60" w:line="240"/>
        <w:ind w:right="0" w:left="720" w:hanging="720"/>
        <w:jc w:val="left"/>
        <w:rPr>
          <w:rFonts w:ascii="Arial" w:hAnsi="Arial" w:cs="Arial" w:eastAsia="Arial"/>
          <w:color w:val="auto"/>
          <w:spacing w:val="0"/>
          <w:position w:val="0"/>
          <w:sz w:val="22"/>
          <w:shd w:fill="auto" w:val="clear"/>
        </w:rPr>
      </w:pPr>
      <w:r>
        <w:rPr>
          <w:rFonts w:ascii="Arial" w:hAnsi="Arial" w:cs="Arial" w:eastAsia="Arial"/>
          <w:color w:val="1A1A2E"/>
          <w:spacing w:val="0"/>
          <w:position w:val="0"/>
          <w:sz w:val="20"/>
          <w:shd w:fill="auto" w:val="clear"/>
        </w:rPr>
        <w:t xml:space="preserve">McFeeters, S. K. (1996). The use of the Normalized Difference Water Index (NDWI) in the delineation of open water features. International Journal of Remote Sensing, 17(7), 1425-1432.</w:t>
      </w:r>
    </w:p>
    <w:p>
      <w:pPr>
        <w:spacing w:before="80" w:after="60" w:line="240"/>
        <w:ind w:right="0" w:left="720" w:hanging="720"/>
        <w:jc w:val="left"/>
        <w:rPr>
          <w:rFonts w:ascii="Arial" w:hAnsi="Arial" w:cs="Arial" w:eastAsia="Arial"/>
          <w:color w:val="auto"/>
          <w:spacing w:val="0"/>
          <w:position w:val="0"/>
          <w:sz w:val="22"/>
          <w:shd w:fill="auto" w:val="clear"/>
        </w:rPr>
      </w:pPr>
      <w:r>
        <w:rPr>
          <w:rFonts w:ascii="Arial" w:hAnsi="Arial" w:cs="Arial" w:eastAsia="Arial"/>
          <w:color w:val="1A1A2E"/>
          <w:spacing w:val="0"/>
          <w:position w:val="0"/>
          <w:sz w:val="20"/>
          <w:shd w:fill="auto" w:val="clear"/>
        </w:rPr>
        <w:t xml:space="preserve">Mukherjee, S., Nath, S., and Patel, P. (2021). Deep learning-based flood mapping from Sentinel-1 SAR imagery: A review. Remote Sensing Applications: Society and Environment, 23, 100552.</w:t>
      </w:r>
    </w:p>
    <w:p>
      <w:pPr>
        <w:spacing w:before="80" w:after="60" w:line="240"/>
        <w:ind w:right="0" w:left="720" w:hanging="720"/>
        <w:jc w:val="left"/>
        <w:rPr>
          <w:rFonts w:ascii="Arial" w:hAnsi="Arial" w:cs="Arial" w:eastAsia="Arial"/>
          <w:color w:val="auto"/>
          <w:spacing w:val="0"/>
          <w:position w:val="0"/>
          <w:sz w:val="22"/>
          <w:shd w:fill="auto" w:val="clear"/>
        </w:rPr>
      </w:pPr>
      <w:r>
        <w:rPr>
          <w:rFonts w:ascii="Arial" w:hAnsi="Arial" w:cs="Arial" w:eastAsia="Arial"/>
          <w:color w:val="1A1A2E"/>
          <w:spacing w:val="0"/>
          <w:position w:val="0"/>
          <w:sz w:val="20"/>
          <w:shd w:fill="auto" w:val="clear"/>
        </w:rPr>
        <w:t xml:space="preserve">Otsu, N. (1979). A threshold selection method from gray-level histograms. IEEE Transactions on Systems, Man, and Cybernetics, 9(1), 62-66.</w:t>
      </w:r>
    </w:p>
    <w:p>
      <w:pPr>
        <w:spacing w:before="80" w:after="60" w:line="240"/>
        <w:ind w:right="0" w:left="720" w:hanging="720"/>
        <w:jc w:val="left"/>
        <w:rPr>
          <w:rFonts w:ascii="Arial" w:hAnsi="Arial" w:cs="Arial" w:eastAsia="Arial"/>
          <w:color w:val="auto"/>
          <w:spacing w:val="0"/>
          <w:position w:val="0"/>
          <w:sz w:val="22"/>
          <w:shd w:fill="auto" w:val="clear"/>
        </w:rPr>
      </w:pPr>
      <w:r>
        <w:rPr>
          <w:rFonts w:ascii="Arial" w:hAnsi="Arial" w:cs="Arial" w:eastAsia="Arial"/>
          <w:color w:val="1A1A2E"/>
          <w:spacing w:val="0"/>
          <w:position w:val="0"/>
          <w:sz w:val="20"/>
          <w:shd w:fill="auto" w:val="clear"/>
        </w:rPr>
        <w:t xml:space="preserve">Pekel, J. F., Cottam, A., Gorelick, N., and Belward, A. S. (2016). High-resolution mapping of global surface water and its long-term changes. Nature, 540(7633), 418-422.</w:t>
      </w:r>
    </w:p>
    <w:p>
      <w:pPr>
        <w:spacing w:before="80" w:after="60" w:line="240"/>
        <w:ind w:right="0" w:left="720" w:hanging="720"/>
        <w:jc w:val="left"/>
        <w:rPr>
          <w:rFonts w:ascii="Arial" w:hAnsi="Arial" w:cs="Arial" w:eastAsia="Arial"/>
          <w:color w:val="auto"/>
          <w:spacing w:val="0"/>
          <w:position w:val="0"/>
          <w:sz w:val="22"/>
          <w:shd w:fill="auto" w:val="clear"/>
        </w:rPr>
      </w:pPr>
      <w:r>
        <w:rPr>
          <w:rFonts w:ascii="Arial" w:hAnsi="Arial" w:cs="Arial" w:eastAsia="Arial"/>
          <w:color w:val="1A1A2E"/>
          <w:spacing w:val="0"/>
          <w:position w:val="0"/>
          <w:sz w:val="20"/>
          <w:shd w:fill="auto" w:val="clear"/>
        </w:rPr>
        <w:t xml:space="preserve">Ronneberger, O., Fischer, P., and Brox, T. (2015). U-Net: Convolutional networks for biomedical image segmentation. International Conference on Medical Image Computing and Computer-Assisted Intervention, 234-241.</w:t>
      </w:r>
    </w:p>
    <w:p>
      <w:pPr>
        <w:spacing w:before="80" w:after="60" w:line="240"/>
        <w:ind w:right="0" w:left="720" w:hanging="720"/>
        <w:jc w:val="left"/>
        <w:rPr>
          <w:rFonts w:ascii="Arial" w:hAnsi="Arial" w:cs="Arial" w:eastAsia="Arial"/>
          <w:color w:val="auto"/>
          <w:spacing w:val="0"/>
          <w:position w:val="0"/>
          <w:sz w:val="22"/>
          <w:shd w:fill="auto" w:val="clear"/>
        </w:rPr>
      </w:pPr>
      <w:r>
        <w:rPr>
          <w:rFonts w:ascii="Arial" w:hAnsi="Arial" w:cs="Arial" w:eastAsia="Arial"/>
          <w:color w:val="1A1A2E"/>
          <w:spacing w:val="0"/>
          <w:position w:val="0"/>
          <w:sz w:val="20"/>
          <w:shd w:fill="auto" w:val="clear"/>
        </w:rPr>
        <w:t xml:space="preserve">Ulaby, F. T., Moore, R. K., and Fung, A. K. (1982). Microwave Remote Sensing: Active and Passive. Artech House.</w:t>
      </w:r>
    </w:p>
    <w:p>
      <w:pPr>
        <w:spacing w:before="80" w:after="60" w:line="240"/>
        <w:ind w:right="0" w:left="720" w:hanging="720"/>
        <w:jc w:val="left"/>
        <w:rPr>
          <w:rFonts w:ascii="Arial" w:hAnsi="Arial" w:cs="Arial" w:eastAsia="Arial"/>
          <w:color w:val="auto"/>
          <w:spacing w:val="0"/>
          <w:position w:val="0"/>
          <w:sz w:val="22"/>
          <w:shd w:fill="auto" w:val="clear"/>
        </w:rPr>
      </w:pPr>
      <w:r>
        <w:rPr>
          <w:rFonts w:ascii="Arial" w:hAnsi="Arial" w:cs="Arial" w:eastAsia="Arial"/>
          <w:color w:val="1A1A2E"/>
          <w:spacing w:val="0"/>
          <w:position w:val="0"/>
          <w:sz w:val="20"/>
          <w:shd w:fill="auto" w:val="clear"/>
        </w:rPr>
        <w:t xml:space="preserve">Xu, H. (2006). Modification of normalised difference water index (NDWI) to enhance open water features in remotely sensed imagery. International Journal of Remote Sensing, 27(14), 3025-3033.</w:t>
      </w:r>
    </w:p>
    <w:p>
      <w:pPr>
        <w:spacing w:before="100" w:after="0" w:line="240"/>
        <w:ind w:right="0" w:left="0" w:firstLine="0"/>
        <w:jc w:val="left"/>
        <w:rPr>
          <w:rFonts w:ascii="Arial" w:hAnsi="Arial" w:cs="Arial" w:eastAsia="Arial"/>
          <w:color w:val="auto"/>
          <w:spacing w:val="0"/>
          <w:position w:val="0"/>
          <w:sz w:val="22"/>
          <w:shd w:fill="auto" w:val="clear"/>
        </w:rPr>
      </w:pPr>
    </w:p>
    <w:p>
      <w:pPr>
        <w:spacing w:before="320" w:after="120" w:line="240"/>
        <w:ind w:right="0" w:left="0" w:firstLine="0"/>
        <w:jc w:val="left"/>
        <w:rPr>
          <w:rFonts w:ascii="Arial" w:hAnsi="Arial" w:cs="Arial" w:eastAsia="Arial"/>
          <w:b/>
          <w:color w:val="0D7377"/>
          <w:spacing w:val="0"/>
          <w:position w:val="0"/>
          <w:sz w:val="27"/>
          <w:shd w:fill="auto" w:val="clear"/>
        </w:rPr>
      </w:pPr>
      <w:r>
        <w:rPr>
          <w:rFonts w:ascii="Arial" w:hAnsi="Arial" w:cs="Arial" w:eastAsia="Arial"/>
          <w:b/>
          <w:color w:val="0D7377"/>
          <w:spacing w:val="0"/>
          <w:position w:val="0"/>
          <w:sz w:val="27"/>
          <w:shd w:fill="auto" w:val="clear"/>
        </w:rPr>
        <w:t xml:space="preserve">8.2 Hydrology and Flood Risk Modelling</w:t>
      </w:r>
    </w:p>
    <w:p>
      <w:pPr>
        <w:spacing w:before="80" w:after="60" w:line="240"/>
        <w:ind w:right="0" w:left="720" w:hanging="720"/>
        <w:jc w:val="left"/>
        <w:rPr>
          <w:rFonts w:ascii="Arial" w:hAnsi="Arial" w:cs="Arial" w:eastAsia="Arial"/>
          <w:color w:val="auto"/>
          <w:spacing w:val="0"/>
          <w:position w:val="0"/>
          <w:sz w:val="22"/>
          <w:shd w:fill="auto" w:val="clear"/>
        </w:rPr>
      </w:pPr>
      <w:r>
        <w:rPr>
          <w:rFonts w:ascii="Arial" w:hAnsi="Arial" w:cs="Arial" w:eastAsia="Arial"/>
          <w:color w:val="1A1A2E"/>
          <w:spacing w:val="0"/>
          <w:position w:val="0"/>
          <w:sz w:val="20"/>
          <w:shd w:fill="auto" w:val="clear"/>
        </w:rPr>
        <w:t xml:space="preserve">Bates, P. D., and De Roo, A. P. J. (2000). A simple raster-based model for flood inundation simulation. Journal of Hydrology, 236(1-2), 54-77.</w:t>
      </w:r>
    </w:p>
    <w:p>
      <w:pPr>
        <w:spacing w:before="80" w:after="60" w:line="240"/>
        <w:ind w:right="0" w:left="720" w:hanging="720"/>
        <w:jc w:val="left"/>
        <w:rPr>
          <w:rFonts w:ascii="Arial" w:hAnsi="Arial" w:cs="Arial" w:eastAsia="Arial"/>
          <w:color w:val="auto"/>
          <w:spacing w:val="0"/>
          <w:position w:val="0"/>
          <w:sz w:val="22"/>
          <w:shd w:fill="auto" w:val="clear"/>
        </w:rPr>
      </w:pPr>
      <w:r>
        <w:rPr>
          <w:rFonts w:ascii="Arial" w:hAnsi="Arial" w:cs="Arial" w:eastAsia="Arial"/>
          <w:color w:val="1A1A2E"/>
          <w:spacing w:val="0"/>
          <w:position w:val="0"/>
          <w:sz w:val="20"/>
          <w:shd w:fill="auto" w:val="clear"/>
        </w:rPr>
        <w:t xml:space="preserve">Bates, P. D., Quinn, N., Sampson, C., Smith, A., Wing, O., Sosa, J., Savage, J., Olcese, G., Neal, J., Schumann, G., Giustarini, L., Coxon, G., Porter, J. R., Amodeo, M. F., Cheong, J., and Hawker, L. (2021). Combined modelling of US fluvial, pluvial, and coastal flood hazard under current and future climates. Water Resources Research, 57(2), e2020WR028673.</w:t>
      </w:r>
    </w:p>
    <w:p>
      <w:pPr>
        <w:spacing w:before="80" w:after="60" w:line="240"/>
        <w:ind w:right="0" w:left="720" w:hanging="720"/>
        <w:jc w:val="left"/>
        <w:rPr>
          <w:rFonts w:ascii="Arial" w:hAnsi="Arial" w:cs="Arial" w:eastAsia="Arial"/>
          <w:color w:val="auto"/>
          <w:spacing w:val="0"/>
          <w:position w:val="0"/>
          <w:sz w:val="22"/>
          <w:shd w:fill="auto" w:val="clear"/>
        </w:rPr>
      </w:pPr>
      <w:r>
        <w:rPr>
          <w:rFonts w:ascii="Arial" w:hAnsi="Arial" w:cs="Arial" w:eastAsia="Arial"/>
          <w:color w:val="1A1A2E"/>
          <w:spacing w:val="0"/>
          <w:position w:val="0"/>
          <w:sz w:val="20"/>
          <w:shd w:fill="auto" w:val="clear"/>
        </w:rPr>
        <w:t xml:space="preserve">Hengl, T., Mendes de Jesus, J., Heuvelink, G. B. M., Ruiperez Gonzalez, M., Kilibarda, M., Blagotic, A., and Shangguan, W. (2017). SoilGrids250m: Global gridded soil information based on machine learning. PLoS ONE, 12(2), e0169748.</w:t>
      </w:r>
    </w:p>
    <w:p>
      <w:pPr>
        <w:spacing w:before="80" w:after="60" w:line="240"/>
        <w:ind w:right="0" w:left="720" w:hanging="720"/>
        <w:jc w:val="left"/>
        <w:rPr>
          <w:rFonts w:ascii="Arial" w:hAnsi="Arial" w:cs="Arial" w:eastAsia="Arial"/>
          <w:color w:val="auto"/>
          <w:spacing w:val="0"/>
          <w:position w:val="0"/>
          <w:sz w:val="22"/>
          <w:shd w:fill="auto" w:val="clear"/>
        </w:rPr>
      </w:pPr>
      <w:r>
        <w:rPr>
          <w:rFonts w:ascii="Arial" w:hAnsi="Arial" w:cs="Arial" w:eastAsia="Arial"/>
          <w:color w:val="1A1A2E"/>
          <w:spacing w:val="0"/>
          <w:position w:val="0"/>
          <w:sz w:val="20"/>
          <w:shd w:fill="auto" w:val="clear"/>
        </w:rPr>
        <w:t xml:space="preserve">Hong, H., Tsangaratos, P., Ilia, I., Liu, J., Zhu, A. X., and Chen, W. (2018). Application of fuzzy weight of evidence and data mining techniques in construction of flood susceptibility map of Poyang County, China. Science of the Total Environment, 625, 575-588.</w:t>
      </w:r>
    </w:p>
    <w:p>
      <w:pPr>
        <w:spacing w:before="80" w:after="60" w:line="240"/>
        <w:ind w:right="0" w:left="720" w:hanging="720"/>
        <w:jc w:val="left"/>
        <w:rPr>
          <w:rFonts w:ascii="Arial" w:hAnsi="Arial" w:cs="Arial" w:eastAsia="Arial"/>
          <w:color w:val="auto"/>
          <w:spacing w:val="0"/>
          <w:position w:val="0"/>
          <w:sz w:val="22"/>
          <w:shd w:fill="auto" w:val="clear"/>
        </w:rPr>
      </w:pPr>
      <w:r>
        <w:rPr>
          <w:rFonts w:ascii="Arial" w:hAnsi="Arial" w:cs="Arial" w:eastAsia="Arial"/>
          <w:color w:val="1A1A2E"/>
          <w:spacing w:val="0"/>
          <w:position w:val="0"/>
          <w:sz w:val="20"/>
          <w:shd w:fill="auto" w:val="clear"/>
        </w:rPr>
        <w:t xml:space="preserve">Kratzert, F., Klotz, D., Brenner, C., Schulz, K., and Herrnegger, M. (2018). Rainfall-runoff modelling using Long Short-Term Memory (LSTM) networks. Hydrology and Earth System Sciences, 22(11), 6005-6022.</w:t>
      </w:r>
    </w:p>
    <w:p>
      <w:pPr>
        <w:spacing w:before="80" w:after="60" w:line="240"/>
        <w:ind w:right="0" w:left="720" w:hanging="720"/>
        <w:jc w:val="left"/>
        <w:rPr>
          <w:rFonts w:ascii="Arial" w:hAnsi="Arial" w:cs="Arial" w:eastAsia="Arial"/>
          <w:color w:val="auto"/>
          <w:spacing w:val="0"/>
          <w:position w:val="0"/>
          <w:sz w:val="22"/>
          <w:shd w:fill="auto" w:val="clear"/>
        </w:rPr>
      </w:pPr>
      <w:r>
        <w:rPr>
          <w:rFonts w:ascii="Arial" w:hAnsi="Arial" w:cs="Arial" w:eastAsia="Arial"/>
          <w:color w:val="1A1A2E"/>
          <w:spacing w:val="0"/>
          <w:position w:val="0"/>
          <w:sz w:val="20"/>
          <w:shd w:fill="auto" w:val="clear"/>
        </w:rPr>
        <w:t xml:space="preserve">Lehner, B., Verdin, K., and Jarvis, A. (2008). New global hydrography derived from spaceborne elevation data. Eos, Transactions American Geophysical Union, 89(10), 93-94.</w:t>
      </w:r>
    </w:p>
    <w:p>
      <w:pPr>
        <w:spacing w:before="80" w:after="60" w:line="240"/>
        <w:ind w:right="0" w:left="720" w:hanging="720"/>
        <w:jc w:val="left"/>
        <w:rPr>
          <w:rFonts w:ascii="Arial" w:hAnsi="Arial" w:cs="Arial" w:eastAsia="Arial"/>
          <w:color w:val="auto"/>
          <w:spacing w:val="0"/>
          <w:position w:val="0"/>
          <w:sz w:val="22"/>
          <w:shd w:fill="auto" w:val="clear"/>
        </w:rPr>
      </w:pPr>
      <w:r>
        <w:rPr>
          <w:rFonts w:ascii="Arial" w:hAnsi="Arial" w:cs="Arial" w:eastAsia="Arial"/>
          <w:color w:val="1A1A2E"/>
          <w:spacing w:val="0"/>
          <w:position w:val="0"/>
          <w:sz w:val="20"/>
          <w:shd w:fill="auto" w:val="clear"/>
        </w:rPr>
        <w:t xml:space="preserve">Tehrany, M. S., Pradhan, B., and Jebur, M. N. (2014). Flood susceptibility mapping using a novel ensemble weights-of-evidence and support vector machine models in GIS. Journal of Hydrology, 512, 332-343.</w:t>
      </w:r>
    </w:p>
    <w:p>
      <w:pPr>
        <w:spacing w:before="80" w:after="60" w:line="240"/>
        <w:ind w:right="0" w:left="720" w:hanging="720"/>
        <w:jc w:val="left"/>
        <w:rPr>
          <w:rFonts w:ascii="Arial" w:hAnsi="Arial" w:cs="Arial" w:eastAsia="Arial"/>
          <w:color w:val="auto"/>
          <w:spacing w:val="0"/>
          <w:position w:val="0"/>
          <w:sz w:val="22"/>
          <w:shd w:fill="auto" w:val="clear"/>
        </w:rPr>
      </w:pPr>
      <w:r>
        <w:rPr>
          <w:rFonts w:ascii="Arial" w:hAnsi="Arial" w:cs="Arial" w:eastAsia="Arial"/>
          <w:color w:val="1A1A2E"/>
          <w:spacing w:val="0"/>
          <w:position w:val="0"/>
          <w:sz w:val="20"/>
          <w:shd w:fill="auto" w:val="clear"/>
        </w:rPr>
        <w:t xml:space="preserve">Tellman, B., Sullivan, J. A., Kuhn, C., Kettner, A. J., Doyle, C. S., Brakenridge, G. R., Erickson, T. A., and Slayback, D. A. (2021). Satellite imaging reveals increased proportion of population exposed to floods. Nature, 596(7870), 80-86.</w:t>
      </w:r>
    </w:p>
    <w:p>
      <w:pPr>
        <w:spacing w:before="80" w:after="60" w:line="240"/>
        <w:ind w:right="0" w:left="720" w:hanging="720"/>
        <w:jc w:val="left"/>
        <w:rPr>
          <w:rFonts w:ascii="Arial" w:hAnsi="Arial" w:cs="Arial" w:eastAsia="Arial"/>
          <w:color w:val="auto"/>
          <w:spacing w:val="0"/>
          <w:position w:val="0"/>
          <w:sz w:val="22"/>
          <w:shd w:fill="auto" w:val="clear"/>
        </w:rPr>
      </w:pPr>
      <w:r>
        <w:rPr>
          <w:rFonts w:ascii="Arial" w:hAnsi="Arial" w:cs="Arial" w:eastAsia="Arial"/>
          <w:color w:val="1A1A2E"/>
          <w:spacing w:val="0"/>
          <w:position w:val="0"/>
          <w:sz w:val="20"/>
          <w:shd w:fill="auto" w:val="clear"/>
        </w:rPr>
        <w:t xml:space="preserve">Wing, O. E. J., Bates, P. D., Sampson, C. C., Smith, A. M., Johnson, K. A., and Erickson, T. A. (2017). Validation of a 30 m resolution flood hazard model of the conterminous United States. Water Resources Research, 53(9), 7968-7986.</w:t>
      </w:r>
    </w:p>
    <w:p>
      <w:pPr>
        <w:spacing w:before="100" w:after="0" w:line="240"/>
        <w:ind w:right="0" w:left="0" w:firstLine="0"/>
        <w:jc w:val="left"/>
        <w:rPr>
          <w:rFonts w:ascii="Arial" w:hAnsi="Arial" w:cs="Arial" w:eastAsia="Arial"/>
          <w:color w:val="auto"/>
          <w:spacing w:val="0"/>
          <w:position w:val="0"/>
          <w:sz w:val="22"/>
          <w:shd w:fill="auto" w:val="clear"/>
        </w:rPr>
      </w:pPr>
    </w:p>
    <w:p>
      <w:pPr>
        <w:spacing w:before="320" w:after="120" w:line="240"/>
        <w:ind w:right="0" w:left="0" w:firstLine="0"/>
        <w:jc w:val="left"/>
        <w:rPr>
          <w:rFonts w:ascii="Arial" w:hAnsi="Arial" w:cs="Arial" w:eastAsia="Arial"/>
          <w:b/>
          <w:color w:val="0D7377"/>
          <w:spacing w:val="0"/>
          <w:position w:val="0"/>
          <w:sz w:val="27"/>
          <w:shd w:fill="auto" w:val="clear"/>
        </w:rPr>
      </w:pPr>
      <w:r>
        <w:rPr>
          <w:rFonts w:ascii="Arial" w:hAnsi="Arial" w:cs="Arial" w:eastAsia="Arial"/>
          <w:b/>
          <w:color w:val="0D7377"/>
          <w:spacing w:val="0"/>
          <w:position w:val="0"/>
          <w:sz w:val="27"/>
          <w:shd w:fill="auto" w:val="clear"/>
        </w:rPr>
        <w:t xml:space="preserve">8.3 IoT and Sensor Networks</w:t>
      </w:r>
    </w:p>
    <w:p>
      <w:pPr>
        <w:spacing w:before="80" w:after="60" w:line="240"/>
        <w:ind w:right="0" w:left="720" w:hanging="720"/>
        <w:jc w:val="left"/>
        <w:rPr>
          <w:rFonts w:ascii="Arial" w:hAnsi="Arial" w:cs="Arial" w:eastAsia="Arial"/>
          <w:color w:val="auto"/>
          <w:spacing w:val="0"/>
          <w:position w:val="0"/>
          <w:sz w:val="22"/>
          <w:shd w:fill="auto" w:val="clear"/>
        </w:rPr>
      </w:pPr>
      <w:r>
        <w:rPr>
          <w:rFonts w:ascii="Arial" w:hAnsi="Arial" w:cs="Arial" w:eastAsia="Arial"/>
          <w:color w:val="1A1A2E"/>
          <w:spacing w:val="0"/>
          <w:position w:val="0"/>
          <w:sz w:val="20"/>
          <w:shd w:fill="auto" w:val="clear"/>
        </w:rPr>
        <w:t xml:space="preserve">Akyildiz, I. F., Su, W., Sankarasubramaniam, Y., and Cayirci, E. (2002). A survey on sensor networks. IEEE Communications Magazine, 40(8), 102-114.</w:t>
      </w:r>
    </w:p>
    <w:p>
      <w:pPr>
        <w:spacing w:before="80" w:after="60" w:line="240"/>
        <w:ind w:right="0" w:left="720" w:hanging="720"/>
        <w:jc w:val="left"/>
        <w:rPr>
          <w:rFonts w:ascii="Arial" w:hAnsi="Arial" w:cs="Arial" w:eastAsia="Arial"/>
          <w:color w:val="auto"/>
          <w:spacing w:val="0"/>
          <w:position w:val="0"/>
          <w:sz w:val="22"/>
          <w:shd w:fill="auto" w:val="clear"/>
        </w:rPr>
      </w:pPr>
      <w:r>
        <w:rPr>
          <w:rFonts w:ascii="Arial" w:hAnsi="Arial" w:cs="Arial" w:eastAsia="Arial"/>
          <w:color w:val="1A1A2E"/>
          <w:spacing w:val="0"/>
          <w:position w:val="0"/>
          <w:sz w:val="20"/>
          <w:shd w:fill="auto" w:val="clear"/>
        </w:rPr>
        <w:t xml:space="preserve">Alfieri, L., Salamon, P., Pappenberger, F., Wetterhall, F., and Thielen, J. (2012). Operational early warning systems for water-related hazards in Europe. Environmental Science and Policy, 21, 35-49.</w:t>
      </w:r>
    </w:p>
    <w:p>
      <w:pPr>
        <w:spacing w:before="80" w:after="60" w:line="240"/>
        <w:ind w:right="0" w:left="720" w:hanging="720"/>
        <w:jc w:val="left"/>
        <w:rPr>
          <w:rFonts w:ascii="Arial" w:hAnsi="Arial" w:cs="Arial" w:eastAsia="Arial"/>
          <w:color w:val="auto"/>
          <w:spacing w:val="0"/>
          <w:position w:val="0"/>
          <w:sz w:val="22"/>
          <w:shd w:fill="auto" w:val="clear"/>
        </w:rPr>
      </w:pPr>
      <w:r>
        <w:rPr>
          <w:rFonts w:ascii="Arial" w:hAnsi="Arial" w:cs="Arial" w:eastAsia="Arial"/>
          <w:color w:val="1A1A2E"/>
          <w:spacing w:val="0"/>
          <w:position w:val="0"/>
          <w:sz w:val="20"/>
          <w:shd w:fill="auto" w:val="clear"/>
        </w:rPr>
        <w:t xml:space="preserve">Augustin, A., Yi, J., Clausen, T., and Townsley, W. M. (2016). A study of LoRa: Long range and low power networks for the Internet of Things. Sensors, 16(9), 1466.</w:t>
      </w:r>
    </w:p>
    <w:p>
      <w:pPr>
        <w:spacing w:before="80" w:after="60" w:line="240"/>
        <w:ind w:right="0" w:left="720" w:hanging="720"/>
        <w:jc w:val="left"/>
        <w:rPr>
          <w:rFonts w:ascii="Arial" w:hAnsi="Arial" w:cs="Arial" w:eastAsia="Arial"/>
          <w:color w:val="auto"/>
          <w:spacing w:val="0"/>
          <w:position w:val="0"/>
          <w:sz w:val="22"/>
          <w:shd w:fill="auto" w:val="clear"/>
        </w:rPr>
      </w:pPr>
      <w:r>
        <w:rPr>
          <w:rFonts w:ascii="Arial" w:hAnsi="Arial" w:cs="Arial" w:eastAsia="Arial"/>
          <w:color w:val="1A1A2E"/>
          <w:spacing w:val="0"/>
          <w:position w:val="0"/>
          <w:sz w:val="20"/>
          <w:shd w:fill="auto" w:val="clear"/>
        </w:rPr>
        <w:t xml:space="preserve">Centenaro, M., Vangelista, L., Zanella, A., and Zorzi, M. (2016). Long-range communications in unlicensed bands: The rising stars in the IoT and smart city scenarios. IEEE Wireless Communications, 23(5), 60-67.</w:t>
      </w:r>
    </w:p>
    <w:p>
      <w:pPr>
        <w:spacing w:before="80" w:after="60" w:line="240"/>
        <w:ind w:right="0" w:left="720" w:hanging="720"/>
        <w:jc w:val="left"/>
        <w:rPr>
          <w:rFonts w:ascii="Arial" w:hAnsi="Arial" w:cs="Arial" w:eastAsia="Arial"/>
          <w:color w:val="auto"/>
          <w:spacing w:val="0"/>
          <w:position w:val="0"/>
          <w:sz w:val="22"/>
          <w:shd w:fill="auto" w:val="clear"/>
        </w:rPr>
      </w:pPr>
      <w:r>
        <w:rPr>
          <w:rFonts w:ascii="Arial" w:hAnsi="Arial" w:cs="Arial" w:eastAsia="Arial"/>
          <w:color w:val="1A1A2E"/>
          <w:spacing w:val="0"/>
          <w:position w:val="0"/>
          <w:sz w:val="20"/>
          <w:shd w:fill="auto" w:val="clear"/>
        </w:rPr>
        <w:t xml:space="preserve">Papadimitriou, C. (2004). Optimal sensor placement methodology for parametric identification of structural systems. Journal of Sound and Vibration, 278(4-5), 923-947.</w:t>
      </w:r>
    </w:p>
    <w:p>
      <w:pPr>
        <w:spacing w:before="80" w:after="60" w:line="240"/>
        <w:ind w:right="0" w:left="720" w:hanging="720"/>
        <w:jc w:val="left"/>
        <w:rPr>
          <w:rFonts w:ascii="Arial" w:hAnsi="Arial" w:cs="Arial" w:eastAsia="Arial"/>
          <w:color w:val="auto"/>
          <w:spacing w:val="0"/>
          <w:position w:val="0"/>
          <w:sz w:val="22"/>
          <w:shd w:fill="auto" w:val="clear"/>
        </w:rPr>
      </w:pPr>
      <w:r>
        <w:rPr>
          <w:rFonts w:ascii="Arial" w:hAnsi="Arial" w:cs="Arial" w:eastAsia="Arial"/>
          <w:color w:val="1A1A2E"/>
          <w:spacing w:val="0"/>
          <w:position w:val="0"/>
          <w:sz w:val="20"/>
          <w:shd w:fill="auto" w:val="clear"/>
        </w:rPr>
        <w:t xml:space="preserve">World Meteorological Organization (WMO). (2011). Flash Flood Guidance with Necessary Related Capabilities. WMO No. 1072. Geneva: WMO.</w:t>
      </w:r>
    </w:p>
    <w:p>
      <w:pPr>
        <w:spacing w:before="100" w:after="0" w:line="240"/>
        <w:ind w:right="0" w:left="0" w:firstLine="0"/>
        <w:jc w:val="left"/>
        <w:rPr>
          <w:rFonts w:ascii="Arial" w:hAnsi="Arial" w:cs="Arial" w:eastAsia="Arial"/>
          <w:color w:val="auto"/>
          <w:spacing w:val="0"/>
          <w:position w:val="0"/>
          <w:sz w:val="22"/>
          <w:shd w:fill="auto" w:val="clear"/>
        </w:rPr>
      </w:pPr>
    </w:p>
    <w:p>
      <w:pPr>
        <w:spacing w:before="320" w:after="120" w:line="240"/>
        <w:ind w:right="0" w:left="0" w:firstLine="0"/>
        <w:jc w:val="left"/>
        <w:rPr>
          <w:rFonts w:ascii="Arial" w:hAnsi="Arial" w:cs="Arial" w:eastAsia="Arial"/>
          <w:b/>
          <w:color w:val="0D7377"/>
          <w:spacing w:val="0"/>
          <w:position w:val="0"/>
          <w:sz w:val="27"/>
          <w:shd w:fill="auto" w:val="clear"/>
        </w:rPr>
      </w:pPr>
      <w:r>
        <w:rPr>
          <w:rFonts w:ascii="Arial" w:hAnsi="Arial" w:cs="Arial" w:eastAsia="Arial"/>
          <w:b/>
          <w:color w:val="0D7377"/>
          <w:spacing w:val="0"/>
          <w:position w:val="0"/>
          <w:sz w:val="27"/>
          <w:shd w:fill="auto" w:val="clear"/>
        </w:rPr>
        <w:t xml:space="preserve">8.4 Climate Risk Finance and Insurance</w:t>
      </w:r>
    </w:p>
    <w:p>
      <w:pPr>
        <w:spacing w:before="80" w:after="60" w:line="240"/>
        <w:ind w:right="0" w:left="720" w:hanging="720"/>
        <w:jc w:val="left"/>
        <w:rPr>
          <w:rFonts w:ascii="Arial" w:hAnsi="Arial" w:cs="Arial" w:eastAsia="Arial"/>
          <w:color w:val="auto"/>
          <w:spacing w:val="0"/>
          <w:position w:val="0"/>
          <w:sz w:val="22"/>
          <w:shd w:fill="auto" w:val="clear"/>
        </w:rPr>
      </w:pPr>
      <w:r>
        <w:rPr>
          <w:rFonts w:ascii="Arial" w:hAnsi="Arial" w:cs="Arial" w:eastAsia="Arial"/>
          <w:color w:val="1A1A2E"/>
          <w:spacing w:val="0"/>
          <w:position w:val="0"/>
          <w:sz w:val="20"/>
          <w:shd w:fill="auto" w:val="clear"/>
        </w:rPr>
        <w:t xml:space="preserve">Barnett, B. J., and Mahul, O. (2007). Weather index insurance for agriculture and rural areas in lower-income countries. American Journal of Agricultural Economics, 89(5), 1241-1247.</w:t>
      </w:r>
    </w:p>
    <w:p>
      <w:pPr>
        <w:spacing w:before="80" w:after="60" w:line="240"/>
        <w:ind w:right="0" w:left="720" w:hanging="720"/>
        <w:jc w:val="left"/>
        <w:rPr>
          <w:rFonts w:ascii="Arial" w:hAnsi="Arial" w:cs="Arial" w:eastAsia="Arial"/>
          <w:color w:val="auto"/>
          <w:spacing w:val="0"/>
          <w:position w:val="0"/>
          <w:sz w:val="22"/>
          <w:shd w:fill="auto" w:val="clear"/>
        </w:rPr>
      </w:pPr>
      <w:r>
        <w:rPr>
          <w:rFonts w:ascii="Arial" w:hAnsi="Arial" w:cs="Arial" w:eastAsia="Arial"/>
          <w:color w:val="1A1A2E"/>
          <w:spacing w:val="0"/>
          <w:position w:val="0"/>
          <w:sz w:val="20"/>
          <w:shd w:fill="auto" w:val="clear"/>
        </w:rPr>
        <w:t xml:space="preserve">Batten, S., Sowerbutts, R., and Tanaka, M. (2016). Let's talk about the weather: The impact of climate change on central banks. Bank of England Staff Working Paper No. 603.</w:t>
      </w:r>
    </w:p>
    <w:p>
      <w:pPr>
        <w:spacing w:before="80" w:after="60" w:line="240"/>
        <w:ind w:right="0" w:left="720" w:hanging="720"/>
        <w:jc w:val="left"/>
        <w:rPr>
          <w:rFonts w:ascii="Arial" w:hAnsi="Arial" w:cs="Arial" w:eastAsia="Arial"/>
          <w:color w:val="auto"/>
          <w:spacing w:val="0"/>
          <w:position w:val="0"/>
          <w:sz w:val="22"/>
          <w:shd w:fill="auto" w:val="clear"/>
        </w:rPr>
      </w:pPr>
      <w:r>
        <w:rPr>
          <w:rFonts w:ascii="Arial" w:hAnsi="Arial" w:cs="Arial" w:eastAsia="Arial"/>
          <w:color w:val="1A1A2E"/>
          <w:spacing w:val="0"/>
          <w:position w:val="0"/>
          <w:sz w:val="20"/>
          <w:shd w:fill="auto" w:val="clear"/>
        </w:rPr>
        <w:t xml:space="preserve">Battiston, S., Mandel, A., Monasterolo, I., Schuetze, F., and Visentin, G. (2017). A climate stress-test of the financial system. Nature Climate Change, 7(4), 283-288.</w:t>
      </w:r>
    </w:p>
    <w:p>
      <w:pPr>
        <w:spacing w:before="80" w:after="60" w:line="240"/>
        <w:ind w:right="0" w:left="720" w:hanging="720"/>
        <w:jc w:val="left"/>
        <w:rPr>
          <w:rFonts w:ascii="Arial" w:hAnsi="Arial" w:cs="Arial" w:eastAsia="Arial"/>
          <w:color w:val="auto"/>
          <w:spacing w:val="0"/>
          <w:position w:val="0"/>
          <w:sz w:val="22"/>
          <w:shd w:fill="auto" w:val="clear"/>
        </w:rPr>
      </w:pPr>
      <w:r>
        <w:rPr>
          <w:rFonts w:ascii="Arial" w:hAnsi="Arial" w:cs="Arial" w:eastAsia="Arial"/>
          <w:color w:val="1A1A2E"/>
          <w:spacing w:val="0"/>
          <w:position w:val="0"/>
          <w:sz w:val="20"/>
          <w:shd w:fill="auto" w:val="clear"/>
        </w:rPr>
        <w:t xml:space="preserve">Berg, G., Hartley, J., and Lenza, M. (2021). Climate risk and mortgage lending: Evidence from flood zones. Federal Reserve Bank of Chicago Working Paper.</w:t>
      </w:r>
    </w:p>
    <w:p>
      <w:pPr>
        <w:spacing w:before="80" w:after="60" w:line="240"/>
        <w:ind w:right="0" w:left="720" w:hanging="720"/>
        <w:jc w:val="left"/>
        <w:rPr>
          <w:rFonts w:ascii="Arial" w:hAnsi="Arial" w:cs="Arial" w:eastAsia="Arial"/>
          <w:color w:val="auto"/>
          <w:spacing w:val="0"/>
          <w:position w:val="0"/>
          <w:sz w:val="22"/>
          <w:shd w:fill="auto" w:val="clear"/>
        </w:rPr>
      </w:pPr>
      <w:r>
        <w:rPr>
          <w:rFonts w:ascii="Arial" w:hAnsi="Arial" w:cs="Arial" w:eastAsia="Arial"/>
          <w:color w:val="1A1A2E"/>
          <w:spacing w:val="0"/>
          <w:position w:val="0"/>
          <w:sz w:val="20"/>
          <w:shd w:fill="auto" w:val="clear"/>
        </w:rPr>
        <w:t xml:space="preserve">Carter, M., De Janvry, A., Sadoulet, E., and Sarris, A. (2017). Index-based weather insurance for developing countries: A review of evidence and a set of propositions for up-scaling. Development Policy Review, 35(5), 605-625.</w:t>
      </w:r>
    </w:p>
    <w:p>
      <w:pPr>
        <w:spacing w:before="80" w:after="60" w:line="240"/>
        <w:ind w:right="0" w:left="720" w:hanging="720"/>
        <w:jc w:val="left"/>
        <w:rPr>
          <w:rFonts w:ascii="Arial" w:hAnsi="Arial" w:cs="Arial" w:eastAsia="Arial"/>
          <w:color w:val="auto"/>
          <w:spacing w:val="0"/>
          <w:position w:val="0"/>
          <w:sz w:val="22"/>
          <w:shd w:fill="auto" w:val="clear"/>
        </w:rPr>
      </w:pPr>
      <w:r>
        <w:rPr>
          <w:rFonts w:ascii="Arial" w:hAnsi="Arial" w:cs="Arial" w:eastAsia="Arial"/>
          <w:color w:val="1A1A2E"/>
          <w:spacing w:val="0"/>
          <w:position w:val="0"/>
          <w:sz w:val="20"/>
          <w:shd w:fill="auto" w:val="clear"/>
        </w:rPr>
        <w:t xml:space="preserve">Clarke, D. J., and Grenham, D. (2013). Microinsurance and natural disasters: Challenges and options. Environmental Science and Policy, 27, S89-S98.</w:t>
      </w:r>
    </w:p>
    <w:p>
      <w:pPr>
        <w:spacing w:before="80" w:after="60" w:line="240"/>
        <w:ind w:right="0" w:left="720" w:hanging="720"/>
        <w:jc w:val="left"/>
        <w:rPr>
          <w:rFonts w:ascii="Arial" w:hAnsi="Arial" w:cs="Arial" w:eastAsia="Arial"/>
          <w:color w:val="auto"/>
          <w:spacing w:val="0"/>
          <w:position w:val="0"/>
          <w:sz w:val="22"/>
          <w:shd w:fill="auto" w:val="clear"/>
        </w:rPr>
      </w:pPr>
      <w:r>
        <w:rPr>
          <w:rFonts w:ascii="Arial" w:hAnsi="Arial" w:cs="Arial" w:eastAsia="Arial"/>
          <w:color w:val="1A1A2E"/>
          <w:spacing w:val="0"/>
          <w:position w:val="0"/>
          <w:sz w:val="20"/>
          <w:shd w:fill="auto" w:val="clear"/>
        </w:rPr>
        <w:t xml:space="preserve">Dietz, S., Bowen, A., Dixon, C., and Gradwell, P. (2016). 'Climate value at risk' of global financial assets. Nature Climate Change, 6(7), 676-679.</w:t>
      </w:r>
    </w:p>
    <w:p>
      <w:pPr>
        <w:spacing w:before="80" w:after="60" w:line="240"/>
        <w:ind w:right="0" w:left="720" w:hanging="720"/>
        <w:jc w:val="left"/>
        <w:rPr>
          <w:rFonts w:ascii="Arial" w:hAnsi="Arial" w:cs="Arial" w:eastAsia="Arial"/>
          <w:color w:val="auto"/>
          <w:spacing w:val="0"/>
          <w:position w:val="0"/>
          <w:sz w:val="22"/>
          <w:shd w:fill="auto" w:val="clear"/>
        </w:rPr>
      </w:pPr>
      <w:r>
        <w:rPr>
          <w:rFonts w:ascii="Arial" w:hAnsi="Arial" w:cs="Arial" w:eastAsia="Arial"/>
          <w:color w:val="1A1A2E"/>
          <w:spacing w:val="0"/>
          <w:position w:val="0"/>
          <w:sz w:val="20"/>
          <w:shd w:fill="auto" w:val="clear"/>
        </w:rPr>
        <w:t xml:space="preserve">European Banking Authority (EBA). (2021). EBA Report on Management and Supervision of ESG Risks for Credit Institutions and Investment Firms. Paris: EBA.</w:t>
      </w:r>
    </w:p>
    <w:p>
      <w:pPr>
        <w:spacing w:before="80" w:after="60" w:line="240"/>
        <w:ind w:right="0" w:left="720" w:hanging="720"/>
        <w:jc w:val="left"/>
        <w:rPr>
          <w:rFonts w:ascii="Arial" w:hAnsi="Arial" w:cs="Arial" w:eastAsia="Arial"/>
          <w:color w:val="auto"/>
          <w:spacing w:val="0"/>
          <w:position w:val="0"/>
          <w:sz w:val="22"/>
          <w:shd w:fill="auto" w:val="clear"/>
        </w:rPr>
      </w:pPr>
      <w:r>
        <w:rPr>
          <w:rFonts w:ascii="Arial" w:hAnsi="Arial" w:cs="Arial" w:eastAsia="Arial"/>
          <w:color w:val="1A1A2E"/>
          <w:spacing w:val="0"/>
          <w:position w:val="0"/>
          <w:sz w:val="20"/>
          <w:shd w:fill="auto" w:val="clear"/>
        </w:rPr>
        <w:t xml:space="preserve">Fathom. (2022). Fathom Global Flood Hazard Maps: Technical Methodology Documentation. Bristol: Fathom.</w:t>
      </w:r>
    </w:p>
    <w:p>
      <w:pPr>
        <w:spacing w:before="80" w:after="60" w:line="240"/>
        <w:ind w:right="0" w:left="720" w:hanging="720"/>
        <w:jc w:val="left"/>
        <w:rPr>
          <w:rFonts w:ascii="Arial" w:hAnsi="Arial" w:cs="Arial" w:eastAsia="Arial"/>
          <w:color w:val="auto"/>
          <w:spacing w:val="0"/>
          <w:position w:val="0"/>
          <w:sz w:val="22"/>
          <w:shd w:fill="auto" w:val="clear"/>
        </w:rPr>
      </w:pPr>
      <w:r>
        <w:rPr>
          <w:rFonts w:ascii="Arial" w:hAnsi="Arial" w:cs="Arial" w:eastAsia="Arial"/>
          <w:color w:val="1A1A2E"/>
          <w:spacing w:val="0"/>
          <w:position w:val="0"/>
          <w:sz w:val="20"/>
          <w:shd w:fill="auto" w:val="clear"/>
        </w:rPr>
        <w:t xml:space="preserve">Hallegatte, S., Green, C., Nicholls, R. J., and Corfee-Morlot, J. (2013). Future flood losses in major coastal cities. Nature Climate Change, 3(9), 802-806.</w:t>
      </w:r>
    </w:p>
    <w:p>
      <w:pPr>
        <w:spacing w:before="80" w:after="60" w:line="240"/>
        <w:ind w:right="0" w:left="720" w:hanging="720"/>
        <w:jc w:val="left"/>
        <w:rPr>
          <w:rFonts w:ascii="Arial" w:hAnsi="Arial" w:cs="Arial" w:eastAsia="Arial"/>
          <w:color w:val="auto"/>
          <w:spacing w:val="0"/>
          <w:position w:val="0"/>
          <w:sz w:val="22"/>
          <w:shd w:fill="auto" w:val="clear"/>
        </w:rPr>
      </w:pPr>
      <w:r>
        <w:rPr>
          <w:rFonts w:ascii="Arial" w:hAnsi="Arial" w:cs="Arial" w:eastAsia="Arial"/>
          <w:color w:val="1A1A2E"/>
          <w:spacing w:val="0"/>
          <w:position w:val="0"/>
          <w:sz w:val="20"/>
          <w:shd w:fill="auto" w:val="clear"/>
        </w:rPr>
        <w:t xml:space="preserve">Huizinga, J., de Moel, H., and Szewczyk, W. (2017). Global flood depth-damage functions: Methodology and the Database with Guidelines. Joint Research Centre Technical Report EUR 28552 EN. Luxembourg: Publications Office of the European Union.</w:t>
      </w:r>
    </w:p>
    <w:p>
      <w:pPr>
        <w:spacing w:before="80" w:after="60" w:line="240"/>
        <w:ind w:right="0" w:left="720" w:hanging="720"/>
        <w:jc w:val="left"/>
        <w:rPr>
          <w:rFonts w:ascii="Arial" w:hAnsi="Arial" w:cs="Arial" w:eastAsia="Arial"/>
          <w:color w:val="auto"/>
          <w:spacing w:val="0"/>
          <w:position w:val="0"/>
          <w:sz w:val="22"/>
          <w:shd w:fill="auto" w:val="clear"/>
        </w:rPr>
      </w:pPr>
      <w:r>
        <w:rPr>
          <w:rFonts w:ascii="Arial" w:hAnsi="Arial" w:cs="Arial" w:eastAsia="Arial"/>
          <w:color w:val="1A1A2E"/>
          <w:spacing w:val="0"/>
          <w:position w:val="0"/>
          <w:sz w:val="20"/>
          <w:shd w:fill="auto" w:val="clear"/>
        </w:rPr>
        <w:t xml:space="preserve">IFAD (International Fund for Agricultural Development). (2020). Index Insurance: Scaling Up, Reaching Down. Rome: IFAD.</w:t>
      </w:r>
    </w:p>
    <w:p>
      <w:pPr>
        <w:spacing w:before="80" w:after="60" w:line="240"/>
        <w:ind w:right="0" w:left="720" w:hanging="720"/>
        <w:jc w:val="left"/>
        <w:rPr>
          <w:rFonts w:ascii="Arial" w:hAnsi="Arial" w:cs="Arial" w:eastAsia="Arial"/>
          <w:color w:val="auto"/>
          <w:spacing w:val="0"/>
          <w:position w:val="0"/>
          <w:sz w:val="22"/>
          <w:shd w:fill="auto" w:val="clear"/>
        </w:rPr>
      </w:pPr>
      <w:r>
        <w:rPr>
          <w:rFonts w:ascii="Arial" w:hAnsi="Arial" w:cs="Arial" w:eastAsia="Arial"/>
          <w:color w:val="1A1A2E"/>
          <w:spacing w:val="0"/>
          <w:position w:val="0"/>
          <w:sz w:val="20"/>
          <w:shd w:fill="auto" w:val="clear"/>
        </w:rPr>
        <w:t xml:space="preserve">Klomp, J. (2014). Financial fragility and natural disasters: An empirical analysis. Journal of Financial Stability, 13, 180-192.</w:t>
      </w:r>
    </w:p>
    <w:p>
      <w:pPr>
        <w:spacing w:before="80" w:after="60" w:line="240"/>
        <w:ind w:right="0" w:left="720" w:hanging="720"/>
        <w:jc w:val="left"/>
        <w:rPr>
          <w:rFonts w:ascii="Arial" w:hAnsi="Arial" w:cs="Arial" w:eastAsia="Arial"/>
          <w:color w:val="auto"/>
          <w:spacing w:val="0"/>
          <w:position w:val="0"/>
          <w:sz w:val="22"/>
          <w:shd w:fill="auto" w:val="clear"/>
        </w:rPr>
      </w:pPr>
      <w:r>
        <w:rPr>
          <w:rFonts w:ascii="Arial" w:hAnsi="Arial" w:cs="Arial" w:eastAsia="Arial"/>
          <w:color w:val="1A1A2E"/>
          <w:spacing w:val="0"/>
          <w:position w:val="0"/>
          <w:sz w:val="20"/>
          <w:shd w:fill="auto" w:val="clear"/>
        </w:rPr>
        <w:t xml:space="preserve">Klomp, J., and Valckx, K. (2014). Natural disasters and economic growth: A meta-analysis. Global Environmental Change, 26, 183-195.</w:t>
      </w:r>
    </w:p>
    <w:p>
      <w:pPr>
        <w:spacing w:before="80" w:after="60" w:line="240"/>
        <w:ind w:right="0" w:left="720" w:hanging="720"/>
        <w:jc w:val="left"/>
        <w:rPr>
          <w:rFonts w:ascii="Arial" w:hAnsi="Arial" w:cs="Arial" w:eastAsia="Arial"/>
          <w:color w:val="auto"/>
          <w:spacing w:val="0"/>
          <w:position w:val="0"/>
          <w:sz w:val="22"/>
          <w:shd w:fill="auto" w:val="clear"/>
        </w:rPr>
      </w:pPr>
      <w:r>
        <w:rPr>
          <w:rFonts w:ascii="Arial" w:hAnsi="Arial" w:cs="Arial" w:eastAsia="Arial"/>
          <w:color w:val="1A1A2E"/>
          <w:spacing w:val="0"/>
          <w:position w:val="0"/>
          <w:sz w:val="20"/>
          <w:shd w:fill="auto" w:val="clear"/>
        </w:rPr>
        <w:t xml:space="preserve">Miranda, M. J., and Farrin, K. (2012). Index insurance for developing countries. Applied Economic Perspectives and Policy, 34(3), 391-427.</w:t>
      </w:r>
    </w:p>
    <w:p>
      <w:pPr>
        <w:spacing w:before="80" w:after="60" w:line="240"/>
        <w:ind w:right="0" w:left="720" w:hanging="720"/>
        <w:jc w:val="left"/>
        <w:rPr>
          <w:rFonts w:ascii="Arial" w:hAnsi="Arial" w:cs="Arial" w:eastAsia="Arial"/>
          <w:color w:val="auto"/>
          <w:spacing w:val="0"/>
          <w:position w:val="0"/>
          <w:sz w:val="22"/>
          <w:shd w:fill="auto" w:val="clear"/>
        </w:rPr>
      </w:pPr>
      <w:r>
        <w:rPr>
          <w:rFonts w:ascii="Arial" w:hAnsi="Arial" w:cs="Arial" w:eastAsia="Arial"/>
          <w:color w:val="1A1A2E"/>
          <w:spacing w:val="0"/>
          <w:position w:val="0"/>
          <w:sz w:val="20"/>
          <w:shd w:fill="auto" w:val="clear"/>
        </w:rPr>
        <w:t xml:space="preserve">Network for Greening the Financial System (NGFS). (2020). NGFS Climate Scenarios for Central Banks and Supervisors. Paris: NGFS.</w:t>
      </w:r>
    </w:p>
    <w:p>
      <w:pPr>
        <w:spacing w:before="80" w:after="60" w:line="240"/>
        <w:ind w:right="0" w:left="720" w:hanging="720"/>
        <w:jc w:val="left"/>
        <w:rPr>
          <w:rFonts w:ascii="Arial" w:hAnsi="Arial" w:cs="Arial" w:eastAsia="Arial"/>
          <w:color w:val="auto"/>
          <w:spacing w:val="0"/>
          <w:position w:val="0"/>
          <w:sz w:val="22"/>
          <w:shd w:fill="auto" w:val="clear"/>
        </w:rPr>
      </w:pPr>
      <w:r>
        <w:rPr>
          <w:rFonts w:ascii="Arial" w:hAnsi="Arial" w:cs="Arial" w:eastAsia="Arial"/>
          <w:color w:val="1A1A2E"/>
          <w:spacing w:val="0"/>
          <w:position w:val="0"/>
          <w:sz w:val="20"/>
          <w:shd w:fill="auto" w:val="clear"/>
        </w:rPr>
        <w:t xml:space="preserve">Penning-Rowsell, E., Johnson, C., Tunstall, S., Tapsell, S., Morris, J., Chatterton, J., and Green, C. (2003). The Benefits of Flood and Coastal Risk Management: A Handbook of Assessment Techniques. London: Middlesex University Press.</w:t>
      </w:r>
    </w:p>
    <w:p>
      <w:pPr>
        <w:spacing w:before="80" w:after="60" w:line="240"/>
        <w:ind w:right="0" w:left="720" w:hanging="720"/>
        <w:jc w:val="left"/>
        <w:rPr>
          <w:rFonts w:ascii="Arial" w:hAnsi="Arial" w:cs="Arial" w:eastAsia="Arial"/>
          <w:color w:val="auto"/>
          <w:spacing w:val="0"/>
          <w:position w:val="0"/>
          <w:sz w:val="22"/>
          <w:shd w:fill="auto" w:val="clear"/>
        </w:rPr>
      </w:pPr>
      <w:r>
        <w:rPr>
          <w:rFonts w:ascii="Arial" w:hAnsi="Arial" w:cs="Arial" w:eastAsia="Arial"/>
          <w:color w:val="1A1A2E"/>
          <w:spacing w:val="0"/>
          <w:position w:val="0"/>
          <w:sz w:val="20"/>
          <w:shd w:fill="auto" w:val="clear"/>
        </w:rPr>
        <w:t xml:space="preserve">Ranger, N., Hallegatte, S., Bhattacharya, S., Bachu, M., Priya, S., Dhore, K., Rafique, F., Mathur, P., Naville, N., Henriet, F., Herweijer, C., Pohit, S., and Corfee-Morlot, J. (2011). An assessment of the potential impact of climate change on flood risk in Mumbai. Climatic Change, 104(1), 139-167.</w:t>
      </w:r>
    </w:p>
    <w:p>
      <w:pPr>
        <w:spacing w:before="80" w:after="60" w:line="240"/>
        <w:ind w:right="0" w:left="720" w:hanging="720"/>
        <w:jc w:val="left"/>
        <w:rPr>
          <w:rFonts w:ascii="Arial" w:hAnsi="Arial" w:cs="Arial" w:eastAsia="Arial"/>
          <w:color w:val="auto"/>
          <w:spacing w:val="0"/>
          <w:position w:val="0"/>
          <w:sz w:val="22"/>
          <w:shd w:fill="auto" w:val="clear"/>
        </w:rPr>
      </w:pPr>
      <w:r>
        <w:rPr>
          <w:rFonts w:ascii="Arial" w:hAnsi="Arial" w:cs="Arial" w:eastAsia="Arial"/>
          <w:color w:val="1A1A2E"/>
          <w:spacing w:val="0"/>
          <w:position w:val="0"/>
          <w:sz w:val="20"/>
          <w:shd w:fill="auto" w:val="clear"/>
        </w:rPr>
        <w:t xml:space="preserve">Task Force on Climate-related Financial Disclosures (TCFD). (2017). Recommendations of the Task Force on Climate-related Financial Disclosures. Basel: Financial Stability Board.</w:t>
      </w:r>
    </w:p>
    <w:p>
      <w:pPr>
        <w:spacing w:before="100" w:after="0" w:line="240"/>
        <w:ind w:right="0" w:left="0" w:firstLine="0"/>
        <w:jc w:val="left"/>
        <w:rPr>
          <w:rFonts w:ascii="Arial" w:hAnsi="Arial" w:cs="Arial" w:eastAsia="Arial"/>
          <w:color w:val="auto"/>
          <w:spacing w:val="0"/>
          <w:position w:val="0"/>
          <w:sz w:val="22"/>
          <w:shd w:fill="auto" w:val="clear"/>
        </w:rPr>
      </w:pPr>
    </w:p>
    <w:p>
      <w:pPr>
        <w:spacing w:before="320" w:after="120" w:line="240"/>
        <w:ind w:right="0" w:left="0" w:firstLine="0"/>
        <w:jc w:val="left"/>
        <w:rPr>
          <w:rFonts w:ascii="Arial" w:hAnsi="Arial" w:cs="Arial" w:eastAsia="Arial"/>
          <w:b/>
          <w:color w:val="0D7377"/>
          <w:spacing w:val="0"/>
          <w:position w:val="0"/>
          <w:sz w:val="27"/>
          <w:shd w:fill="auto" w:val="clear"/>
        </w:rPr>
      </w:pPr>
      <w:r>
        <w:rPr>
          <w:rFonts w:ascii="Arial" w:hAnsi="Arial" w:cs="Arial" w:eastAsia="Arial"/>
          <w:b/>
          <w:color w:val="0D7377"/>
          <w:spacing w:val="0"/>
          <w:position w:val="0"/>
          <w:sz w:val="27"/>
          <w:shd w:fill="auto" w:val="clear"/>
        </w:rPr>
        <w:t xml:space="preserve">8.5 Statistical Methods and Model Validation</w:t>
      </w:r>
    </w:p>
    <w:p>
      <w:pPr>
        <w:spacing w:before="80" w:after="60" w:line="240"/>
        <w:ind w:right="0" w:left="720" w:hanging="720"/>
        <w:jc w:val="left"/>
        <w:rPr>
          <w:rFonts w:ascii="Arial" w:hAnsi="Arial" w:cs="Arial" w:eastAsia="Arial"/>
          <w:color w:val="auto"/>
          <w:spacing w:val="0"/>
          <w:position w:val="0"/>
          <w:sz w:val="22"/>
          <w:shd w:fill="auto" w:val="clear"/>
        </w:rPr>
      </w:pPr>
      <w:r>
        <w:rPr>
          <w:rFonts w:ascii="Arial" w:hAnsi="Arial" w:cs="Arial" w:eastAsia="Arial"/>
          <w:color w:val="1A1A2E"/>
          <w:spacing w:val="0"/>
          <w:position w:val="0"/>
          <w:sz w:val="20"/>
          <w:shd w:fill="auto" w:val="clear"/>
        </w:rPr>
        <w:t xml:space="preserve">Chen, T., and Guestrin, C. (2016). XGBoost: A scalable tree boosting system. Proceedings of the 22nd ACM SIGKDD International Conference on Knowledge Discovery and Data Mining, 785-794.</w:t>
      </w:r>
    </w:p>
    <w:p>
      <w:pPr>
        <w:spacing w:before="80" w:after="60" w:line="240"/>
        <w:ind w:right="0" w:left="720" w:hanging="720"/>
        <w:jc w:val="left"/>
        <w:rPr>
          <w:rFonts w:ascii="Arial" w:hAnsi="Arial" w:cs="Arial" w:eastAsia="Arial"/>
          <w:color w:val="auto"/>
          <w:spacing w:val="0"/>
          <w:position w:val="0"/>
          <w:sz w:val="22"/>
          <w:shd w:fill="auto" w:val="clear"/>
        </w:rPr>
      </w:pPr>
      <w:r>
        <w:rPr>
          <w:rFonts w:ascii="Arial" w:hAnsi="Arial" w:cs="Arial" w:eastAsia="Arial"/>
          <w:color w:val="1A1A2E"/>
          <w:spacing w:val="0"/>
          <w:position w:val="0"/>
          <w:sz w:val="20"/>
          <w:shd w:fill="auto" w:val="clear"/>
        </w:rPr>
        <w:t xml:space="preserve">Congalton, R. G., and Green, K. (2019). Assessing the Accuracy of Remotely Sensed Data: Principles and Practices (3rd ed.). CRC Press.</w:t>
      </w:r>
    </w:p>
    <w:p>
      <w:pPr>
        <w:spacing w:before="80" w:after="60" w:line="240"/>
        <w:ind w:right="0" w:left="720" w:hanging="720"/>
        <w:jc w:val="left"/>
        <w:rPr>
          <w:rFonts w:ascii="Arial" w:hAnsi="Arial" w:cs="Arial" w:eastAsia="Arial"/>
          <w:color w:val="auto"/>
          <w:spacing w:val="0"/>
          <w:position w:val="0"/>
          <w:sz w:val="22"/>
          <w:shd w:fill="auto" w:val="clear"/>
        </w:rPr>
      </w:pPr>
      <w:r>
        <w:rPr>
          <w:rFonts w:ascii="Arial" w:hAnsi="Arial" w:cs="Arial" w:eastAsia="Arial"/>
          <w:color w:val="1A1A2E"/>
          <w:spacing w:val="0"/>
          <w:position w:val="0"/>
          <w:sz w:val="20"/>
          <w:shd w:fill="auto" w:val="clear"/>
        </w:rPr>
        <w:t xml:space="preserve">Eyring, V., Bony, S., Meehl, G. A., Senior, C. A., Stevens, B., Stouffer, R. J., and Taylor, K. E. (2016). Overview of the Coupled Model Intercomparison Project Phase 6 (CMIP6) experimental design and organization. Geoscientific Model Development, 9(5), 1937-1958.</w:t>
      </w:r>
    </w:p>
    <w:p>
      <w:pPr>
        <w:spacing w:before="80" w:after="60" w:line="240"/>
        <w:ind w:right="0" w:left="720" w:hanging="720"/>
        <w:jc w:val="left"/>
        <w:rPr>
          <w:rFonts w:ascii="Arial" w:hAnsi="Arial" w:cs="Arial" w:eastAsia="Arial"/>
          <w:color w:val="auto"/>
          <w:spacing w:val="0"/>
          <w:position w:val="0"/>
          <w:sz w:val="22"/>
          <w:shd w:fill="auto" w:val="clear"/>
        </w:rPr>
      </w:pPr>
      <w:r>
        <w:rPr>
          <w:rFonts w:ascii="Arial" w:hAnsi="Arial" w:cs="Arial" w:eastAsia="Arial"/>
          <w:color w:val="1A1A2E"/>
          <w:spacing w:val="0"/>
          <w:position w:val="0"/>
          <w:sz w:val="20"/>
          <w:shd w:fill="auto" w:val="clear"/>
        </w:rPr>
        <w:t xml:space="preserve">Hochreiter, S., and Schmidhuber, J. (1997). Long short-term memory. Neural Computation, 9(8), 1735-1780.</w:t>
      </w:r>
    </w:p>
    <w:p>
      <w:pPr>
        <w:spacing w:before="80" w:after="60" w:line="240"/>
        <w:ind w:right="0" w:left="720" w:hanging="720"/>
        <w:jc w:val="left"/>
        <w:rPr>
          <w:rFonts w:ascii="Arial" w:hAnsi="Arial" w:cs="Arial" w:eastAsia="Arial"/>
          <w:color w:val="auto"/>
          <w:spacing w:val="0"/>
          <w:position w:val="0"/>
          <w:sz w:val="22"/>
          <w:shd w:fill="auto" w:val="clear"/>
        </w:rPr>
      </w:pPr>
      <w:r>
        <w:rPr>
          <w:rFonts w:ascii="Arial" w:hAnsi="Arial" w:cs="Arial" w:eastAsia="Arial"/>
          <w:color w:val="1A1A2E"/>
          <w:spacing w:val="0"/>
          <w:position w:val="0"/>
          <w:sz w:val="20"/>
          <w:shd w:fill="auto" w:val="clear"/>
        </w:rPr>
        <w:t xml:space="preserve">Lahat, D., Adali, T., and Jutten, C. (2015). Multimodal data fusion: An overview of methods, challenges, and prospects. Proceedings of the IEEE, 103(9), 1449-1477.</w:t>
      </w:r>
    </w:p>
    <w:p>
      <w:pPr>
        <w:spacing w:before="80" w:after="60" w:line="240"/>
        <w:ind w:right="0" w:left="720" w:hanging="720"/>
        <w:jc w:val="left"/>
        <w:rPr>
          <w:rFonts w:ascii="Arial" w:hAnsi="Arial" w:cs="Arial" w:eastAsia="Arial"/>
          <w:color w:val="auto"/>
          <w:spacing w:val="0"/>
          <w:position w:val="0"/>
          <w:sz w:val="22"/>
          <w:shd w:fill="auto" w:val="clear"/>
        </w:rPr>
      </w:pPr>
      <w:r>
        <w:rPr>
          <w:rFonts w:ascii="Arial" w:hAnsi="Arial" w:cs="Arial" w:eastAsia="Arial"/>
          <w:color w:val="1A1A2E"/>
          <w:spacing w:val="0"/>
          <w:position w:val="0"/>
          <w:sz w:val="20"/>
          <w:shd w:fill="auto" w:val="clear"/>
        </w:rPr>
        <w:t xml:space="preserve">Lorenc, A. C. (1986). Analysis methods for numerical weather prediction. Quarterly Journal of the Royal Meteorological Society, 112(474), 1177-1194.</w:t>
      </w:r>
    </w:p>
    <w:p>
      <w:pPr>
        <w:spacing w:before="80" w:after="60" w:line="240"/>
        <w:ind w:right="0" w:left="720" w:hanging="720"/>
        <w:jc w:val="left"/>
        <w:rPr>
          <w:rFonts w:ascii="Arial" w:hAnsi="Arial" w:cs="Arial" w:eastAsia="Arial"/>
          <w:color w:val="auto"/>
          <w:spacing w:val="0"/>
          <w:position w:val="0"/>
          <w:sz w:val="22"/>
          <w:shd w:fill="auto" w:val="clear"/>
        </w:rPr>
      </w:pPr>
      <w:r>
        <w:rPr>
          <w:rFonts w:ascii="Arial" w:hAnsi="Arial" w:cs="Arial" w:eastAsia="Arial"/>
          <w:color w:val="1A1A2E"/>
          <w:spacing w:val="0"/>
          <w:position w:val="0"/>
          <w:sz w:val="20"/>
          <w:shd w:fill="auto" w:val="clear"/>
        </w:rPr>
        <w:t xml:space="preserve">Murphy, A. H. (1973). A new vector partition of the probability score. Journal of Applied Meteorology and Climatology, 12(4), 595-600.</w:t>
      </w:r>
    </w:p>
    <w:p>
      <w:pPr>
        <w:spacing w:before="80" w:after="60" w:line="240"/>
        <w:ind w:right="0" w:left="720" w:hanging="720"/>
        <w:jc w:val="left"/>
        <w:rPr>
          <w:rFonts w:ascii="Arial" w:hAnsi="Arial" w:cs="Arial" w:eastAsia="Arial"/>
          <w:color w:val="auto"/>
          <w:spacing w:val="0"/>
          <w:position w:val="0"/>
          <w:sz w:val="22"/>
          <w:shd w:fill="auto" w:val="clear"/>
        </w:rPr>
      </w:pPr>
      <w:r>
        <w:rPr>
          <w:rFonts w:ascii="Arial" w:hAnsi="Arial" w:cs="Arial" w:eastAsia="Arial"/>
          <w:color w:val="1A1A2E"/>
          <w:spacing w:val="0"/>
          <w:position w:val="0"/>
          <w:sz w:val="20"/>
          <w:shd w:fill="auto" w:val="clear"/>
        </w:rPr>
        <w:t xml:space="preserve">Roberts, D. R., Bahn, V., Ciuti, S., Boyce, M. S., Elith, J., Guillera-Arroita, G., Hauenstein, S., Lahoz-Monfort, J. J., Schroder, B., Thuiller, W., Warton, D. I., Wintle, B. A., Hartig, F., and Dormann, C. F. (2017). Cross-validation strategies for data with temporal, spatial, hierarchical, or phylogenetic structure. Ecography, 40(8), 913-929.</w:t>
      </w:r>
    </w:p>
    <w:p>
      <w:pPr>
        <w:spacing w:before="80" w:after="60" w:line="240"/>
        <w:ind w:right="0" w:left="720" w:hanging="720"/>
        <w:jc w:val="left"/>
        <w:rPr>
          <w:rFonts w:ascii="Arial" w:hAnsi="Arial" w:cs="Arial" w:eastAsia="Arial"/>
          <w:color w:val="auto"/>
          <w:spacing w:val="0"/>
          <w:position w:val="0"/>
          <w:sz w:val="22"/>
          <w:shd w:fill="auto" w:val="clear"/>
        </w:rPr>
      </w:pPr>
      <w:r>
        <w:rPr>
          <w:rFonts w:ascii="Arial" w:hAnsi="Arial" w:cs="Arial" w:eastAsia="Arial"/>
          <w:color w:val="1A1A2E"/>
          <w:spacing w:val="0"/>
          <w:position w:val="0"/>
          <w:sz w:val="20"/>
          <w:shd w:fill="auto" w:val="clear"/>
        </w:rPr>
        <w:t xml:space="preserve">Roberts, N. M., and Lean, H. W. (2008). Scale-selective verification of rainfall accumulations from high-resolution forecasts of convective events. Monthly Weather Review, 136(1), 78-97.</w:t>
      </w:r>
    </w:p>
    <w:p>
      <w:pPr>
        <w:spacing w:before="80" w:after="60" w:line="240"/>
        <w:ind w:right="0" w:left="720" w:hanging="720"/>
        <w:jc w:val="left"/>
        <w:rPr>
          <w:rFonts w:ascii="Arial" w:hAnsi="Arial" w:cs="Arial" w:eastAsia="Arial"/>
          <w:color w:val="auto"/>
          <w:spacing w:val="0"/>
          <w:position w:val="0"/>
          <w:sz w:val="22"/>
          <w:shd w:fill="auto" w:val="clear"/>
        </w:rPr>
      </w:pPr>
      <w:r>
        <w:rPr>
          <w:rFonts w:ascii="Arial" w:hAnsi="Arial" w:cs="Arial" w:eastAsia="Arial"/>
          <w:color w:val="1A1A2E"/>
          <w:spacing w:val="0"/>
          <w:position w:val="0"/>
          <w:sz w:val="20"/>
          <w:shd w:fill="auto" w:val="clear"/>
        </w:rPr>
        <w:t xml:space="preserve">Talagrand, O. (1997). Assimilation of observations, an introduction. Journal of the Meteorological Society of Japan, 75(1B), 191-209.</w:t>
      </w:r>
    </w:p>
    <w:p>
      <w:pPr>
        <w:spacing w:before="80" w:after="60" w:line="240"/>
        <w:ind w:right="0" w:left="720" w:hanging="720"/>
        <w:jc w:val="left"/>
        <w:rPr>
          <w:rFonts w:ascii="Arial" w:hAnsi="Arial" w:cs="Arial" w:eastAsia="Arial"/>
          <w:color w:val="auto"/>
          <w:spacing w:val="0"/>
          <w:position w:val="0"/>
          <w:sz w:val="22"/>
          <w:shd w:fill="auto" w:val="clear"/>
        </w:rPr>
      </w:pPr>
      <w:r>
        <w:rPr>
          <w:rFonts w:ascii="Arial" w:hAnsi="Arial" w:cs="Arial" w:eastAsia="Arial"/>
          <w:color w:val="1A1A2E"/>
          <w:spacing w:val="0"/>
          <w:position w:val="0"/>
          <w:sz w:val="20"/>
          <w:shd w:fill="auto" w:val="clear"/>
        </w:rPr>
        <w:t xml:space="preserve">Wilks, D. S. (2011). Statistical Methods in the Atmospheric Sciences (3rd ed.). Academic Press.</w:t>
      </w:r>
    </w:p>
    <w:p>
      <w:pPr>
        <w:spacing w:before="100" w:after="0" w:line="240"/>
        <w:ind w:right="0" w:left="0" w:firstLine="0"/>
        <w:jc w:val="left"/>
        <w:rPr>
          <w:rFonts w:ascii="Arial" w:hAnsi="Arial" w:cs="Arial" w:eastAsia="Arial"/>
          <w:color w:val="auto"/>
          <w:spacing w:val="0"/>
          <w:position w:val="0"/>
          <w:sz w:val="22"/>
          <w:shd w:fill="auto" w:val="clear"/>
        </w:rPr>
      </w:pPr>
    </w:p>
    <w:p>
      <w:pPr>
        <w:spacing w:before="320" w:after="120" w:line="240"/>
        <w:ind w:right="0" w:left="0" w:firstLine="0"/>
        <w:jc w:val="left"/>
        <w:rPr>
          <w:rFonts w:ascii="Arial" w:hAnsi="Arial" w:cs="Arial" w:eastAsia="Arial"/>
          <w:b/>
          <w:color w:val="0D7377"/>
          <w:spacing w:val="0"/>
          <w:position w:val="0"/>
          <w:sz w:val="27"/>
          <w:shd w:fill="auto" w:val="clear"/>
        </w:rPr>
      </w:pPr>
      <w:r>
        <w:rPr>
          <w:rFonts w:ascii="Arial" w:hAnsi="Arial" w:cs="Arial" w:eastAsia="Arial"/>
          <w:b/>
          <w:color w:val="0D7377"/>
          <w:spacing w:val="0"/>
          <w:position w:val="0"/>
          <w:sz w:val="27"/>
          <w:shd w:fill="auto" w:val="clear"/>
        </w:rPr>
        <w:t xml:space="preserve">8.6 Institutional and Policy Sources</w:t>
      </w:r>
    </w:p>
    <w:p>
      <w:pPr>
        <w:spacing w:before="80" w:after="60" w:line="240"/>
        <w:ind w:right="0" w:left="720" w:hanging="720"/>
        <w:jc w:val="left"/>
        <w:rPr>
          <w:rFonts w:ascii="Arial" w:hAnsi="Arial" w:cs="Arial" w:eastAsia="Arial"/>
          <w:color w:val="auto"/>
          <w:spacing w:val="0"/>
          <w:position w:val="0"/>
          <w:sz w:val="22"/>
          <w:shd w:fill="auto" w:val="clear"/>
        </w:rPr>
      </w:pPr>
      <w:r>
        <w:rPr>
          <w:rFonts w:ascii="Arial" w:hAnsi="Arial" w:cs="Arial" w:eastAsia="Arial"/>
          <w:color w:val="1A1A2E"/>
          <w:spacing w:val="0"/>
          <w:position w:val="0"/>
          <w:sz w:val="20"/>
          <w:shd w:fill="auto" w:val="clear"/>
        </w:rPr>
        <w:t xml:space="preserve">Kidd, C., Becker, A., Huffman, G. J., Muller, C. L., Joe, P., Skofronick-Jackson, G., and Kirschbaum, D. B. (2017). So, how much of the Earth's surface is covered by rain gauges? Bulletin of the American Meteorological Society, 98(1), 69-78.</w:t>
      </w:r>
    </w:p>
    <w:p>
      <w:pPr>
        <w:spacing w:before="80" w:after="60" w:line="240"/>
        <w:ind w:right="0" w:left="720" w:hanging="720"/>
        <w:jc w:val="left"/>
        <w:rPr>
          <w:rFonts w:ascii="Arial" w:hAnsi="Arial" w:cs="Arial" w:eastAsia="Arial"/>
          <w:color w:val="auto"/>
          <w:spacing w:val="0"/>
          <w:position w:val="0"/>
          <w:sz w:val="22"/>
          <w:shd w:fill="auto" w:val="clear"/>
        </w:rPr>
      </w:pPr>
      <w:r>
        <w:rPr>
          <w:rFonts w:ascii="Arial" w:hAnsi="Arial" w:cs="Arial" w:eastAsia="Arial"/>
          <w:color w:val="1A1A2E"/>
          <w:spacing w:val="0"/>
          <w:position w:val="0"/>
          <w:sz w:val="20"/>
          <w:shd w:fill="auto" w:val="clear"/>
        </w:rPr>
        <w:t xml:space="preserve">OCHA (UN Office for the Coordination of Humanitarian Affairs). (2024). East Africa Floods 2023-2024: Regional Situation Report. Geneva: OCHA.</w:t>
      </w:r>
    </w:p>
    <w:p>
      <w:pPr>
        <w:spacing w:before="80" w:after="60" w:line="240"/>
        <w:ind w:right="0" w:left="720" w:hanging="720"/>
        <w:jc w:val="left"/>
        <w:rPr>
          <w:rFonts w:ascii="Arial" w:hAnsi="Arial" w:cs="Arial" w:eastAsia="Arial"/>
          <w:color w:val="auto"/>
          <w:spacing w:val="0"/>
          <w:position w:val="0"/>
          <w:sz w:val="22"/>
          <w:shd w:fill="auto" w:val="clear"/>
        </w:rPr>
      </w:pPr>
      <w:r>
        <w:rPr>
          <w:rFonts w:ascii="Arial" w:hAnsi="Arial" w:cs="Arial" w:eastAsia="Arial"/>
          <w:color w:val="1A1A2E"/>
          <w:spacing w:val="0"/>
          <w:position w:val="0"/>
          <w:sz w:val="20"/>
          <w:shd w:fill="auto" w:val="clear"/>
        </w:rPr>
        <w:t xml:space="preserve">UNDRR (UN Office for Disaster Risk Reduction). (2020). The Human Cost of Disasters: An Overview of the Last 20 Years 2000-2019. Geneva: UNDRR.</w:t>
      </w:r>
    </w:p>
    <w:p>
      <w:pPr>
        <w:spacing w:before="80" w:after="60" w:line="240"/>
        <w:ind w:right="0" w:left="720" w:hanging="720"/>
        <w:jc w:val="left"/>
        <w:rPr>
          <w:rFonts w:ascii="Arial" w:hAnsi="Arial" w:cs="Arial" w:eastAsia="Arial"/>
          <w:color w:val="auto"/>
          <w:spacing w:val="0"/>
          <w:position w:val="0"/>
          <w:sz w:val="22"/>
          <w:shd w:fill="auto" w:val="clear"/>
        </w:rPr>
      </w:pPr>
      <w:r>
        <w:rPr>
          <w:rFonts w:ascii="Arial" w:hAnsi="Arial" w:cs="Arial" w:eastAsia="Arial"/>
          <w:color w:val="1A1A2E"/>
          <w:spacing w:val="0"/>
          <w:position w:val="0"/>
          <w:sz w:val="20"/>
          <w:shd w:fill="auto" w:val="clear"/>
        </w:rPr>
        <w:t xml:space="preserve">World Bank. (2024). East Africa Climate Change and Disaster Risk Profile 2024. Washington DC: World Bank Group.</w:t>
      </w:r>
    </w:p>
    <w:p>
      <w:pPr>
        <w:spacing w:before="80" w:after="60" w:line="240"/>
        <w:ind w:right="0" w:left="720" w:hanging="720"/>
        <w:jc w:val="left"/>
        <w:rPr>
          <w:rFonts w:ascii="Arial" w:hAnsi="Arial" w:cs="Arial" w:eastAsia="Arial"/>
          <w:color w:val="auto"/>
          <w:spacing w:val="0"/>
          <w:position w:val="0"/>
          <w:sz w:val="22"/>
          <w:shd w:fill="auto" w:val="clear"/>
        </w:rPr>
      </w:pPr>
      <w:r>
        <w:rPr>
          <w:rFonts w:ascii="Arial" w:hAnsi="Arial" w:cs="Arial" w:eastAsia="Arial"/>
          <w:color w:val="1A1A2E"/>
          <w:spacing w:val="0"/>
          <w:position w:val="0"/>
          <w:sz w:val="20"/>
          <w:shd w:fill="auto" w:val="clear"/>
        </w:rPr>
        <w:t xml:space="preserve">World Meteorological Organization (WMO). (2008). Guide to Hydrological Practices Volume II: Management of Water Resources and Application of Hydrological Practices. WMO No. 168. Geneva: WMO.</w:t>
      </w:r>
    </w:p>
    <w:p>
      <w:pPr>
        <w:spacing w:before="240" w:after="0" w:line="240"/>
        <w:ind w:right="0" w:left="0" w:firstLine="0"/>
        <w:jc w:val="left"/>
        <w:rPr>
          <w:rFonts w:ascii="Arial" w:hAnsi="Arial" w:cs="Arial" w:eastAsia="Arial"/>
          <w:color w:val="auto"/>
          <w:spacing w:val="0"/>
          <w:position w:val="0"/>
          <w:sz w:val="22"/>
          <w:shd w:fill="auto" w:val="clear"/>
        </w:rPr>
      </w:pPr>
    </w:p>
    <w:p>
      <w:pPr>
        <w:spacing w:before="0" w:after="0" w:line="240"/>
        <w:ind w:right="0" w:left="0" w:firstLine="0"/>
        <w:jc w:val="center"/>
        <w:rPr>
          <w:rFonts w:ascii="Arial" w:hAnsi="Arial" w:cs="Arial" w:eastAsia="Arial"/>
          <w:color w:val="auto"/>
          <w:spacing w:val="0"/>
          <w:position w:val="0"/>
          <w:sz w:val="22"/>
          <w:shd w:fill="auto" w:val="clear"/>
        </w:rPr>
      </w:pPr>
      <w:r>
        <w:rPr>
          <w:rFonts w:ascii="Arial" w:hAnsi="Arial" w:cs="Arial" w:eastAsia="Arial"/>
          <w:b/>
          <w:i/>
          <w:color w:val="0D7377"/>
          <w:spacing w:val="0"/>
          <w:position w:val="0"/>
          <w:sz w:val="20"/>
          <w:shd w:fill="auto" w:val="clear"/>
        </w:rPr>
        <w:t xml:space="preserve">TerraSat Apex  |  Research Methodology Document  |  2026</w:t>
      </w:r>
    </w:p>
    <w:p>
      <w:pPr>
        <w:spacing w:before="60" w:after="0" w:line="240"/>
        <w:ind w:right="0" w:left="0" w:firstLine="0"/>
        <w:jc w:val="left"/>
        <w:rPr>
          <w:rFonts w:ascii="Arial" w:hAnsi="Arial" w:cs="Arial" w:eastAsia="Arial"/>
          <w:color w:val="auto"/>
          <w:spacing w:val="0"/>
          <w:position w:val="0"/>
          <w:sz w:val="22"/>
          <w:shd w:fill="auto" w:val="clear"/>
        </w:rPr>
      </w:pPr>
    </w:p>
    <w:p>
      <w:pPr>
        <w:spacing w:before="0" w:after="0" w:line="240"/>
        <w:ind w:right="0" w:left="0" w:firstLine="0"/>
        <w:jc w:val="center"/>
        <w:rPr>
          <w:rFonts w:ascii="Arial" w:hAnsi="Arial" w:cs="Arial" w:eastAsia="Arial"/>
          <w:color w:val="auto"/>
          <w:spacing w:val="0"/>
          <w:position w:val="0"/>
          <w:sz w:val="22"/>
          <w:shd w:fill="auto" w:val="clear"/>
        </w:rPr>
      </w:pPr>
      <w:r>
        <w:rPr>
          <w:rFonts w:ascii="Arial" w:hAnsi="Arial" w:cs="Arial" w:eastAsia="Arial"/>
          <w:color w:val="AAAAAA"/>
          <w:spacing w:val="0"/>
          <w:position w:val="0"/>
          <w:sz w:val="18"/>
          <w:shd w:fill="auto" w:val="clear"/>
        </w:rPr>
        <w:t xml:space="preserve">TerraSat  |  Nairobi, Kenya  |  info@terrsat.com  |  </w:t>
      </w:r>
      <w:hyperlink xmlns:r="http://schemas.openxmlformats.org/officeDocument/2006/relationships" r:id="docRId0">
        <w:r>
          <w:rPr>
            <w:rFonts w:ascii="Arial" w:hAnsi="Arial" w:cs="Arial" w:eastAsia="Arial"/>
            <w:color w:val="AAAAAA"/>
            <w:spacing w:val="0"/>
            <w:position w:val="0"/>
            <w:sz w:val="18"/>
            <w:u w:val="single"/>
            <w:shd w:fill="auto" w:val="clear"/>
          </w:rPr>
          <w:t xml:space="preserve">www.terrasat.africa</w:t>
        </w:r>
      </w:hyperlink>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num w:numId="127">
    <w:abstractNumId w:val="18"/>
  </w:num>
  <w:num w:numId="185">
    <w:abstractNumId w:val="12"/>
  </w:num>
  <w:num w:numId="336">
    <w:abstractNumId w:val="6"/>
  </w:num>
  <w:num w:numId="339">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Mode="External" Target="http://www.terrasat.africa/" Id="docRId0" Type="http://schemas.openxmlformats.org/officeDocument/2006/relationships/hyperlink" /><Relationship Target="numbering.xml" Id="docRId1" Type="http://schemas.openxmlformats.org/officeDocument/2006/relationships/numbering" /><Relationship Target="styles.xml" Id="docRId2" Type="http://schemas.openxmlformats.org/officeDocument/2006/relationships/styles" /></Relationships>
</file>