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B3A6B"/>
          <w:sz w:val="64"/>
          <w:szCs w:val="64"/>
        </w:rPr>
        <w:t xml:space="preserve">AGENTLEDGER</w:t>
      </w:r>
    </w:p>
    <w:p>
      <w:pPr>
        <w:spacing w:after="80" w:before="0"/>
      </w:pPr>
      <w:r>
        <w:rPr>
          <w:rFonts w:ascii="Arial" w:cs="Arial" w:eastAsia="Arial" w:hAnsi="Arial"/>
          <w:color w:val="1A1A2E"/>
          <w:sz w:val="30"/>
          <w:szCs w:val="30"/>
        </w:rPr>
        <w:t xml:space="preserve">Trust &amp; Discovery Infrastructure for the Autonomous Agent Web</w:t>
      </w:r>
    </w:p>
    <w:p>
      <w:pPr>
        <w:spacing w:after="600" w:before="0"/>
      </w:pPr>
      <w:r>
        <w:rPr>
          <w:rFonts w:ascii="Arial" w:cs="Arial" w:eastAsia="Arial" w:hAnsi="Arial"/>
          <w:i/>
          <w:iCs/>
          <w:color w:val="666680"/>
          <w:sz w:val="22"/>
          <w:szCs w:val="22"/>
        </w:rPr>
        <w:t xml:space="preserve">Working Paper v0.1  |  April 2026  |  Michael Williams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E8EDF5" w:val="clear"/>
            <w:tcMar>
              <w:top w:type="dxa" w:w="120"/>
              <w:left w:type="dxa" w:w="140"/>
              <w:bottom w:type="dxa" w:w="120"/>
              <w:right w:type="dxa" w:w="140"/>
            </w:tcMar>
          </w:tcPr>
          <w:p>
            <w:r>
              <w:rPr>
                <w:rFonts w:ascii="Arial" w:cs="Arial" w:eastAsia="Arial" w:hAnsi="Arial"/>
                <w:b/>
                <w:bCs/>
                <w:color w:val="1B3A6B"/>
                <w:sz w:val="36"/>
                <w:szCs w:val="36"/>
              </w:rPr>
              <w:t xml:space="preserve">104,000+</w:t>
            </w:r>
          </w:p>
          <w:p>
            <w:r>
              <w:rPr>
                <w:rFonts w:ascii="Arial" w:cs="Arial" w:eastAsia="Arial" w:hAnsi="Arial"/>
                <w:color w:val="666680"/>
                <w:sz w:val="18"/>
                <w:szCs w:val="18"/>
              </w:rPr>
              <w:t xml:space="preserve">Agents registered across 15+ registries with zero cross-registry trust</w:t>
            </w:r>
          </w:p>
        </w:tc>
        <w:tc>
          <w:tcPr>
            <w:tcBorders>
              <w:top w:val="single" w:color="CCCCCC" w:sz="1"/>
              <w:left w:val="single" w:color="CCCCCC" w:sz="1"/>
              <w:bottom w:val="single" w:color="CCCCCC" w:sz="1"/>
              <w:right w:val="single" w:color="CCCCCC" w:sz="1"/>
            </w:tcBorders>
            <w:shd w:fill="E8EDF5" w:val="clear"/>
            <w:tcMar>
              <w:top w:type="dxa" w:w="120"/>
              <w:left w:type="dxa" w:w="140"/>
              <w:bottom w:type="dxa" w:w="120"/>
              <w:right w:type="dxa" w:w="140"/>
            </w:tcMar>
          </w:tcPr>
          <w:p>
            <w:r>
              <w:rPr>
                <w:rFonts w:ascii="Arial" w:cs="Arial" w:eastAsia="Arial" w:hAnsi="Arial"/>
                <w:b/>
                <w:bCs/>
                <w:color w:val="1B3A6B"/>
                <w:sz w:val="36"/>
                <w:szCs w:val="36"/>
              </w:rPr>
              <w:t xml:space="preserve">10+</w:t>
            </w:r>
          </w:p>
          <w:p>
            <w:r>
              <w:rPr>
                <w:rFonts w:ascii="Arial" w:cs="Arial" w:eastAsia="Arial" w:hAnsi="Arial"/>
                <w:color w:val="666680"/>
                <w:sz w:val="18"/>
                <w:szCs w:val="18"/>
              </w:rPr>
              <w:t xml:space="preserve">Competing IETF discovery drafts — no converged standard</w:t>
            </w:r>
          </w:p>
        </w:tc>
        <w:tc>
          <w:tcPr>
            <w:tcBorders>
              <w:top w:val="single" w:color="CCCCCC" w:sz="1"/>
              <w:left w:val="single" w:color="CCCCCC" w:sz="1"/>
              <w:bottom w:val="single" w:color="CCCCCC" w:sz="1"/>
              <w:right w:val="single" w:color="CCCCCC" w:sz="1"/>
            </w:tcBorders>
            <w:shd w:fill="E8EDF5" w:val="clear"/>
            <w:tcMar>
              <w:top w:type="dxa" w:w="120"/>
              <w:left w:type="dxa" w:w="140"/>
              <w:bottom w:type="dxa" w:w="120"/>
              <w:right w:type="dxa" w:w="140"/>
            </w:tcMar>
          </w:tcPr>
          <w:p>
            <w:r>
              <w:rPr>
                <w:rFonts w:ascii="Arial" w:cs="Arial" w:eastAsia="Arial" w:hAnsi="Arial"/>
                <w:b/>
                <w:bCs/>
                <w:color w:val="1B3A6B"/>
                <w:sz w:val="36"/>
                <w:szCs w:val="36"/>
              </w:rPr>
              <w:t xml:space="preserve">~40</w:t>
            </w:r>
          </w:p>
          <w:p>
            <w:r>
              <w:rPr>
                <w:rFonts w:ascii="Arial" w:cs="Arial" w:eastAsia="Arial" w:hAnsi="Arial"/>
                <w:color w:val="666680"/>
                <w:sz w:val="18"/>
                <w:szCs w:val="18"/>
              </w:rPr>
              <w:t xml:space="preserve">Known MCP threat vectors with no unified defense layer</w:t>
            </w:r>
          </w:p>
        </w:tc>
      </w:tr>
    </w:tbl>
    <w:p>
      <w:pPr>
        <w:spacing w:after="0" w:before="400"/>
      </w:pPr>
      <w:r>
        <w:t xml:space="preserve"/>
      </w:r>
    </w:p>
    <w:p>
      <w:pPr>
        <w:pStyle w:val="Heading2"/>
        <w:pBdr>
          <w:bottom w:val="single" w:color="C5D2E8" w:sz="4" w:space="4"/>
        </w:pBdr>
        <w:spacing w:after="120" w:before="300"/>
      </w:pPr>
      <w:r>
        <w:rPr>
          <w:rFonts w:ascii="Arial" w:cs="Arial" w:eastAsia="Arial" w:hAnsi="Arial"/>
          <w:b/>
          <w:bCs/>
          <w:color w:val="1A1A2E"/>
          <w:sz w:val="26"/>
          <w:szCs w:val="26"/>
        </w:rPr>
        <w:t xml:space="preserve">Abstract</w:t>
      </w:r>
    </w:p>
    <w:p>
      <w:pPr>
        <w:spacing w:after="120" w:before="80"/>
      </w:pPr>
      <w:r>
        <w:rPr>
          <w:rFonts w:ascii="Arial" w:cs="Arial" w:eastAsia="Arial" w:hAnsi="Arial"/>
          <w:color w:val="1A1A2E"/>
          <w:sz w:val="22"/>
          <w:szCs w:val="22"/>
        </w:rPr>
        <w:t xml:space="preserve">The autonomous agent web is fragmenting faster than any standards body can respond. Over 104,000 AI agents are now registered across 15 or more incompatible registries. The three dominant protocols — MCP, A2A, and agents.txt — define how agents communicate but say nothing about how they verify the services they interact with. When an agent executes a financial transaction, books travel, or shares medical records with a third-party service, no infrastructure exists to answer the foundational question: can this service be trusted?</w:t>
      </w:r>
    </w:p>
    <w:p>
      <w:pPr>
        <w:spacing w:after="0" w:before="80"/>
      </w:pPr>
      <w:r>
        <w:t xml:space="preserve"/>
      </w:r>
    </w:p>
    <w:p>
      <w:pPr>
        <w:spacing w:after="120" w:before="80"/>
      </w:pPr>
      <w:r>
        <w:rPr>
          <w:rFonts w:ascii="Arial" w:cs="Arial" w:eastAsia="Arial" w:hAnsi="Arial"/>
          <w:color w:val="1A1A2E"/>
          <w:sz w:val="22"/>
          <w:szCs w:val="22"/>
        </w:rPr>
        <w:t xml:space="preserve">AgentLedger proposes a three-component infrastructure layer that sits above existing communication protocols and below orchestration frameworks. It provides a universal capability ontology, a blockchain-anchored trust attestation ledger, and a cryptographically verifiable audit chain for agent actions. This paper defines the architecture, threat model, and market positioning for AgentLedger as the neutral trust and discovery standard for the emerging agent web.</w:t>
      </w:r>
    </w:p>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1. The Problem</w:t>
      </w:r>
    </w:p>
    <w:p>
      <w:pPr>
        <w:pStyle w:val="Heading2"/>
        <w:pBdr>
          <w:bottom w:val="single" w:color="C5D2E8" w:sz="4" w:space="4"/>
        </w:pBdr>
        <w:spacing w:after="120" w:before="300"/>
      </w:pPr>
      <w:r>
        <w:rPr>
          <w:rFonts w:ascii="Arial" w:cs="Arial" w:eastAsia="Arial" w:hAnsi="Arial"/>
          <w:b/>
          <w:bCs/>
          <w:color w:val="1A1A2E"/>
          <w:sz w:val="26"/>
          <w:szCs w:val="26"/>
        </w:rPr>
        <w:t xml:space="preserve">1.1 The Build Layer Is Collapsing</w:t>
      </w:r>
    </w:p>
    <w:p>
      <w:pPr>
        <w:spacing w:after="120" w:before="80"/>
      </w:pPr>
      <w:r>
        <w:rPr>
          <w:rFonts w:ascii="Arial" w:cs="Arial" w:eastAsia="Arial" w:hAnsi="Arial"/>
          <w:color w:val="1A1A2E"/>
          <w:sz w:val="22"/>
          <w:szCs w:val="22"/>
        </w:rPr>
        <w:t xml:space="preserve">AI has eliminated the marginal cost of building software. In 2026, generating a functional web application, API service, or agent-facing tool costs minutes and approaches zero dollars. This abundance creates a new bottleneck: not how to build services, but how agents find them, verify them, and safely interact with them.</w:t>
      </w:r>
    </w:p>
    <w:p>
      <w:pPr>
        <w:spacing w:after="0" w:before="80"/>
      </w:pPr>
      <w:r>
        <w:t xml:space="preserve"/>
      </w:r>
    </w:p>
    <w:p>
      <w:pPr>
        <w:spacing w:after="120" w:before="80"/>
      </w:pPr>
      <w:r>
        <w:rPr>
          <w:rFonts w:ascii="Arial" w:cs="Arial" w:eastAsia="Arial" w:hAnsi="Arial"/>
          <w:color w:val="1A1A2E"/>
          <w:sz w:val="22"/>
          <w:szCs w:val="22"/>
        </w:rPr>
        <w:t xml:space="preserve">The economic model of the internet is shifting. When supply is infinite, distribution and trust become the scarce resources. The businesses that will capture disproportionate value in the agentic era are not those that build the best service — they are those that control how agents discover, evaluate, and route to services.</w:t>
      </w:r>
    </w:p>
    <w:p>
      <w:pPr>
        <w:pStyle w:val="Heading2"/>
        <w:pBdr>
          <w:bottom w:val="single" w:color="C5D2E8" w:sz="4" w:space="4"/>
        </w:pBdr>
        <w:spacing w:after="120" w:before="300"/>
      </w:pPr>
      <w:r>
        <w:rPr>
          <w:rFonts w:ascii="Arial" w:cs="Arial" w:eastAsia="Arial" w:hAnsi="Arial"/>
          <w:b/>
          <w:bCs/>
          <w:color w:val="1A1A2E"/>
          <w:sz w:val="26"/>
          <w:szCs w:val="26"/>
        </w:rPr>
        <w:t xml:space="preserve">1.2 The Discovery Gap</w:t>
      </w:r>
    </w:p>
    <w:p>
      <w:pPr>
        <w:spacing w:after="120" w:before="80"/>
      </w:pPr>
      <w:r>
        <w:rPr>
          <w:rFonts w:ascii="Arial" w:cs="Arial" w:eastAsia="Arial" w:hAnsi="Arial"/>
          <w:color w:val="1A1A2E"/>
          <w:sz w:val="22"/>
          <w:szCs w:val="22"/>
        </w:rPr>
        <w:t xml:space="preserve">Traditional search infrastructure is built for human cognition: keyword matching, link graphs, click-through signals, visual rendering. Agents require fundamentally different infrastructure. They do not browse. They query. They need structured, machine-readable declarations of capability, pricing, reliability, latency, data requirements, and trust posture — delivered in a format that can be evaluated and acted upon without human interpretation.</w:t>
      </w:r>
    </w:p>
    <w:p>
      <w:pPr>
        <w:spacing w:after="0" w:before="80"/>
      </w:pPr>
      <w:r>
        <w:t xml:space="preserve"/>
      </w:r>
    </w:p>
    <w:p>
      <w:pPr>
        <w:spacing w:after="120" w:before="80"/>
      </w:pPr>
      <w:r>
        <w:rPr>
          <w:rFonts w:ascii="Arial" w:cs="Arial" w:eastAsia="Arial" w:hAnsi="Arial"/>
          <w:color w:val="1A1A2E"/>
          <w:sz w:val="22"/>
          <w:szCs w:val="22"/>
        </w:rPr>
        <w:t xml:space="preserve">No such standard exists. Services that want to serve agents must either build custom integrations with each agent platform (the N×N problem) or hope that agent developers manually discover and implement their API. This is not a scalable architecture for a world with millions of agent-callable services.</w:t>
      </w:r>
    </w:p>
    <w:p>
      <w:pPr>
        <w:pStyle w:val="Heading2"/>
        <w:pBdr>
          <w:bottom w:val="single" w:color="C5D2E8" w:sz="4" w:space="4"/>
        </w:pBdr>
        <w:spacing w:after="120" w:before="300"/>
      </w:pPr>
      <w:r>
        <w:rPr>
          <w:rFonts w:ascii="Arial" w:cs="Arial" w:eastAsia="Arial" w:hAnsi="Arial"/>
          <w:b/>
          <w:bCs/>
          <w:color w:val="1A1A2E"/>
          <w:sz w:val="26"/>
          <w:szCs w:val="26"/>
        </w:rPr>
        <w:t xml:space="preserve">1.3 The Trust Vacuum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E8EDF5" w:val="clear"/>
            <w:tcMar>
              <w:top w:type="dxa" w:w="120"/>
              <w:left w:type="dxa" w:w="180"/>
              <w:bottom w:type="dxa" w:w="120"/>
              <w:right w:type="dxa" w:w="120"/>
            </w:tcMar>
          </w:tcPr>
          <w:p>
            <w:pPr>
              <w:spacing w:after="60" w:before="0"/>
            </w:pPr>
            <w:r>
              <w:rPr>
                <w:rFonts w:ascii="Arial" w:cs="Arial" w:eastAsia="Arial" w:hAnsi="Arial"/>
                <w:b/>
                <w:bCs/>
                <w:color w:val="1B3A6B"/>
                <w:sz w:val="20"/>
                <w:szCs w:val="20"/>
              </w:rPr>
              <w:t xml:space="preserve">The Central Risk</w:t>
            </w:r>
          </w:p>
          <w:p>
            <w:pPr>
              <w:spacing w:after="0" w:before="0"/>
            </w:pPr>
            <w:r>
              <w:rPr>
                <w:rFonts w:ascii="Arial" w:cs="Arial" w:eastAsia="Arial" w:hAnsi="Arial"/>
                <w:color w:val="1A1A2E"/>
                <w:sz w:val="20"/>
                <w:szCs w:val="20"/>
              </w:rPr>
              <w:t xml:space="preserve">An agent routing a user's medical records or payment credentials through an unverified service is not a theoretical risk. It is an architectural certainty in a world where service discovery has no trust layer.</w:t>
            </w:r>
          </w:p>
        </w:tc>
      </w:tr>
    </w:tbl>
    <w:p>
      <w:pPr>
        <w:spacing w:after="0" w:before="120"/>
      </w:pPr>
      <w:r>
        <w:t xml:space="preserve"/>
      </w:r>
    </w:p>
    <w:p>
      <w:pPr>
        <w:spacing w:after="120" w:before="80"/>
      </w:pPr>
      <w:r>
        <w:rPr>
          <w:rFonts w:ascii="Arial" w:cs="Arial" w:eastAsia="Arial" w:hAnsi="Arial"/>
          <w:color w:val="1A1A2E"/>
          <w:sz w:val="22"/>
          <w:szCs w:val="22"/>
        </w:rPr>
        <w:t xml:space="preserve">The existing protocol stack explicitly scopes out trust. MCP defines how to call a tool — not whether the tool is safe to call. A2A defines how agents delegate tasks to each other — not whether the delegated agent is legitimate. agents.txt declares what endpoints an agent may access — not whether the declaring service is who it claims to be.</w:t>
      </w:r>
    </w:p>
    <w:p>
      <w:pPr>
        <w:spacing w:after="0" w:before="80"/>
      </w:pPr>
      <w:r>
        <w:t xml:space="preserve"/>
      </w:r>
    </w:p>
    <w:p>
      <w:pPr>
        <w:spacing w:after="120" w:before="80"/>
      </w:pPr>
      <w:r>
        <w:rPr>
          <w:rFonts w:ascii="Arial" w:cs="Arial" w:eastAsia="Arial" w:hAnsi="Arial"/>
          <w:color w:val="1A1A2E"/>
          <w:sz w:val="22"/>
          <w:szCs w:val="22"/>
        </w:rPr>
        <w:t xml:space="preserve">This gap is not an oversight. It is a deliberate scope decision by protocol designers who correctly identified that trust is a separate, harder problem. The consequence is that every agent operating on these protocols today operates in a trust vacuum. Services are assumed legitimate unless proven otherwise — after harm has already occurred.</w:t>
      </w:r>
    </w:p>
    <w:p>
      <w:pPr>
        <w:pStyle w:val="Heading2"/>
        <w:pBdr>
          <w:bottom w:val="single" w:color="C5D2E8" w:sz="4" w:space="4"/>
        </w:pBdr>
        <w:spacing w:after="120" w:before="300"/>
      </w:pPr>
      <w:r>
        <w:rPr>
          <w:rFonts w:ascii="Arial" w:cs="Arial" w:eastAsia="Arial" w:hAnsi="Arial"/>
          <w:b/>
          <w:bCs/>
          <w:color w:val="1A1A2E"/>
          <w:sz w:val="26"/>
          <w:szCs w:val="26"/>
        </w:rPr>
        <w:t xml:space="preserve">1.4 The Fragmentation Problem</w:t>
      </w:r>
    </w:p>
    <w:p>
      <w:pPr>
        <w:spacing w:after="120" w:before="80"/>
      </w:pPr>
      <w:r>
        <w:rPr>
          <w:rFonts w:ascii="Arial" w:cs="Arial" w:eastAsia="Arial" w:hAnsi="Arial"/>
          <w:color w:val="1A1A2E"/>
          <w:sz w:val="22"/>
          <w:szCs w:val="22"/>
        </w:rPr>
        <w:t xml:space="preserve">The standards landscape has reached a critical dysfunction. As of Q1 2026, there are more than ten active IETF drafts competing to define agent discovery, each with different schemas, different trust models, and different assumptions about governance. Domain-specific registries are forming independently: Google's Universal Commerce Protocol for retail, IAB's Agent-to-Agent Marketplace Protocol for advertising, Huawei's A2A-T for telecommunications. An agent listed in one registry is invisible to clients querying another.</w:t>
      </w:r>
    </w:p>
    <w:p>
      <w:pPr>
        <w:spacing w:after="0" w:before="80"/>
      </w:pPr>
      <w:r>
        <w:t xml:space="preserve"/>
      </w:r>
    </w:p>
    <w:p>
      <w:pPr>
        <w:spacing w:after="120" w:before="80"/>
      </w:pPr>
      <w:r>
        <w:rPr>
          <w:rFonts w:ascii="Arial" w:cs="Arial" w:eastAsia="Arial" w:hAnsi="Arial"/>
          <w:color w:val="1A1A2E"/>
          <w:sz w:val="22"/>
          <w:szCs w:val="22"/>
        </w:rPr>
        <w:t xml:space="preserve">This fragmentation is not temporary coordination friction. It is the natural trajectory of a standards process without a neutral infrastructure layer to federate across competing registries. The entity that provides that federation layer does not need to win the standards war. It needs to make the standards war irrelevant to agents.</w:t>
      </w:r>
    </w:p>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2. Existing Protocol Landscape</w:t>
      </w:r>
    </w:p>
    <w:p>
      <w:pPr>
        <w:pStyle w:val="Heading2"/>
        <w:pBdr>
          <w:bottom w:val="single" w:color="C5D2E8" w:sz="4" w:space="4"/>
        </w:pBdr>
        <w:spacing w:after="120" w:before="300"/>
      </w:pPr>
      <w:r>
        <w:rPr>
          <w:rFonts w:ascii="Arial" w:cs="Arial" w:eastAsia="Arial" w:hAnsi="Arial"/>
          <w:b/>
          <w:bCs/>
          <w:color w:val="1A1A2E"/>
          <w:sz w:val="26"/>
          <w:szCs w:val="26"/>
        </w:rPr>
        <w:t xml:space="preserve">2.1 What the Current Stack Solves</w:t>
      </w:r>
    </w:p>
    <w:p>
      <w:pPr>
        <w:spacing w:after="120" w:before="80"/>
      </w:pPr>
      <w:r>
        <w:rPr>
          <w:rFonts w:ascii="Arial" w:cs="Arial" w:eastAsia="Arial" w:hAnsi="Arial"/>
          <w:color w:val="1A1A2E"/>
          <w:sz w:val="22"/>
          <w:szCs w:val="22"/>
        </w:rPr>
        <w:t xml:space="preserve">Three protocols have achieved meaningful adoption and define the baseline infrastructure of the agent web as of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Solves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Explicitly Excludes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MCP (Anthropic → LF)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Agent-to-tool communication. 97M monthly SDK downloads. De facto standard for connecting agents to external data and APIs.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Trust verification, service discovery, cross-registry reputation</w:t>
            </w:r>
          </w:p>
        </w:tc>
      </w:tr>
      <w:tr>
        <w:tc>
          <w:tcPr>
            <w:tcW w:type="dxa" w:w="312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A2A (Google → LF)</w:t>
            </w:r>
          </w:p>
        </w:tc>
        <w:tc>
          <w:tcPr>
            <w:tcW w:type="dxa" w:w="312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Agent-to-agent task delegation. 150+ supporting organizations. Defines Agent Cards for capability advertisement between known agents.</w:t>
            </w:r>
          </w:p>
        </w:tc>
        <w:tc>
          <w:tcPr>
            <w:tcW w:type="dxa" w:w="312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Service trust scoring, semantic discovery across unknown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agents.txt (Community)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declaration of which agent endpoints are permitted. Emerging standard at /.well-known/agents.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Identity verification, capability attestation, trust scoring</w:t>
            </w:r>
          </w:p>
        </w:tc>
      </w:tr>
    </w:tbl>
    <w:p>
      <w:pPr>
        <w:spacing w:after="0" w:before="160"/>
      </w:pPr>
      <w:r>
        <w:t xml:space="preserve"/>
      </w:r>
    </w:p>
    <w:p>
      <w:pPr>
        <w:pStyle w:val="Heading2"/>
        <w:pBdr>
          <w:bottom w:val="single" w:color="C5D2E8" w:sz="4" w:space="4"/>
        </w:pBdr>
        <w:spacing w:after="120" w:before="300"/>
      </w:pPr>
      <w:r>
        <w:rPr>
          <w:rFonts w:ascii="Arial" w:cs="Arial" w:eastAsia="Arial" w:hAnsi="Arial"/>
          <w:b/>
          <w:bCs/>
          <w:color w:val="1A1A2E"/>
          <w:sz w:val="26"/>
          <w:szCs w:val="26"/>
        </w:rPr>
        <w:t xml:space="preserve">2.2 The Failed Predecessor: UDDI</w:t>
      </w:r>
    </w:p>
    <w:p>
      <w:pPr>
        <w:spacing w:after="120" w:before="80"/>
      </w:pPr>
      <w:r>
        <w:rPr>
          <w:rFonts w:ascii="Arial" w:cs="Arial" w:eastAsia="Arial" w:hAnsi="Arial"/>
          <w:color w:val="1A1A2E"/>
          <w:sz w:val="22"/>
          <w:szCs w:val="22"/>
        </w:rPr>
        <w:t xml:space="preserve">The problem AgentLedger addresses was attempted once before. UDDI (Universal Description, Discovery and Integration) was launched in 2000 to create a shared registry of web services for SOAP-based B2B integration. It failed for three reasons: the tooling was too heavy for developers to adopt, there was no semantic query capability, and trust and verification were entirely absent.</w:t>
      </w:r>
    </w:p>
    <w:p>
      <w:pPr>
        <w:spacing w:after="0" w:before="80"/>
      </w:pPr>
      <w:r>
        <w:t xml:space="preserve"/>
      </w:r>
    </w:p>
    <w:p>
      <w:pPr>
        <w:spacing w:after="120" w:before="80"/>
      </w:pPr>
      <w:r>
        <w:rPr>
          <w:rFonts w:ascii="Arial" w:cs="Arial" w:eastAsia="Arial" w:hAnsi="Arial"/>
          <w:color w:val="1A1A2E"/>
          <w:sz w:val="22"/>
          <w:szCs w:val="22"/>
        </w:rPr>
        <w:t xml:space="preserve">The conditions that caused UDDI's failure no longer exist. LLMs provide the semantic query capability UDDI lacked. MCP and A2A provide the lightweight communication layer that SOAP never achieved. Blockchain provides the immutable trust infrastructure that was impossible in 2000. AgentLedger is the second attempt at UDDI — built for conditions that now exist.</w:t>
      </w:r>
    </w:p>
    <w:p>
      <w:pPr>
        <w:pStyle w:val="Heading2"/>
        <w:pBdr>
          <w:bottom w:val="single" w:color="C5D2E8" w:sz="4" w:space="4"/>
        </w:pBdr>
        <w:spacing w:after="120" w:before="300"/>
      </w:pPr>
      <w:r>
        <w:rPr>
          <w:rFonts w:ascii="Arial" w:cs="Arial" w:eastAsia="Arial" w:hAnsi="Arial"/>
          <w:b/>
          <w:bCs/>
          <w:color w:val="1A1A2E"/>
          <w:sz w:val="26"/>
          <w:szCs w:val="26"/>
        </w:rPr>
        <w:t xml:space="preserve">2.3 The Whitespace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E8EDF5" w:val="clear"/>
            <w:tcMar>
              <w:top w:type="dxa" w:w="120"/>
              <w:left w:type="dxa" w:w="180"/>
              <w:bottom w:type="dxa" w:w="120"/>
              <w:right w:type="dxa" w:w="120"/>
            </w:tcMar>
          </w:tcPr>
          <w:p>
            <w:pPr>
              <w:spacing w:after="60" w:before="0"/>
            </w:pPr>
            <w:r>
              <w:rPr>
                <w:rFonts w:ascii="Arial" w:cs="Arial" w:eastAsia="Arial" w:hAnsi="Arial"/>
                <w:b/>
                <w:bCs/>
                <w:color w:val="1B3A6B"/>
                <w:sz w:val="20"/>
                <w:szCs w:val="20"/>
              </w:rPr>
              <w:t xml:space="preserve">The Gap Statement</w:t>
            </w:r>
          </w:p>
          <w:p>
            <w:pPr>
              <w:spacing w:after="0" w:before="0"/>
            </w:pPr>
            <w:r>
              <w:rPr>
                <w:rFonts w:ascii="Arial" w:cs="Arial" w:eastAsia="Arial" w:hAnsi="Arial"/>
                <w:color w:val="1A1A2E"/>
                <w:sz w:val="20"/>
                <w:szCs w:val="20"/>
              </w:rPr>
              <w:t xml:space="preserve">MCP, A2A, and agents.txt collectively define agent communication. None of them define agent trust. AgentLedger does not compete with these protocols. It makes them trustworthy.</w:t>
            </w:r>
          </w:p>
        </w:tc>
      </w:tr>
    </w:tbl>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3. AgentLedger Architecture</w:t>
      </w:r>
    </w:p>
    <w:p>
      <w:pPr>
        <w:pStyle w:val="Heading2"/>
        <w:pBdr>
          <w:bottom w:val="single" w:color="C5D2E8" w:sz="4" w:space="4"/>
        </w:pBdr>
        <w:spacing w:after="120" w:before="300"/>
      </w:pPr>
      <w:r>
        <w:rPr>
          <w:rFonts w:ascii="Arial" w:cs="Arial" w:eastAsia="Arial" w:hAnsi="Arial"/>
          <w:b/>
          <w:bCs/>
          <w:color w:val="1A1A2E"/>
          <w:sz w:val="26"/>
          <w:szCs w:val="26"/>
        </w:rPr>
        <w:t xml:space="preserve">3.1 Overview</w:t>
      </w:r>
    </w:p>
    <w:p>
      <w:pPr>
        <w:spacing w:after="120" w:before="80"/>
      </w:pPr>
      <w:r>
        <w:rPr>
          <w:rFonts w:ascii="Arial" w:cs="Arial" w:eastAsia="Arial" w:hAnsi="Arial"/>
          <w:color w:val="1A1A2E"/>
          <w:sz w:val="22"/>
          <w:szCs w:val="22"/>
        </w:rPr>
        <w:t xml:space="preserve">AgentLedger is composed of three integrated components: the Manifest Registry, the Trust Ledger, and the Audit Chain. Each component addresses a distinct gap in the current protocol stack while interoperating with existing standards.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Analogous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Manifest Registry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capability ontology and semantic discovery API enabling agents to find and evaluate services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DNS + App Store + NPM combined, built agent-first</w:t>
            </w:r>
          </w:p>
        </w:tc>
      </w:tr>
      <w:tr>
        <w:tc>
          <w:tcPr>
            <w:tcW w:type="dxa" w:w="20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Trust Ledger</w:t>
            </w:r>
          </w:p>
        </w:tc>
        <w:tc>
          <w:tcPr>
            <w:tcW w:type="dxa" w:w="40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Blockchain-anchored attestation records providing immutable, cross-registry, cryptographically verifiable trust scores</w:t>
            </w:r>
          </w:p>
        </w:tc>
        <w:tc>
          <w:tcPr>
            <w:tcW w:type="dxa" w:w="336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Certificate Authority infrastructure, but decentralized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Chain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Tamper-proof action logs enabling liability attribution and governance for autonomous agent transactions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Financial transaction ledger + legal chain of custody</w:t>
            </w:r>
          </w:p>
        </w:tc>
      </w:tr>
    </w:tbl>
    <w:p>
      <w:pPr>
        <w:spacing w:after="0" w:before="160"/>
      </w:pPr>
      <w:r>
        <w:t xml:space="preserve"/>
      </w:r>
    </w:p>
    <w:p>
      <w:pPr>
        <w:pStyle w:val="Heading2"/>
        <w:pBdr>
          <w:bottom w:val="single" w:color="C5D2E8" w:sz="4" w:space="4"/>
        </w:pBdr>
        <w:spacing w:after="120" w:before="300"/>
      </w:pPr>
      <w:r>
        <w:rPr>
          <w:rFonts w:ascii="Arial" w:cs="Arial" w:eastAsia="Arial" w:hAnsi="Arial"/>
          <w:b/>
          <w:bCs/>
          <w:color w:val="1A1A2E"/>
          <w:sz w:val="26"/>
          <w:szCs w:val="26"/>
        </w:rPr>
        <w:t xml:space="preserve">3.2 Component 1: The Manifest Registry</w:t>
      </w:r>
    </w:p>
    <w:p>
      <w:pPr>
        <w:spacing w:after="120" w:before="80"/>
      </w:pPr>
      <w:r>
        <w:rPr>
          <w:rFonts w:ascii="Arial" w:cs="Arial" w:eastAsia="Arial" w:hAnsi="Arial"/>
          <w:color w:val="1A1A2E"/>
          <w:sz w:val="22"/>
          <w:szCs w:val="22"/>
        </w:rPr>
        <w:t xml:space="preserve">The Manifest Registry solves the discovery problem by providing a universal, machine-queryable index of agent-native services. Every registered service publishes a structured manifest at a standard path (/.well-known/agent-manifest.json) declaring five categories of information:</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Identity Block — legal entity, domain, cryptographic public key for manifest signing</w:t>
      </w:r>
    </w:p>
    <w:p>
      <w:pPr>
        <w:pStyle w:val="ListParagraph"/>
        <w:numPr>
          <w:ilvl w:val="0"/>
          <w:numId w:val="2"/>
        </w:numPr>
        <w:spacing w:after="40" w:before="40"/>
      </w:pPr>
      <w:r>
        <w:rPr>
          <w:rFonts w:ascii="Arial" w:cs="Arial" w:eastAsia="Arial" w:hAnsi="Arial"/>
          <w:color w:val="1A1A2E"/>
          <w:sz w:val="22"/>
          <w:szCs w:val="22"/>
        </w:rPr>
        <w:t xml:space="preserve">Capability Block — structured declarations against a universal ontology taxonomy (see Section 3.5), including semantic descriptions, input/output schemas, and registry-verified success rates</w:t>
      </w:r>
    </w:p>
    <w:p>
      <w:pPr>
        <w:pStyle w:val="ListParagraph"/>
        <w:numPr>
          <w:ilvl w:val="0"/>
          <w:numId w:val="2"/>
        </w:numPr>
        <w:spacing w:after="40" w:before="40"/>
      </w:pPr>
      <w:r>
        <w:rPr>
          <w:rFonts w:ascii="Arial" w:cs="Arial" w:eastAsia="Arial" w:hAnsi="Arial"/>
          <w:color w:val="1A1A2E"/>
          <w:sz w:val="22"/>
          <w:szCs w:val="22"/>
        </w:rPr>
        <w:t xml:space="preserve">Economics Block — pricing model, payment method compatibility (including HTTP 402 micropayments), refund policy</w:t>
      </w:r>
    </w:p>
    <w:p>
      <w:pPr>
        <w:pStyle w:val="ListParagraph"/>
        <w:numPr>
          <w:ilvl w:val="0"/>
          <w:numId w:val="2"/>
        </w:numPr>
        <w:spacing w:after="40" w:before="40"/>
      </w:pPr>
      <w:r>
        <w:rPr>
          <w:rFonts w:ascii="Arial" w:cs="Arial" w:eastAsia="Arial" w:hAnsi="Arial"/>
          <w:color w:val="1A1A2E"/>
          <w:sz w:val="22"/>
          <w:szCs w:val="22"/>
        </w:rPr>
        <w:t xml:space="preserve">Context Requirements Block — what user data is required vs. optional, data retention policy, data sharing policy, sensitivity classification</w:t>
      </w:r>
    </w:p>
    <w:p>
      <w:pPr>
        <w:pStyle w:val="ListParagraph"/>
        <w:numPr>
          <w:ilvl w:val="0"/>
          <w:numId w:val="2"/>
        </w:numPr>
        <w:spacing w:after="40" w:before="40"/>
      </w:pPr>
      <w:r>
        <w:rPr>
          <w:rFonts w:ascii="Arial" w:cs="Arial" w:eastAsia="Arial" w:hAnsi="Arial"/>
          <w:color w:val="1A1A2E"/>
          <w:sz w:val="22"/>
          <w:szCs w:val="22"/>
        </w:rPr>
        <w:t xml:space="preserve">Operations Block — uptime SLA, rate limits, geographic restrictions, compliance certifications, sandbox environment</w:t>
      </w:r>
    </w:p>
    <w:p>
      <w:pPr>
        <w:spacing w:after="0" w:before="120"/>
      </w:pPr>
      <w:r>
        <w:t xml:space="preserve"/>
      </w:r>
    </w:p>
    <w:p>
      <w:pPr>
        <w:spacing w:after="120" w:before="80"/>
      </w:pPr>
      <w:r>
        <w:rPr>
          <w:rFonts w:ascii="Arial" w:cs="Arial" w:eastAsia="Arial" w:hAnsi="Arial"/>
          <w:color w:val="1A1A2E"/>
          <w:sz w:val="22"/>
          <w:szCs w:val="22"/>
        </w:rPr>
        <w:t xml:space="preserve">The registry crawls manifests across three trust vectors. Crawled-only services receive a baseline listing. Domain-verified services (confirmed via DNS TXT record) receive elevated status. Capability-probed services — where the registry runs live synthetic transactions against declared capabilities — receive the highest pre-attestation trust tier. Full trust attestation from the Trust Ledger creates the top tier.</w:t>
      </w:r>
    </w:p>
    <w:p>
      <w:pPr>
        <w:spacing w:after="0" w:before="80"/>
      </w:pPr>
      <w:r>
        <w:t xml:space="preserve"/>
      </w:r>
    </w:p>
    <w:p>
      <w:pPr>
        <w:spacing w:after="120" w:before="80"/>
      </w:pPr>
      <w:r>
        <w:rPr>
          <w:rFonts w:ascii="Arial" w:cs="Arial" w:eastAsia="Arial" w:hAnsi="Arial"/>
          <w:color w:val="1A1A2E"/>
          <w:sz w:val="22"/>
          <w:szCs w:val="22"/>
        </w:rPr>
        <w:t xml:space="preserve">The query interface supports three modes: structured API queries with filter parameters, natural language semantic search processed through an embedding model, and ambient entity extraction where agents identify services mentioned in user context and verify them against the registry before interacting.</w:t>
      </w:r>
    </w:p>
    <w:p>
      <w:pPr>
        <w:pStyle w:val="Heading2"/>
        <w:pBdr>
          <w:bottom w:val="single" w:color="C5D2E8" w:sz="4" w:space="4"/>
        </w:pBdr>
        <w:spacing w:after="120" w:before="300"/>
      </w:pPr>
      <w:r>
        <w:rPr>
          <w:rFonts w:ascii="Arial" w:cs="Arial" w:eastAsia="Arial" w:hAnsi="Arial"/>
          <w:b/>
          <w:bCs/>
          <w:color w:val="1A1A2E"/>
          <w:sz w:val="26"/>
          <w:szCs w:val="26"/>
        </w:rPr>
        <w:t xml:space="preserve">3.3 Component 2: The Trust Ledger</w:t>
      </w:r>
    </w:p>
    <w:p>
      <w:pPr>
        <w:spacing w:after="120" w:before="80"/>
      </w:pPr>
      <w:r>
        <w:rPr>
          <w:rFonts w:ascii="Arial" w:cs="Arial" w:eastAsia="Arial" w:hAnsi="Arial"/>
          <w:color w:val="1A1A2E"/>
          <w:sz w:val="22"/>
          <w:szCs w:val="22"/>
        </w:rPr>
        <w:t xml:space="preserve">The Trust Ledger is the security spine of AgentLedger. It solves the fundamental problem that any centralized trust registry creates: who do you trust to maintain the trust infrastructure? The answer is no single entity. Trust attestations in AgentLedger are stored on a distributed ledger, making them immutable, independently verifiable, and resistant to corruption by any single actor — including AgentLedger itself.</w:t>
      </w:r>
    </w:p>
    <w:p>
      <w:pPr>
        <w:spacing w:after="0" w:before="80"/>
      </w:pPr>
      <w:r>
        <w:t xml:space="preserve"/>
      </w:r>
    </w:p>
    <w:p>
      <w:pPr>
        <w:spacing w:after="120" w:before="80"/>
      </w:pPr>
      <w:r>
        <w:rPr>
          <w:rFonts w:ascii="Arial" w:cs="Arial" w:eastAsia="Arial" w:hAnsi="Arial"/>
          <w:color w:val="1A1A2E"/>
          <w:sz w:val="22"/>
          <w:szCs w:val="22"/>
        </w:rPr>
        <w:t xml:space="preserve">The ledger does not store manifest content, query results, or service data. It stores cryptographic records of three event types: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Attestation Events — auditor-signed records confirming a service passed a capability probe, security review, or compliance certification at a specific point in time</w:t>
      </w:r>
    </w:p>
    <w:p>
      <w:pPr>
        <w:pStyle w:val="ListParagraph"/>
        <w:numPr>
          <w:ilvl w:val="0"/>
          <w:numId w:val="2"/>
        </w:numPr>
        <w:spacing w:after="40" w:before="40"/>
      </w:pPr>
      <w:r>
        <w:rPr>
          <w:rFonts w:ascii="Arial" w:cs="Arial" w:eastAsia="Arial" w:hAnsi="Arial"/>
          <w:color w:val="1A1A2E"/>
          <w:sz w:val="22"/>
          <w:szCs w:val="22"/>
        </w:rPr>
        <w:t xml:space="preserve">Revocation Events — records of trust withdrawals, including the reason code and auditor identity</w:t>
      </w:r>
    </w:p>
    <w:p>
      <w:pPr>
        <w:pStyle w:val="ListParagraph"/>
        <w:numPr>
          <w:ilvl w:val="0"/>
          <w:numId w:val="2"/>
        </w:numPr>
        <w:spacing w:after="40" w:before="40"/>
      </w:pPr>
      <w:r>
        <w:rPr>
          <w:rFonts w:ascii="Arial" w:cs="Arial" w:eastAsia="Arial" w:hAnsi="Arial"/>
          <w:color w:val="1A1A2E"/>
          <w:sz w:val="22"/>
          <w:szCs w:val="22"/>
        </w:rPr>
        <w:t xml:space="preserve">Version Events — signed records of manifest changes, creating an immutable history of what a service claimed at any given time</w:t>
      </w:r>
    </w:p>
    <w:p>
      <w:pPr>
        <w:spacing w:after="0" w:before="120"/>
      </w:pPr>
      <w:r>
        <w:t xml:space="preserve"/>
      </w:r>
    </w:p>
    <w:p>
      <w:pPr>
        <w:spacing w:after="120" w:before="80"/>
      </w:pPr>
      <w:r>
        <w:rPr>
          <w:rFonts w:ascii="Arial" w:cs="Arial" w:eastAsia="Arial" w:hAnsi="Arial"/>
          <w:color w:val="1A1A2E"/>
          <w:sz w:val="22"/>
          <w:szCs w:val="22"/>
        </w:rPr>
        <w:t xml:space="preserve">This architecture means that an agent can independently verify a service's trust history without querying AgentLedger directly. The ledger is the notary, not the database. Off-chain infrastructure handles the manifest index, query API, and ranking engine for performance. On-chain infrastructure provides the cryptographic proof layer that makes trust claims auditable.</w:t>
      </w:r>
    </w:p>
    <w:p>
      <w:pPr>
        <w:spacing w:after="0" w:before="80"/>
      </w:pPr>
      <w:r>
        <w:t xml:space="preserve"/>
      </w:r>
    </w:p>
    <w:p>
      <w:pPr>
        <w:spacing w:after="120" w:before="80"/>
      </w:pPr>
      <w:r>
        <w:rPr>
          <w:rFonts w:ascii="Arial" w:cs="Arial" w:eastAsia="Arial" w:hAnsi="Arial"/>
          <w:color w:val="1A1A2E"/>
          <w:sz w:val="22"/>
          <w:szCs w:val="22"/>
        </w:rPr>
        <w:t xml:space="preserve">Trust scores are computed as composites of registry-run capability probes (35%), ledger-anchored attestation records (30%), operational metrics including uptime and error rates (20%), and cross-registry reputation signals from federated blocklists (15%). Scores are dynamic and update continuously as new evidence is collected.</w:t>
      </w:r>
    </w:p>
    <w:p>
      <w:pPr>
        <w:pStyle w:val="Heading2"/>
        <w:pBdr>
          <w:bottom w:val="single" w:color="C5D2E8" w:sz="4" w:space="4"/>
        </w:pBdr>
        <w:spacing w:after="120" w:before="300"/>
      </w:pPr>
      <w:r>
        <w:rPr>
          <w:rFonts w:ascii="Arial" w:cs="Arial" w:eastAsia="Arial" w:hAnsi="Arial"/>
          <w:b/>
          <w:bCs/>
          <w:color w:val="1A1A2E"/>
          <w:sz w:val="26"/>
          <w:szCs w:val="26"/>
        </w:rPr>
        <w:t xml:space="preserve">3.4 Component 3: The Audit Chain</w:t>
      </w:r>
    </w:p>
    <w:p>
      <w:pPr>
        <w:spacing w:after="120" w:before="80"/>
      </w:pPr>
      <w:r>
        <w:rPr>
          <w:rFonts w:ascii="Arial" w:cs="Arial" w:eastAsia="Arial" w:hAnsi="Arial"/>
          <w:color w:val="1A1A2E"/>
          <w:sz w:val="22"/>
          <w:szCs w:val="22"/>
        </w:rPr>
        <w:t xml:space="preserve">Every consequential action an agent takes on behalf of a user — booking a flight, executing a payment, signing a document — must be attributable. The Audit Chain provides tamper-proof records of agent actions that can be used for dispute resolution, liability attribution, and regulatory compliance.</w:t>
      </w:r>
    </w:p>
    <w:p>
      <w:pPr>
        <w:spacing w:after="0" w:before="80"/>
      </w:pPr>
      <w:r>
        <w:t xml:space="preserve"/>
      </w:r>
    </w:p>
    <w:p>
      <w:pPr>
        <w:spacing w:after="120" w:before="80"/>
      </w:pPr>
      <w:r>
        <w:rPr>
          <w:rFonts w:ascii="Arial" w:cs="Arial" w:eastAsia="Arial" w:hAnsi="Arial"/>
          <w:color w:val="1A1A2E"/>
          <w:sz w:val="22"/>
          <w:szCs w:val="22"/>
        </w:rPr>
        <w:t xml:space="preserve">Each audit record captures: the agent's verified identity, the service's manifest version at time of interaction, the declared capability invoked, the context provided by the agent (redacted of PII), the outcome, and a cryptographic hash linking the record to the Trust Ledger entry for the service. This creates an unbroken chain of custody from user intent through agent action to service response.</w:t>
      </w:r>
    </w:p>
    <w:p>
      <w:pPr>
        <w:spacing w:after="0" w:before="80"/>
      </w:pPr>
      <w:r>
        <w:t xml:space="preserve"/>
      </w:r>
    </w:p>
    <w:p>
      <w:pPr>
        <w:spacing w:after="120" w:before="80"/>
      </w:pPr>
      <w:r>
        <w:rPr>
          <w:rFonts w:ascii="Arial" w:cs="Arial" w:eastAsia="Arial" w:hAnsi="Arial"/>
          <w:color w:val="1A1A2E"/>
          <w:sz w:val="22"/>
          <w:szCs w:val="22"/>
        </w:rPr>
        <w:t xml:space="preserve">The Audit Chain is the infrastructure prerequisite for the Liability layer — Layer 6 of the AgentLedger stack — where insurance products and governance frameworks for autonomous agent actions will eventually be built. It cannot be constructed after the fact. It must be present from the first agent transaction.</w:t>
      </w:r>
    </w:p>
    <w:p>
      <w:pPr>
        <w:pStyle w:val="Heading2"/>
        <w:pBdr>
          <w:bottom w:val="single" w:color="C5D2E8" w:sz="4" w:space="4"/>
        </w:pBdr>
        <w:spacing w:after="120" w:before="300"/>
      </w:pPr>
      <w:r>
        <w:rPr>
          <w:rFonts w:ascii="Arial" w:cs="Arial" w:eastAsia="Arial" w:hAnsi="Arial"/>
          <w:b/>
          <w:bCs/>
          <w:color w:val="1A1A2E"/>
          <w:sz w:val="26"/>
          <w:szCs w:val="26"/>
        </w:rPr>
        <w:t xml:space="preserve">3.5 The Capability Ontology</w:t>
      </w:r>
    </w:p>
    <w:p>
      <w:pPr>
        <w:spacing w:after="120" w:before="80"/>
      </w:pPr>
      <w:r>
        <w:rPr>
          <w:rFonts w:ascii="Arial" w:cs="Arial" w:eastAsia="Arial" w:hAnsi="Arial"/>
          <w:color w:val="1A1A2E"/>
          <w:sz w:val="22"/>
          <w:szCs w:val="22"/>
        </w:rPr>
        <w:t xml:space="preserve">The capability ontology is the intellectual foundation of the Manifest Registry and the single most strategically important artifact AgentLedger will produce. It defines the shared vocabulary through which all services declare what they do and all agents search for what they need. The entity that controls this vocabulary controls discovery — even without controlling any individual registry.</w:t>
      </w:r>
    </w:p>
    <w:p>
      <w:pPr>
        <w:spacing w:after="0" w:before="80"/>
      </w:pPr>
      <w:r>
        <w:t xml:space="preserve"/>
      </w:r>
    </w:p>
    <w:p>
      <w:pPr>
        <w:spacing w:after="120" w:before="80"/>
      </w:pPr>
      <w:r>
        <w:rPr>
          <w:rFonts w:ascii="Arial" w:cs="Arial" w:eastAsia="Arial" w:hAnsi="Arial"/>
          <w:color w:val="1A1A2E"/>
          <w:sz w:val="22"/>
          <w:szCs w:val="22"/>
        </w:rPr>
        <w:t xml:space="preserve">AgentLedger Ontology v0.1 defines five root domains, each with two to four functional branches, and sixty-five specific capability tags at the leaf level. The five root domains reflect the highest-value categories where agents will replace human action:</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TRAVEL — air, ground, lodging, and travel document capabilities</w:t>
      </w:r>
    </w:p>
    <w:p>
      <w:pPr>
        <w:pStyle w:val="ListParagraph"/>
        <w:numPr>
          <w:ilvl w:val="0"/>
          <w:numId w:val="2"/>
        </w:numPr>
        <w:spacing w:after="40" w:before="40"/>
      </w:pPr>
      <w:r>
        <w:rPr>
          <w:rFonts w:ascii="Arial" w:cs="Arial" w:eastAsia="Arial" w:hAnsi="Arial"/>
          <w:color w:val="1A1A2E"/>
          <w:sz w:val="22"/>
          <w:szCs w:val="22"/>
        </w:rPr>
        <w:t xml:space="preserve">FINANCE — payments, account management, investment, and insurance</w:t>
      </w:r>
    </w:p>
    <w:p>
      <w:pPr>
        <w:pStyle w:val="ListParagraph"/>
        <w:numPr>
          <w:ilvl w:val="0"/>
          <w:numId w:val="2"/>
        </w:numPr>
        <w:spacing w:after="40" w:before="40"/>
      </w:pPr>
      <w:r>
        <w:rPr>
          <w:rFonts w:ascii="Arial" w:cs="Arial" w:eastAsia="Arial" w:hAnsi="Arial"/>
          <w:color w:val="1A1A2E"/>
          <w:sz w:val="22"/>
          <w:szCs w:val="22"/>
        </w:rPr>
        <w:t xml:space="preserve">HEALTH — appointments, medical records, pharmacy, and monitoring</w:t>
      </w:r>
    </w:p>
    <w:p>
      <w:pPr>
        <w:pStyle w:val="ListParagraph"/>
        <w:numPr>
          <w:ilvl w:val="0"/>
          <w:numId w:val="2"/>
        </w:numPr>
        <w:spacing w:after="40" w:before="40"/>
      </w:pPr>
      <w:r>
        <w:rPr>
          <w:rFonts w:ascii="Arial" w:cs="Arial" w:eastAsia="Arial" w:hAnsi="Arial"/>
          <w:color w:val="1A1A2E"/>
          <w:sz w:val="22"/>
          <w:szCs w:val="22"/>
        </w:rPr>
        <w:t xml:space="preserve">COMMERCE — shopping, subscriptions, delivery, and reviews</w:t>
      </w:r>
    </w:p>
    <w:p>
      <w:pPr>
        <w:pStyle w:val="ListParagraph"/>
        <w:numPr>
          <w:ilvl w:val="0"/>
          <w:numId w:val="2"/>
        </w:numPr>
        <w:spacing w:after="40" w:before="40"/>
      </w:pPr>
      <w:r>
        <w:rPr>
          <w:rFonts w:ascii="Arial" w:cs="Arial" w:eastAsia="Arial" w:hAnsi="Arial"/>
          <w:color w:val="1A1A2E"/>
          <w:sz w:val="22"/>
          <w:szCs w:val="22"/>
        </w:rPr>
        <w:t xml:space="preserve">PRODUCTIVITY — calendar, communication, documents, and automation</w:t>
      </w:r>
    </w:p>
    <w:p>
      <w:pPr>
        <w:spacing w:after="0" w:before="120"/>
      </w:pPr>
      <w:r>
        <w:t xml:space="preserve"/>
      </w:r>
    </w:p>
    <w:p>
      <w:pPr>
        <w:spacing w:after="120" w:before="80"/>
      </w:pPr>
      <w:r>
        <w:rPr>
          <w:rFonts w:ascii="Arial" w:cs="Arial" w:eastAsia="Arial" w:hAnsi="Arial"/>
          <w:color w:val="1A1A2E"/>
          <w:sz w:val="22"/>
          <w:szCs w:val="22"/>
        </w:rPr>
        <w:t xml:space="preserve">The ontology is intentionally scoped to exclude developer tooling categories well-served by MCP (database connectors, CI/CD, code management) and focuses on the domains MCP's adoption has left almost entirely uncovered: travel, health, finance, and commerce. Capability tags are defined as verb phrases (travel.air.book, health.records.retrieve, finance.payments.send) because agents operate in actions, not categories.</w:t>
      </w:r>
    </w:p>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4. Security Architecture &amp; Threat Model</w:t>
      </w:r>
    </w:p>
    <w:p>
      <w:pPr>
        <w:pStyle w:val="Heading2"/>
        <w:pBdr>
          <w:bottom w:val="single" w:color="C5D2E8" w:sz="4" w:space="4"/>
        </w:pBdr>
        <w:spacing w:after="120" w:before="300"/>
      </w:pPr>
      <w:r>
        <w:rPr>
          <w:rFonts w:ascii="Arial" w:cs="Arial" w:eastAsia="Arial" w:hAnsi="Arial"/>
          <w:b/>
          <w:bCs/>
          <w:color w:val="1A1A2E"/>
          <w:sz w:val="26"/>
          <w:szCs w:val="26"/>
        </w:rPr>
        <w:t xml:space="preserve">4.1 Security-First Design Principle</w:t>
      </w:r>
    </w:p>
    <w:p>
      <w:pPr>
        <w:spacing w:after="120" w:before="80"/>
      </w:pPr>
      <w:r>
        <w:rPr>
          <w:rFonts w:ascii="Arial" w:cs="Arial" w:eastAsia="Arial" w:hAnsi="Arial"/>
          <w:color w:val="1A1A2E"/>
          <w:sz w:val="22"/>
          <w:szCs w:val="22"/>
        </w:rPr>
        <w:t xml:space="preserve">AgentLedger is designed by a practitioner with a background in multi-tenant enterprise security operations. Every architectural decision begins with the assumption that the system will be attacked, that attackers will be well-resourced, and that the damage from a compromised trust registry is qualitatively different from the damage from a compromised application: a corrupted trust layer does not harm one user — it harms every agent that routes through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E8EDF5" w:val="clear"/>
            <w:tcMar>
              <w:top w:type="dxa" w:w="120"/>
              <w:left w:type="dxa" w:w="180"/>
              <w:bottom w:type="dxa" w:w="120"/>
              <w:right w:type="dxa" w:w="120"/>
            </w:tcMar>
          </w:tcPr>
          <w:p>
            <w:pPr>
              <w:spacing w:after="60" w:before="0"/>
            </w:pPr>
            <w:r>
              <w:rPr>
                <w:rFonts w:ascii="Arial" w:cs="Arial" w:eastAsia="Arial" w:hAnsi="Arial"/>
                <w:b/>
                <w:bCs/>
                <w:color w:val="1B3A6B"/>
                <w:sz w:val="20"/>
                <w:szCs w:val="20"/>
              </w:rPr>
              <w:t xml:space="preserve">The Cascade Risk</w:t>
            </w:r>
          </w:p>
          <w:p>
            <w:pPr>
              <w:spacing w:after="0" w:before="0"/>
            </w:pPr>
            <w:r>
              <w:rPr>
                <w:rFonts w:ascii="Arial" w:cs="Arial" w:eastAsia="Arial" w:hAnsi="Arial"/>
                <w:color w:val="1A1A2E"/>
                <w:sz w:val="20"/>
                <w:szCs w:val="20"/>
              </w:rPr>
              <w:t xml:space="preserve">A compromised trust layer is not a data breach. It is a supply chain attack on every agent transaction in the ecosystem. The blast radius scales with adoption. This is why security architecture must precede commercial architecture in AgentLedger's design.</w:t>
            </w:r>
          </w:p>
        </w:tc>
      </w:tr>
    </w:tbl>
    <w:p>
      <w:pPr>
        <w:spacing w:after="0" w:before="120"/>
      </w:pPr>
      <w:r>
        <w:t xml:space="preserve"/>
      </w:r>
    </w:p>
    <w:p>
      <w:pPr>
        <w:pStyle w:val="Heading2"/>
        <w:pBdr>
          <w:bottom w:val="single" w:color="C5D2E8" w:sz="4" w:space="4"/>
        </w:pBdr>
        <w:spacing w:after="120" w:before="300"/>
      </w:pPr>
      <w:r>
        <w:rPr>
          <w:rFonts w:ascii="Arial" w:cs="Arial" w:eastAsia="Arial" w:hAnsi="Arial"/>
          <w:b/>
          <w:bCs/>
          <w:color w:val="1A1A2E"/>
          <w:sz w:val="26"/>
          <w:szCs w:val="26"/>
        </w:rPr>
        <w:t xml:space="preserve">4.2 Primary Threat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Attack Description</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Primary Mitigation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Manifest Spoofing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Fraudulent service publishes a manifest impersonating a legitimate brand, often via typosquatting (f1ightbookerpro.com)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Cryptographic manifest signing + domain similarity scoring at submission</w:t>
            </w:r>
          </w:p>
        </w:tc>
      </w:tr>
      <w:tr>
        <w:tc>
          <w:tcPr>
            <w:tcW w:type="dxa" w:w="1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Capability Inflation</w:t>
            </w:r>
          </w:p>
        </w:tc>
        <w:tc>
          <w:tcPr>
            <w:tcW w:type="dxa" w:w="37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Service claims every capability tag to appear in all high-value search results, routing agents to services that cannot fulfill requests</w:t>
            </w:r>
          </w:p>
        </w:tc>
        <w:tc>
          <w:tcPr>
            <w:tcW w:type="dxa" w:w="37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Registry-run live synthetic transactions required for each claimed tag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Sybil / Trust Gaming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Swarm of fake agent identities generates synthetic positive interaction history, bootstrapping a fraudulent trust score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Agent identity attestation required before behavioral signals are counted</w:t>
            </w:r>
          </w:p>
        </w:tc>
      </w:tr>
      <w:tr>
        <w:tc>
          <w:tcPr>
            <w:tcW w:type="dxa" w:w="1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Latency Cloaking</w:t>
            </w:r>
          </w:p>
        </w:tc>
        <w:tc>
          <w:tcPr>
            <w:tcW w:type="dxa" w:w="37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Fast responses to registry probes, degraded performance for real agents — analogous to SEO cloaking</w:t>
            </w:r>
          </w:p>
        </w:tc>
        <w:tc>
          <w:tcPr>
            <w:tcW w:type="dxa" w:w="37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Random probe timing with unpredictable signatures + real-user telemetry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Ontology Poisoning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registers under health.records.retrieve while exfiltrating records passed to it, operating inside the trusted perimeter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Higher-tier security audit required for sensitive ontology branches</w:t>
            </w:r>
          </w:p>
        </w:tc>
      </w:tr>
      <w:tr>
        <w:tc>
          <w:tcPr>
            <w:tcW w:type="dxa" w:w="18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Cross-Registry Arbitrage</w:t>
            </w:r>
          </w:p>
        </w:tc>
        <w:tc>
          <w:tcPr>
            <w:tcW w:type="dxa" w:w="37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Service banned in Registry A re-registers in Registry B with clean history, exploiting zero interoperability</w:t>
            </w:r>
          </w:p>
        </w:tc>
        <w:tc>
          <w:tcPr>
            <w:tcW w:type="dxa" w:w="378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Federated cross-registry blocklist brokered by AgentLedger as neutral party</w:t>
            </w:r>
          </w:p>
        </w:tc>
      </w:tr>
    </w:tbl>
    <w:p>
      <w:pPr>
        <w:spacing w:after="0" w:before="160"/>
      </w:pPr>
      <w:r>
        <w:t xml:space="preserve"/>
      </w:r>
    </w:p>
    <w:p>
      <w:pPr>
        <w:pStyle w:val="Heading2"/>
        <w:pBdr>
          <w:bottom w:val="single" w:color="C5D2E8" w:sz="4" w:space="4"/>
        </w:pBdr>
        <w:spacing w:after="120" w:before="300"/>
      </w:pPr>
      <w:r>
        <w:rPr>
          <w:rFonts w:ascii="Arial" w:cs="Arial" w:eastAsia="Arial" w:hAnsi="Arial"/>
          <w:b/>
          <w:bCs/>
          <w:color w:val="1A1A2E"/>
          <w:sz w:val="26"/>
          <w:szCs w:val="26"/>
        </w:rPr>
        <w:t xml:space="preserve">4.3 Alignment with Existing Security Frameworks</w:t>
      </w:r>
    </w:p>
    <w:p>
      <w:pPr>
        <w:spacing w:after="120" w:before="80"/>
      </w:pPr>
      <w:r>
        <w:rPr>
          <w:rFonts w:ascii="Arial" w:cs="Arial" w:eastAsia="Arial" w:hAnsi="Arial"/>
          <w:color w:val="1A1A2E"/>
          <w:sz w:val="22"/>
          <w:szCs w:val="22"/>
        </w:rPr>
        <w:t xml:space="preserve">AgentLedger's threat model maps directly to established frameworks, ensuring compatibility with enterprise security programs:</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OWASP LLM Top 10 — manifest spoofing and ontology poisoning address prompt injection and insecure plugin design; the audit chain directly mitigates insufficient logging and monitoring</w:t>
      </w:r>
    </w:p>
    <w:p>
      <w:pPr>
        <w:pStyle w:val="ListParagraph"/>
        <w:numPr>
          <w:ilvl w:val="0"/>
          <w:numId w:val="2"/>
        </w:numPr>
        <w:spacing w:after="40" w:before="40"/>
      </w:pPr>
      <w:r>
        <w:rPr>
          <w:rFonts w:ascii="Arial" w:cs="Arial" w:eastAsia="Arial" w:hAnsi="Arial"/>
          <w:color w:val="1A1A2E"/>
          <w:sz w:val="22"/>
          <w:szCs w:val="22"/>
        </w:rPr>
        <w:t xml:space="preserve">MITRE ATLAS — cross-registry arbitrage maps to supply chain compromise; sybil attacks map to ML model poisoning via adversarial inputs</w:t>
      </w:r>
    </w:p>
    <w:p>
      <w:pPr>
        <w:pStyle w:val="ListParagraph"/>
        <w:numPr>
          <w:ilvl w:val="0"/>
          <w:numId w:val="2"/>
        </w:numPr>
        <w:spacing w:after="40" w:before="40"/>
      </w:pPr>
      <w:r>
        <w:rPr>
          <w:rFonts w:ascii="Arial" w:cs="Arial" w:eastAsia="Arial" w:hAnsi="Arial"/>
          <w:color w:val="1A1A2E"/>
          <w:sz w:val="22"/>
          <w:szCs w:val="22"/>
        </w:rPr>
        <w:t xml:space="preserve">CoSAI MCP Security Taxonomy (OASIS, January 2026) — the 40 identified MCP threat vectors are collectively addressed by the Trust Ledger's behavioral attestation layer</w:t>
      </w:r>
    </w:p>
    <w:p>
      <w:pPr>
        <w:pStyle w:val="ListParagraph"/>
        <w:numPr>
          <w:ilvl w:val="0"/>
          <w:numId w:val="2"/>
        </w:numPr>
        <w:spacing w:after="40" w:before="40"/>
      </w:pPr>
      <w:r>
        <w:rPr>
          <w:rFonts w:ascii="Arial" w:cs="Arial" w:eastAsia="Arial" w:hAnsi="Arial"/>
          <w:color w:val="1A1A2E"/>
          <w:sz w:val="22"/>
          <w:szCs w:val="22"/>
        </w:rPr>
        <w:t xml:space="preserve">EU AI Act (enforcement August 2026) — the Audit Chain provides the transparency, auditability, and human oversight records required for high-risk AI system compliance</w:t>
      </w:r>
    </w:p>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5. Market Positioning</w:t>
      </w:r>
    </w:p>
    <w:p>
      <w:pPr>
        <w:pStyle w:val="Heading2"/>
        <w:pBdr>
          <w:bottom w:val="single" w:color="C5D2E8" w:sz="4" w:space="4"/>
        </w:pBdr>
        <w:spacing w:after="120" w:before="300"/>
      </w:pPr>
      <w:r>
        <w:rPr>
          <w:rFonts w:ascii="Arial" w:cs="Arial" w:eastAsia="Arial" w:hAnsi="Arial"/>
          <w:b/>
          <w:bCs/>
          <w:color w:val="1A1A2E"/>
          <w:sz w:val="26"/>
          <w:szCs w:val="26"/>
        </w:rPr>
        <w:t xml:space="preserve">5.1 The Strategic Moat</w:t>
      </w:r>
    </w:p>
    <w:p>
      <w:pPr>
        <w:spacing w:after="120" w:before="80"/>
      </w:pPr>
      <w:r>
        <w:rPr>
          <w:rFonts w:ascii="Arial" w:cs="Arial" w:eastAsia="Arial" w:hAnsi="Arial"/>
          <w:color w:val="1A1A2E"/>
          <w:sz w:val="22"/>
          <w:szCs w:val="22"/>
        </w:rPr>
        <w:t xml:space="preserve">AgentLedger's moat is not the registry. Any well-resourced competitor can build a registry. The moat is the capability ontology specification. The entity that defines the shared vocabulary of agent capabilities owns the semantics of discovery — regardless of which registry indexes services or which agent platform queries them.</w:t>
      </w:r>
    </w:p>
    <w:p>
      <w:pPr>
        <w:spacing w:after="0" w:before="80"/>
      </w:pPr>
      <w:r>
        <w:t xml:space="preserve"/>
      </w:r>
    </w:p>
    <w:p>
      <w:pPr>
        <w:spacing w:after="120" w:before="80"/>
      </w:pPr>
      <w:r>
        <w:rPr>
          <w:rFonts w:ascii="Arial" w:cs="Arial" w:eastAsia="Arial" w:hAnsi="Arial"/>
          <w:color w:val="1A1A2E"/>
          <w:sz w:val="22"/>
          <w:szCs w:val="22"/>
        </w:rPr>
        <w:t xml:space="preserve">The historical analog is instructive. HTTP did not make any single company rich. But the companies that built the first indices of HTTP-accessible content (Yahoo, then Google) captured extraordinary value from infrastructure they did not own. AgentLedger's strategy: publish the ontology as an open standard, build the reference registry that implements it, and establish the de facto standard before major platforms impose closed, proprietary alternatives.</w:t>
      </w:r>
    </w:p>
    <w:p>
      <w:pPr>
        <w:pStyle w:val="Heading2"/>
        <w:pBdr>
          <w:bottom w:val="single" w:color="C5D2E8" w:sz="4" w:space="4"/>
        </w:pBdr>
        <w:spacing w:after="120" w:before="300"/>
      </w:pPr>
      <w:r>
        <w:rPr>
          <w:rFonts w:ascii="Arial" w:cs="Arial" w:eastAsia="Arial" w:hAnsi="Arial"/>
          <w:b/>
          <w:bCs/>
          <w:color w:val="1A1A2E"/>
          <w:sz w:val="26"/>
          <w:szCs w:val="26"/>
        </w:rPr>
        <w:t xml:space="preserve">5.2 Competitive Landscape</w:t>
      </w:r>
    </w:p>
    <w:p>
      <w:pPr>
        <w:spacing w:after="120" w:before="80"/>
      </w:pPr>
      <w:r>
        <w:rPr>
          <w:rFonts w:ascii="Arial" w:cs="Arial" w:eastAsia="Arial" w:hAnsi="Arial"/>
          <w:color w:val="1A1A2E"/>
          <w:sz w:val="22"/>
          <w:szCs w:val="22"/>
        </w:rPr>
        <w:t xml:space="preserve">AgentLedger does not compete with MCP, A2A, or agents.txt. It federates them. The competitive set is the set of entities that might build a closed, proprietary trust and discovery layer: Google (via Universal Commerce Protocol), OpenAI (via the ChatGPT plugin ecosystem and forthcoming agent infrastructure), and Microsoft (via Copilot Studio and the Azure AI agent platform). Each of these players has strong incentives to create closed ecosystems that route agents preferentially to their own services or monetize access to their trust signals.</w:t>
      </w:r>
    </w:p>
    <w:p>
      <w:pPr>
        <w:spacing w:after="0" w:before="80"/>
      </w:pPr>
      <w:r>
        <w:t xml:space="preserve"/>
      </w:r>
    </w:p>
    <w:p>
      <w:pPr>
        <w:spacing w:after="120" w:before="80"/>
      </w:pPr>
      <w:r>
        <w:rPr>
          <w:rFonts w:ascii="Arial" w:cs="Arial" w:eastAsia="Arial" w:hAnsi="Arial"/>
          <w:color w:val="1A1A2E"/>
          <w:sz w:val="22"/>
          <w:szCs w:val="22"/>
        </w:rPr>
        <w:t xml:space="preserve">AgentLedger's defense against platform capture is the same defense that Linux used against Windows and that TCP/IP used against proprietary networking stacks: become the open standard before the closed standard achieves lock-in. The window is measured in months.</w:t>
      </w:r>
    </w:p>
    <w:p>
      <w:pPr>
        <w:pStyle w:val="Heading2"/>
        <w:pBdr>
          <w:bottom w:val="single" w:color="C5D2E8" w:sz="4" w:space="4"/>
        </w:pBdr>
        <w:spacing w:after="120" w:before="300"/>
      </w:pPr>
      <w:r>
        <w:rPr>
          <w:rFonts w:ascii="Arial" w:cs="Arial" w:eastAsia="Arial" w:hAnsi="Arial"/>
          <w:b/>
          <w:bCs/>
          <w:color w:val="1A1A2E"/>
          <w:sz w:val="26"/>
          <w:szCs w:val="26"/>
        </w:rPr>
        <w:t xml:space="preserve">5.3 Revenue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Scale Driver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Tiered Registry Listing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(crawled) → $99/mo (verified) → $499/mo (capability-probed) → Enterprise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Service provider adoption</w:t>
            </w:r>
          </w:p>
        </w:tc>
      </w:tr>
      <w:tr>
        <w:tc>
          <w:tcPr>
            <w:tcW w:type="dxa" w:w="20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Query API Pricing</w:t>
            </w:r>
          </w:p>
        </w:tc>
        <w:tc>
          <w:tcPr>
            <w:tcW w:type="dxa" w:w="40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$0 for first 1M queries/month, $0.001/query thereafter</w:t>
            </w:r>
          </w:p>
        </w:tc>
        <w:tc>
          <w:tcPr>
            <w:tcW w:type="dxa" w:w="336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Agent platform adoption and query volume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Trust Attestation Fees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$2,500–$10,000 one-time audit + $500–$2,000 annual recertification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Compliance market demand</w:t>
            </w:r>
          </w:p>
        </w:tc>
      </w:tr>
      <w:tr>
        <w:tc>
          <w:tcPr>
            <w:tcW w:type="dxa" w:w="20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Intelligence Products</w:t>
            </w:r>
          </w:p>
        </w:tc>
        <w:tc>
          <w:tcPr>
            <w:tcW w:type="dxa" w:w="400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$199–$999/mo for demand gap analytics, category trend data, competitive positioning</w:t>
            </w:r>
          </w:p>
        </w:tc>
        <w:tc>
          <w:tcPr>
            <w:tcW w:type="dxa" w:w="3360"/>
            <w:tcBorders>
              <w:top w:val="single" w:color="CCCCCC" w:sz="1"/>
              <w:left w:val="single" w:color="CCCCCC" w:sz="1"/>
              <w:bottom w:val="single" w:color="CCCCCC" w:sz="1"/>
              <w:right w:val="single" w:color="CCCCCC" w:sz="1"/>
            </w:tcBorders>
            <w:shd w:fill="F5F5F8" w:val="clear"/>
            <w:tcMar>
              <w:top w:type="dxa" w:w="80"/>
              <w:left w:type="dxa" w:w="120"/>
              <w:bottom w:type="dxa" w:w="80"/>
              <w:right w:type="dxa" w:w="120"/>
            </w:tcMar>
          </w:tcPr>
          <w:p>
            <w:r>
              <w:rPr>
                <w:rFonts w:ascii="Arial" w:cs="Arial" w:eastAsia="Arial" w:hAnsi="Arial"/>
                <w:color w:val="1A1A2E"/>
                <w:sz w:val="20"/>
                <w:szCs w:val="20"/>
              </w:rPr>
              <w:t xml:space="preserve">Service provider growth planning</w:t>
            </w:r>
          </w:p>
        </w:tc>
      </w:tr>
    </w:tbl>
    <w:p>
      <w:pPr>
        <w:spacing w:after="0" w:before="160"/>
      </w:pPr>
      <w:r>
        <w:t xml:space="preserve"/>
      </w:r>
    </w:p>
    <w:p>
      <w:pPr>
        <w:pStyle w:val="Heading2"/>
        <w:pBdr>
          <w:bottom w:val="single" w:color="C5D2E8" w:sz="4" w:space="4"/>
        </w:pBdr>
        <w:spacing w:after="120" w:before="300"/>
      </w:pPr>
      <w:r>
        <w:rPr>
          <w:rFonts w:ascii="Arial" w:cs="Arial" w:eastAsia="Arial" w:hAnsi="Arial"/>
          <w:b/>
          <w:bCs/>
          <w:color w:val="1A1A2E"/>
          <w:sz w:val="26"/>
          <w:szCs w:val="26"/>
        </w:rPr>
        <w:t xml:space="preserve">5.4 The Path to Infrastructure Status</w:t>
      </w:r>
    </w:p>
    <w:p>
      <w:pPr>
        <w:spacing w:after="120" w:before="80"/>
      </w:pPr>
      <w:r>
        <w:rPr>
          <w:rFonts w:ascii="Arial" w:cs="Arial" w:eastAsia="Arial" w:hAnsi="Arial"/>
          <w:color w:val="1A1A2E"/>
          <w:sz w:val="22"/>
          <w:szCs w:val="22"/>
        </w:rPr>
        <w:t xml:space="preserve">AgentLedger's long-term trajectory follows the path of every durable infrastructure business: ubiquity before monetization, standards before services, federation before control. The milestones are:</w:t>
      </w:r>
    </w:p>
    <w:p>
      <w:pPr>
        <w:spacing w:after="0" w:before="80"/>
      </w:pPr>
      <w:r>
        <w:t xml:space="preserve"/>
      </w:r>
    </w:p>
    <w:p>
      <w:pPr>
        <w:pStyle w:val="ListParagraph"/>
        <w:numPr>
          <w:ilvl w:val="0"/>
          <w:numId w:val="2"/>
        </w:numPr>
        <w:spacing w:after="40" w:before="40"/>
      </w:pPr>
      <w:r>
        <w:rPr>
          <w:rFonts w:ascii="Arial" w:cs="Arial" w:eastAsia="Arial" w:hAnsi="Arial"/>
          <w:color w:val="1A1A2E"/>
          <w:sz w:val="22"/>
          <w:szCs w:val="22"/>
        </w:rPr>
        <w:t xml:space="preserve">Phase 1 — Publish the AgentLedger Manifest Specification and Capability Ontology as open standards. Build community around the spec before building the product.</w:t>
      </w:r>
    </w:p>
    <w:p>
      <w:pPr>
        <w:pStyle w:val="ListParagraph"/>
        <w:numPr>
          <w:ilvl w:val="0"/>
          <w:numId w:val="2"/>
        </w:numPr>
        <w:spacing w:after="40" w:before="40"/>
      </w:pPr>
      <w:r>
        <w:rPr>
          <w:rFonts w:ascii="Arial" w:cs="Arial" w:eastAsia="Arial" w:hAnsi="Arial"/>
          <w:color w:val="1A1A2E"/>
          <w:sz w:val="22"/>
          <w:szCs w:val="22"/>
        </w:rPr>
        <w:t xml:space="preserve">Phase 2 — Launch the reference registry with the first 1,000 manually onboarded, capability-probed services across the five root ontology domains.</w:t>
      </w:r>
    </w:p>
    <w:p>
      <w:pPr>
        <w:pStyle w:val="ListParagraph"/>
        <w:numPr>
          <w:ilvl w:val="0"/>
          <w:numId w:val="2"/>
        </w:numPr>
        <w:spacing w:after="40" w:before="40"/>
      </w:pPr>
      <w:r>
        <w:rPr>
          <w:rFonts w:ascii="Arial" w:cs="Arial" w:eastAsia="Arial" w:hAnsi="Arial"/>
          <w:color w:val="1A1A2E"/>
          <w:sz w:val="22"/>
          <w:szCs w:val="22"/>
        </w:rPr>
        <w:t xml:space="preserve">Phase 3 — Deploy the Trust Ledger with blockchain-anchored attestations and activate cross-registry federation via the federated blocklist API.</w:t>
      </w:r>
    </w:p>
    <w:p>
      <w:pPr>
        <w:pStyle w:val="ListParagraph"/>
        <w:numPr>
          <w:ilvl w:val="0"/>
          <w:numId w:val="2"/>
        </w:numPr>
        <w:spacing w:after="40" w:before="40"/>
      </w:pPr>
      <w:r>
        <w:rPr>
          <w:rFonts w:ascii="Arial" w:cs="Arial" w:eastAsia="Arial" w:hAnsi="Arial"/>
          <w:color w:val="1A1A2E"/>
          <w:sz w:val="22"/>
          <w:szCs w:val="22"/>
        </w:rPr>
        <w:t xml:space="preserve">Phase 4 — Launch the Audit Chain and enable the Liability layer, creating the first complete infrastructure stack for accountable autonomous agent commerce.</w:t>
      </w:r>
    </w:p>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6. Conclusion</w:t>
      </w:r>
    </w:p>
    <w:p>
      <w:pPr>
        <w:spacing w:after="120" w:before="80"/>
      </w:pPr>
      <w:r>
        <w:rPr>
          <w:rFonts w:ascii="Arial" w:cs="Arial" w:eastAsia="Arial" w:hAnsi="Arial"/>
          <w:color w:val="1A1A2E"/>
          <w:sz w:val="22"/>
          <w:szCs w:val="22"/>
        </w:rPr>
        <w:t xml:space="preserve">The agent web is not coming. It is here. Over 100,000 agents are operating across fragmented registries with no shared trust infrastructure. The protocols that enable agent communication are mature. The infrastructure that makes agent communication safe is absent.</w:t>
      </w:r>
    </w:p>
    <w:p>
      <w:pPr>
        <w:spacing w:after="0" w:before="80"/>
      </w:pPr>
      <w:r>
        <w:t xml:space="preserve"/>
      </w:r>
    </w:p>
    <w:p>
      <w:pPr>
        <w:spacing w:after="120" w:before="80"/>
      </w:pPr>
      <w:r>
        <w:rPr>
          <w:rFonts w:ascii="Arial" w:cs="Arial" w:eastAsia="Arial" w:hAnsi="Arial"/>
          <w:color w:val="1A1A2E"/>
          <w:sz w:val="22"/>
          <w:szCs w:val="22"/>
        </w:rPr>
        <w:t xml:space="preserve">AgentLedger fills this gap with three components — the Manifest Registry, the Trust Ledger, and the Audit Chain — that collectively provide what no existing protocol addresses: the ability for an agent to answer, with cryptographic certainty, the question every autonomous action demands: can this service be trusted?</w:t>
      </w:r>
    </w:p>
    <w:p>
      <w:pPr>
        <w:spacing w:after="0" w:before="80"/>
      </w:pPr>
      <w:r>
        <w:t xml:space="preserve"/>
      </w:r>
    </w:p>
    <w:p>
      <w:pPr>
        <w:spacing w:after="120" w:before="80"/>
      </w:pPr>
      <w:r>
        <w:rPr>
          <w:rFonts w:ascii="Arial" w:cs="Arial" w:eastAsia="Arial" w:hAnsi="Arial"/>
          <w:color w:val="1A1A2E"/>
          <w:sz w:val="22"/>
          <w:szCs w:val="22"/>
        </w:rPr>
        <w:t xml:space="preserve">The opportunity window is defined by the fragmentation timeline. As domain-specific registries proliferate and platform players attempt to impose closed trust standards, the cost of establishing a neutral, open alternative rises. AgentLedger's first mover advantage is measured not in market share but in standard-setting — and standards, once established, are nearly impossible to displace.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6B" w:sz="24"/>
              <w:bottom w:val="none" w:color="FFFFFF" w:sz="0"/>
              <w:right w:val="none" w:color="FFFFFF" w:sz="0"/>
            </w:tcBorders>
            <w:shd w:fill="E8EDF5" w:val="clear"/>
            <w:tcMar>
              <w:top w:type="dxa" w:w="120"/>
              <w:left w:type="dxa" w:w="180"/>
              <w:bottom w:type="dxa" w:w="120"/>
              <w:right w:type="dxa" w:w="120"/>
            </w:tcMar>
          </w:tcPr>
          <w:p>
            <w:pPr>
              <w:spacing w:after="60" w:before="0"/>
            </w:pPr>
            <w:r>
              <w:rPr>
                <w:rFonts w:ascii="Arial" w:cs="Arial" w:eastAsia="Arial" w:hAnsi="Arial"/>
                <w:b/>
                <w:bCs/>
                <w:color w:val="1B3A6B"/>
                <w:sz w:val="20"/>
                <w:szCs w:val="20"/>
              </w:rPr>
              <w:t xml:space="preserve">The Thesis in One Sentence</w:t>
            </w:r>
          </w:p>
          <w:p>
            <w:pPr>
              <w:spacing w:after="0" w:before="0"/>
            </w:pPr>
            <w:r>
              <w:rPr>
                <w:rFonts w:ascii="Arial" w:cs="Arial" w:eastAsia="Arial" w:hAnsi="Arial"/>
                <w:color w:val="1A1A2E"/>
                <w:sz w:val="20"/>
                <w:szCs w:val="20"/>
              </w:rPr>
              <w:t xml:space="preserve">AgentLedger is the trust infrastructure the agent web requires before autonomous commerce at scale becomes possible — and it must be built before the platforms decide they don't need it to be neutral.</w:t>
            </w:r>
          </w:p>
        </w:tc>
      </w:tr>
    </w:tbl>
    <w:p>
      <w:pPr>
        <w:pBdr>
          <w:bottom w:val="single" w:color="C5D2E8" w:sz="2" w:space="1"/>
        </w:pBdr>
        <w:spacing w:after="200" w:before="200"/>
      </w:pPr>
      <w:r>
        <w:t xml:space="preserve"/>
      </w:r>
    </w:p>
    <w:p>
      <w:pPr>
        <w:pStyle w:val="Heading1"/>
        <w:spacing w:after="160" w:before="400"/>
      </w:pPr>
      <w:r>
        <w:rPr>
          <w:rFonts w:ascii="Arial" w:cs="Arial" w:eastAsia="Arial" w:hAnsi="Arial"/>
          <w:b/>
          <w:bCs/>
          <w:color w:val="1B3A6B"/>
          <w:sz w:val="36"/>
          <w:szCs w:val="36"/>
        </w:rPr>
        <w:t xml:space="preserve">7. About the Author</w:t>
      </w:r>
    </w:p>
    <w:p>
      <w:pPr>
        <w:spacing w:after="120" w:before="80"/>
      </w:pPr>
      <w:r>
        <w:rPr>
          <w:rFonts w:ascii="Arial" w:cs="Arial" w:eastAsia="Arial" w:hAnsi="Arial"/>
          <w:color w:val="1A1A2E"/>
          <w:sz w:val="22"/>
          <w:szCs w:val="22"/>
        </w:rPr>
        <w:t xml:space="preserve">Michael Williams is a Cybersecurity Analyst and AI Security practitioner with a background in multi-tenant enterprise security operations across 60+ enterprise clients. His work spans Detection Engineering, Threat Hunting, and AI Security Engineering, with active projects including PurpleLens (an API-driven SOC investigation and hunt automation pipeline), an AI DevSecOps Platform (adversarial testing mapped to OWASP LLM Top 10), and SecureCLI-Tuner (a QLoRA fine-tuning pipeline for hardened natural language to command translation).</w:t>
      </w:r>
    </w:p>
    <w:p>
      <w:pPr>
        <w:spacing w:after="0" w:before="80"/>
      </w:pPr>
      <w:r>
        <w:t xml:space="preserve"/>
      </w:r>
    </w:p>
    <w:p>
      <w:pPr>
        <w:spacing w:after="120" w:before="80"/>
      </w:pPr>
      <w:r>
        <w:rPr>
          <w:rFonts w:ascii="Arial" w:cs="Arial" w:eastAsia="Arial" w:hAnsi="Arial"/>
          <w:color w:val="1A1A2E"/>
          <w:sz w:val="22"/>
          <w:szCs w:val="22"/>
        </w:rPr>
        <w:t xml:space="preserve">AgentLedger emerges from the intersection of enterprise security operations experience and direct engagement with the emerging agent infrastructure landscape. The threat model in this paper reflects practitioner judgment about how adversaries will target the agentic trust layer — not theoretical attack surface analysis.</w:t>
      </w:r>
    </w:p>
    <w:p>
      <w:pPr>
        <w:spacing w:after="0" w:before="80"/>
      </w:pPr>
      <w:r>
        <w:t xml:space="preserve"/>
      </w:r>
    </w:p>
    <w:p>
      <w:pPr>
        <w:spacing w:after="120" w:before="80"/>
      </w:pPr>
      <w:r>
        <w:rPr>
          <w:rFonts w:ascii="Arial" w:cs="Arial" w:eastAsia="Arial" w:hAnsi="Arial"/>
          <w:color w:val="1A1A2E"/>
          <w:sz w:val="22"/>
          <w:szCs w:val="22"/>
        </w:rPr>
        <w:t xml:space="preserve">This is a working paper. Feedback, critique, and collaboration are welcomed. The goal is to get the architecture right before building it — not to build it before getting the architecture right.</w:t>
      </w:r>
    </w:p>
    <w:p>
      <w:pPr>
        <w:spacing w:after="0" w:before="80"/>
      </w:pPr>
      <w:r>
        <w:t xml:space="preserve"/>
      </w:r>
    </w:p>
    <w:p>
      <w:pPr>
        <w:spacing w:after="0" w:before="80"/>
      </w:pPr>
      <w:r>
        <w:rPr>
          <w:rFonts w:ascii="Arial" w:cs="Arial" w:eastAsia="Arial" w:hAnsi="Arial"/>
          <w:b/>
          <w:bCs/>
          <w:color w:val="1A1A2E"/>
          <w:sz w:val="22"/>
          <w:szCs w:val="22"/>
        </w:rPr>
        <w:t xml:space="preserve">Contact: </w:t>
      </w:r>
      <w:r>
        <w:rPr>
          <w:rFonts w:ascii="Arial" w:cs="Arial" w:eastAsia="Arial" w:hAnsi="Arial"/>
          <w:color w:val="1B3A6B"/>
          <w:sz w:val="22"/>
          <w:szCs w:val="22"/>
        </w:rPr>
        <w:t xml:space="preserve">linkedin.com/in/mwill-AImission  |  github.com/mwill20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2E8" w:sz="2" w:space="4"/>
      </w:pBdr>
      <w:jc w:val="right"/>
    </w:pPr>
    <w:r>
      <w:rPr>
        <w:rFonts w:ascii="Arial" w:cs="Arial" w:eastAsia="Arial" w:hAnsi="Arial"/>
        <w:color w:val="666680"/>
        <w:sz w:val="18"/>
        <w:szCs w:val="18"/>
      </w:rPr>
      <w:t xml:space="preserve">Confidential Working Document  |  Michael Williams  |  April 2026  |  Page </w:t>
    </w:r>
    <w:r>
      <w:rPr>
        <w:rFonts w:ascii="Arial" w:cs="Arial" w:eastAsia="Arial" w:hAnsi="Arial"/>
        <w:color w:val="66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20"/>
        <w:szCs w:val="20"/>
      </w:rPr>
      <w:t xml:space="preserve">AgentLedger</w:t>
    </w:r>
    <w:r>
      <w:rPr>
        <w:rFonts w:ascii="Arial" w:cs="Arial" w:eastAsia="Arial" w:hAnsi="Arial"/>
        <w:color w:val="666680"/>
        <w:sz w:val="20"/>
        <w:szCs w:val="20"/>
      </w:rPr>
      <w:t xml:space="preserve">   |   Trust &amp; Discovery Infrastructure for the Autonomous Agent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2026-04-11T13:56:57.696Z</dcterms:created>
  <dcterms:modified xsi:type="dcterms:W3CDTF">2026-04-11T13:56:57.697Z</dcterms:modified>
</cp:coreProperties>
</file>

<file path=docProps/custom.xml><?xml version="1.0" encoding="utf-8"?>
<Properties xmlns="http://schemas.openxmlformats.org/officeDocument/2006/custom-properties" xmlns:vt="http://schemas.openxmlformats.org/officeDocument/2006/docPropsVTypes"/>
</file>