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C84B31"/>
          <w:sz w:val="72"/>
          <w:szCs w:val="72"/>
        </w:rPr>
        <w:t xml:space="preserve">ClawGuard</w:t>
      </w:r>
    </w:p>
    <w:p>
      <w:pPr>
        <w:spacing w:before="0" w:after="200"/>
        <w:jc w:val="center"/>
      </w:pPr>
      <w:r>
        <w:rPr>
          <w:rFonts w:ascii="Arial" w:cs="Arial" w:eastAsia="Arial" w:hAnsi="Arial"/>
          <w:color w:val="1A1A2E"/>
          <w:sz w:val="36"/>
          <w:szCs w:val="36"/>
        </w:rPr>
        <w:t xml:space="preserve">AI Agent Security Monitoring Framework</w:t>
      </w:r>
    </w:p>
    <w:p>
      <w:pPr>
        <w:spacing w:before="0" w:after="800"/>
        <w:jc w:val="center"/>
      </w:pPr>
      <w:r>
        <w:rPr>
          <w:rFonts w:ascii="Arial" w:cs="Arial" w:eastAsia="Arial" w:hAnsi="Arial"/>
          <w:i/>
          <w:iCs/>
          <w:color w:val="888888"/>
          <w:sz w:val="22"/>
          <w:szCs w:val="22"/>
        </w:rPr>
        <w:t xml:space="preserve">Project Foundation Document  |  v0.1  |  March 2026</w:t>
      </w:r>
    </w:p>
    <w:p>
      <w:pPr>
        <w:pBdr>
          <w:bottom w:val="single" w:color="C84B31" w:sz="6" w:space="1"/>
        </w:pBdr>
        <w:spacing w:before="160" w:after="160"/>
      </w:pPr>
    </w:p>
    <w:p>
      <w:pPr>
        <w:spacing w:before="400" w:after="200"/>
        <w:jc w:val="center"/>
      </w:pPr>
      <w:r>
        <w:rPr>
          <w:rFonts w:ascii="Arial" w:cs="Arial" w:eastAsia="Arial" w:hAnsi="Arial"/>
          <w:i/>
          <w:iCs/>
          <w:color w:val="C84B31"/>
          <w:sz w:val="24"/>
          <w:szCs w:val="24"/>
        </w:rPr>
        <w:t xml:space="preserve">"Agents need guardrails the same way production code needs CI/CD."</w:t>
      </w:r>
    </w:p>
    <w:p>
      <w:pPr>
        <w:spacing w:before="0" w:after="1440"/>
        <w:jc w:val="center"/>
      </w:pPr>
      <w:r>
        <w:rPr>
          <w:rFonts w:ascii="Arial" w:cs="Arial" w:eastAsia="Arial" w:hAnsi="Arial"/>
          <w:color w:val="555555"/>
          <w:sz w:val="22"/>
          <w:szCs w:val="22"/>
        </w:rPr>
        <w:t xml:space="preserve">Built by Michael Williams  |  AI Security Engineer</w:t>
      </w:r>
    </w:p>
    <w:p>
      <w:r>
        <w:br w:type="page"/>
      </w:r>
    </w:p>
    <w:p>
      <w:pPr>
        <w:pStyle w:val="Heading1"/>
        <w:spacing w:before="400" w:after="200"/>
      </w:pPr>
      <w:r>
        <w:rPr>
          <w:rFonts w:ascii="Arial" w:cs="Arial" w:eastAsia="Arial" w:hAnsi="Arial"/>
          <w:b/>
          <w:bCs/>
          <w:color w:val="1A1A2E"/>
          <w:sz w:val="36"/>
          <w:szCs w:val="36"/>
        </w:rPr>
        <w:t xml:space="preserve">1. The Problem ClawGuard Solves</w:t>
      </w:r>
    </w:p>
    <w:p>
      <w:pPr>
        <w:pBdr>
          <w:bottom w:val="single" w:color="C84B31" w:sz="6" w:space="1"/>
        </w:pBdr>
        <w:spacing w:before="160" w:after="160"/>
      </w:pPr>
    </w:p>
    <w:p>
      <w:pPr>
        <w:spacing w:before="120" w:after="120"/>
      </w:pPr>
    </w:p>
    <w:p>
      <w:pPr>
        <w:pStyle w:val="Heading2"/>
        <w:spacing w:before="300" w:after="160"/>
      </w:pPr>
      <w:r>
        <w:rPr>
          <w:rFonts w:ascii="Arial" w:cs="Arial" w:eastAsia="Arial" w:hAnsi="Arial"/>
          <w:b/>
          <w:bCs/>
          <w:color w:val="C84B31"/>
          <w:sz w:val="28"/>
          <w:szCs w:val="28"/>
        </w:rPr>
        <w:t xml:space="preserve">1.1 The Core Tension</w:t>
      </w:r>
    </w:p>
    <w:p>
      <w:pPr>
        <w:spacing w:before="80" w:after="120"/>
      </w:pPr>
      <w:r>
        <w:rPr>
          <w:rFonts w:ascii="Arial" w:cs="Arial" w:eastAsia="Arial" w:hAnsi="Arial"/>
          <w:sz w:val="22"/>
          <w:szCs w:val="22"/>
        </w:rPr>
        <w:t xml:space="preserve">AI agents are being deployed at scale across enterprise environments. They have wallets, search capabilities, execution environments, and economic relationships with services they use. The infrastructure is being built faster than the trust layer can catch up.</w:t>
      </w:r>
    </w:p>
    <w:p>
      <w:pPr>
        <w:spacing w:before="120" w:after="120"/>
      </w:pPr>
    </w:p>
    <w:p>
      <w:pPr>
        <w:spacing w:before="80" w:after="120"/>
      </w:pPr>
      <w:r>
        <w:rPr>
          <w:rFonts w:ascii="Arial" w:cs="Arial" w:eastAsia="Arial" w:hAnsi="Arial"/>
          <w:sz w:val="22"/>
          <w:szCs w:val="22"/>
        </w:rPr>
        <w:t xml:space="preserve">The central question nobody is answering cleanly: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1A2E" w:sz="4"/>
              <w:left w:val="single" w:color="1A1A2E" w:sz="4"/>
              <w:bottom w:val="single" w:color="1A1A2E" w:sz="4"/>
              <w:right w:val="single" w:color="1A1A2E" w:sz="4"/>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THE GAP</w:t>
            </w:r>
          </w:p>
        </w:tc>
        <w:tc>
          <w:tcPr>
            <w:tcW w:type="dxa" w:w="8160"/>
            <w:tcBorders>
              <w:top w:val="single" w:color="1A1A2E" w:sz="4"/>
              <w:left w:val="single" w:color="1A1A2E" w:sz="4"/>
              <w:bottom w:val="single" w:color="1A1A2E" w:sz="4"/>
              <w:right w:val="single" w:color="1A1A2E" w:sz="4"/>
            </w:tcBorders>
            <w:shd w:fill="F0F4FF" w:val="clear"/>
            <w:tcMar>
              <w:top w:type="dxa" w:w="100"/>
              <w:left w:type="dxa" w:w="200"/>
              <w:bottom w:type="dxa" w:w="100"/>
              <w:right w:type="dxa" w:w="150"/>
            </w:tcMar>
          </w:tcPr>
          <w:p>
            <w:r>
              <w:rPr>
                <w:rFonts w:ascii="Arial" w:cs="Arial" w:eastAsia="Arial" w:hAnsi="Arial"/>
                <w:i/>
                <w:iCs/>
                <w:sz w:val="22"/>
                <w:szCs w:val="22"/>
              </w:rPr>
              <w:t xml:space="preserve">Who watches the AI? And if AI watches AI, who defines what "wrong" looks like?</w:t>
            </w:r>
          </w:p>
        </w:tc>
      </w:tr>
    </w:tbl>
    <w:p>
      <w:pPr>
        <w:spacing w:before="120" w:after="120"/>
      </w:pPr>
    </w:p>
    <w:p>
      <w:pPr>
        <w:spacing w:before="80" w:after="120"/>
      </w:pPr>
      <w:r>
        <w:rPr>
          <w:rFonts w:ascii="Arial" w:cs="Arial" w:eastAsia="Arial" w:hAnsi="Arial"/>
          <w:sz w:val="22"/>
          <w:szCs w:val="22"/>
        </w:rPr>
        <w:t xml:space="preserve">This is not a philosophical question. It is an engineering problem with a concrete answer.</w:t>
      </w:r>
    </w:p>
    <w:p>
      <w:pPr>
        <w:spacing w:before="120" w:after="120"/>
      </w:pPr>
    </w:p>
    <w:p>
      <w:pPr>
        <w:pStyle w:val="Heading2"/>
        <w:spacing w:before="300" w:after="160"/>
      </w:pPr>
      <w:r>
        <w:rPr>
          <w:rFonts w:ascii="Arial" w:cs="Arial" w:eastAsia="Arial" w:hAnsi="Arial"/>
          <w:b/>
          <w:bCs/>
          <w:color w:val="C84B31"/>
          <w:sz w:val="28"/>
          <w:szCs w:val="28"/>
        </w:rPr>
        <w:t xml:space="preserve">1.2 The Unified Context Problem</w:t>
      </w:r>
    </w:p>
    <w:p>
      <w:pPr>
        <w:spacing w:before="80" w:after="120"/>
      </w:pPr>
      <w:r>
        <w:rPr>
          <w:rFonts w:ascii="Arial" w:cs="Arial" w:eastAsia="Arial" w:hAnsi="Arial"/>
          <w:sz w:val="22"/>
          <w:szCs w:val="22"/>
        </w:rPr>
        <w:t xml:space="preserve">Unified context means a single, continuously updated picture of everything relevant about an environment — assets, behaviors, trust relationships, decision chains, and gaps.</w:t>
      </w:r>
    </w:p>
    <w:p>
      <w:pPr>
        <w:spacing w:before="120" w:after="120"/>
      </w:pPr>
    </w:p>
    <w:p>
      <w:pPr>
        <w:spacing w:before="80" w:after="120"/>
      </w:pPr>
      <w:r>
        <w:rPr>
          <w:rFonts w:ascii="Arial" w:cs="Arial" w:eastAsia="Arial" w:hAnsi="Arial"/>
          <w:sz w:val="22"/>
          <w:szCs w:val="22"/>
        </w:rPr>
        <w:t xml:space="preserve">Today, unified context breaks for two compounding reasons:</w:t>
      </w:r>
    </w:p>
    <w:p>
      <w:pPr>
        <w:pStyle w:val="ListParagraph"/>
        <w:numPr>
          <w:ilvl w:val="0"/>
          <w:numId w:val="2"/>
        </w:numPr>
        <w:spacing w:before="60" w:after="60"/>
      </w:pPr>
      <w:r>
        <w:rPr>
          <w:rFonts w:ascii="Arial" w:cs="Arial" w:eastAsia="Arial" w:hAnsi="Arial"/>
          <w:b w:val="false"/>
          <w:bCs w:val="false"/>
          <w:sz w:val="22"/>
          <w:szCs w:val="22"/>
        </w:rPr>
        <w:t xml:space="preserve">Organizations don't know what's in their own environment — assets, agent activity, and data flows are opaque</w:t>
      </w:r>
    </w:p>
    <w:p>
      <w:pPr>
        <w:pStyle w:val="ListParagraph"/>
        <w:numPr>
          <w:ilvl w:val="0"/>
          <w:numId w:val="2"/>
        </w:numPr>
        <w:spacing w:before="60" w:after="60"/>
      </w:pPr>
      <w:r>
        <w:rPr>
          <w:rFonts w:ascii="Arial" w:cs="Arial" w:eastAsia="Arial" w:hAnsi="Arial"/>
          <w:b w:val="false"/>
          <w:bCs w:val="false"/>
          <w:sz w:val="22"/>
          <w:szCs w:val="22"/>
        </w:rPr>
        <w:t xml:space="preserve">The humans responsible for maintaining that context are fatigued, inconsistent, and operating below the speed of modern threats</w:t>
      </w:r>
    </w:p>
    <w:p>
      <w:pPr>
        <w:spacing w:before="120" w:after="120"/>
      </w:pPr>
    </w:p>
    <w:p>
      <w:pPr>
        <w:spacing w:before="80" w:after="120"/>
      </w:pPr>
      <w:r>
        <w:rPr>
          <w:rFonts w:ascii="Arial" w:cs="Arial" w:eastAsia="Arial" w:hAnsi="Arial"/>
          <w:sz w:val="22"/>
          <w:szCs w:val="22"/>
        </w:rPr>
        <w:t xml:space="preserve">An attacker doing recon builds a world model of the target environment. Defenders must maintain a better, faster, more accurate map than the attacker can build. Today, that race is being lost at human speed. ClawGuard closes that gap by maintaining unified context at machine speed.</w:t>
      </w:r>
    </w:p>
    <w:p>
      <w:pPr>
        <w:spacing w:before="120" w:after="120"/>
      </w:pPr>
    </w:p>
    <w:p>
      <w:pPr>
        <w:pStyle w:val="Heading2"/>
        <w:spacing w:before="300" w:after="160"/>
      </w:pPr>
      <w:r>
        <w:rPr>
          <w:rFonts w:ascii="Arial" w:cs="Arial" w:eastAsia="Arial" w:hAnsi="Arial"/>
          <w:b/>
          <w:bCs/>
          <w:color w:val="C84B31"/>
          <w:sz w:val="28"/>
          <w:szCs w:val="28"/>
        </w:rPr>
        <w:t xml:space="preserve">1.3 The Infinite Loop Problem (And Its Solution)</w:t>
      </w:r>
    </w:p>
    <w:p>
      <w:pPr>
        <w:spacing w:before="80" w:after="120"/>
      </w:pPr>
      <w:r>
        <w:rPr>
          <w:rFonts w:ascii="Arial" w:cs="Arial" w:eastAsia="Arial" w:hAnsi="Arial"/>
          <w:sz w:val="22"/>
          <w:szCs w:val="22"/>
        </w:rPr>
        <w:t xml:space="preserve">The naive objection to AI watching AI is that it creates an infinite regress — AI Agent A is watched by AI Monitor B, which is watched by AI Monitor C, forever. This framing is wrong.</w:t>
      </w:r>
    </w:p>
    <w:p>
      <w:pPr>
        <w:spacing w:before="120" w:after="120"/>
      </w:pPr>
    </w:p>
    <w:p>
      <w:pPr>
        <w:spacing w:before="80" w:after="120"/>
      </w:pPr>
      <w:r>
        <w:rPr>
          <w:rFonts w:ascii="Arial" w:cs="Arial" w:eastAsia="Arial" w:hAnsi="Arial"/>
          <w:sz w:val="22"/>
          <w:szCs w:val="22"/>
        </w:rPr>
        <w:t xml:space="preserve">The loop terminates because humans own the policy layer, even when they don't own the execution layer. The architecture is layered, not circular:</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Layer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Agent acts autonomously</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Machine</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Layer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Monitoring AI observes behavior against ruleset</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Machine</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Layer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Ruleset definition — what "wrong" looks like</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Layer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Ruleset validity audit and update</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w:t>
            </w:r>
          </w:p>
        </w:tc>
      </w:tr>
    </w:tbl>
    <w:p>
      <w:pPr>
        <w:spacing w:before="120" w:after="120"/>
      </w:pPr>
    </w:p>
    <w:p>
      <w:pPr>
        <w:spacing w:before="80" w:after="120"/>
      </w:pPr>
      <w:r>
        <w:rPr>
          <w:rFonts w:ascii="Arial" w:cs="Arial" w:eastAsia="Arial" w:hAnsi="Arial"/>
          <w:sz w:val="22"/>
          <w:szCs w:val="22"/>
        </w:rPr>
        <w:t xml:space="preserve">ClawGuard is not building an AI to watch AI forever. ClawGuard is building the policy enforcement layer — the rulebook that terminates the loop. The watcher needs a rulebook. We write the rulebook.</w:t>
      </w:r>
    </w:p>
    <w:p>
      <w:pPr>
        <w:spacing w:before="120" w:after="120"/>
      </w:pPr>
    </w:p>
    <w:p>
      <w:r>
        <w:br w:type="page"/>
      </w:r>
    </w:p>
    <w:p>
      <w:pPr>
        <w:pStyle w:val="Heading1"/>
        <w:spacing w:before="400" w:after="200"/>
      </w:pPr>
      <w:r>
        <w:rPr>
          <w:rFonts w:ascii="Arial" w:cs="Arial" w:eastAsia="Arial" w:hAnsi="Arial"/>
          <w:b/>
          <w:bCs/>
          <w:color w:val="1A1A2E"/>
          <w:sz w:val="36"/>
          <w:szCs w:val="36"/>
        </w:rPr>
        <w:t xml:space="preserve">2. What ClawGuard Is</w:t>
      </w:r>
    </w:p>
    <w:p>
      <w:pPr>
        <w:pBdr>
          <w:bottom w:val="single" w:color="C84B31" w:sz="6" w:space="1"/>
        </w:pBdr>
        <w:spacing w:before="160" w:after="160"/>
      </w:pPr>
    </w:p>
    <w:p>
      <w:pPr>
        <w:spacing w:before="120" w:after="120"/>
      </w:pPr>
    </w:p>
    <w:p>
      <w:pPr>
        <w:pStyle w:val="Heading2"/>
        <w:spacing w:before="300" w:after="160"/>
      </w:pPr>
      <w:r>
        <w:rPr>
          <w:rFonts w:ascii="Arial" w:cs="Arial" w:eastAsia="Arial" w:hAnsi="Arial"/>
          <w:b/>
          <w:bCs/>
          <w:color w:val="C84B31"/>
          <w:sz w:val="28"/>
          <w:szCs w:val="28"/>
        </w:rPr>
        <w:t xml:space="preserve">2.1 One-Line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1A2E" w:sz="4"/>
              <w:left w:val="single" w:color="1A1A2E" w:sz="4"/>
              <w:bottom w:val="single" w:color="1A1A2E" w:sz="4"/>
              <w:right w:val="single" w:color="1A1A2E" w:sz="4"/>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MISSION</w:t>
            </w:r>
          </w:p>
        </w:tc>
        <w:tc>
          <w:tcPr>
            <w:tcW w:type="dxa" w:w="8160"/>
            <w:tcBorders>
              <w:top w:val="single" w:color="1A1A2E" w:sz="4"/>
              <w:left w:val="single" w:color="1A1A2E" w:sz="4"/>
              <w:bottom w:val="single" w:color="1A1A2E" w:sz="4"/>
              <w:right w:val="single" w:color="1A1A2E" w:sz="4"/>
            </w:tcBorders>
            <w:shd w:fill="F0F4FF" w:val="clear"/>
            <w:tcMar>
              <w:top w:type="dxa" w:w="100"/>
              <w:left w:type="dxa" w:w="200"/>
              <w:bottom w:type="dxa" w:w="100"/>
              <w:right w:type="dxa" w:w="150"/>
            </w:tcMar>
          </w:tcPr>
          <w:p>
            <w:r>
              <w:rPr>
                <w:rFonts w:ascii="Arial" w:cs="Arial" w:eastAsia="Arial" w:hAnsi="Arial"/>
                <w:i/>
                <w:iCs/>
                <w:sz w:val="22"/>
                <w:szCs w:val="22"/>
              </w:rPr>
              <w:t xml:space="preserve">ClawGuard is a behavioral monitoring and policy enforcement framework for autonomous AI agents — the guardrail layer that makes AI-driven operations trustworthy enough to run at scale.</w:t>
            </w:r>
          </w:p>
        </w:tc>
      </w:tr>
    </w:tbl>
    <w:p>
      <w:pPr>
        <w:spacing w:before="120" w:after="120"/>
      </w:pPr>
    </w:p>
    <w:p>
      <w:pPr>
        <w:pStyle w:val="Heading2"/>
        <w:spacing w:before="300" w:after="160"/>
      </w:pPr>
      <w:r>
        <w:rPr>
          <w:rFonts w:ascii="Arial" w:cs="Arial" w:eastAsia="Arial" w:hAnsi="Arial"/>
          <w:b/>
          <w:bCs/>
          <w:color w:val="C84B31"/>
          <w:sz w:val="28"/>
          <w:szCs w:val="28"/>
        </w:rPr>
        <w:t xml:space="preserve">2.2 Analogy</w:t>
      </w:r>
    </w:p>
    <w:p>
      <w:pPr>
        <w:spacing w:before="80" w:after="120"/>
      </w:pPr>
      <w:r>
        <w:rPr>
          <w:rFonts w:ascii="Arial" w:cs="Arial" w:eastAsia="Arial" w:hAnsi="Arial"/>
          <w:sz w:val="22"/>
          <w:szCs w:val="22"/>
        </w:rPr>
        <w:t xml:space="preserve">Think of PurpleLens — the Python CLI system that reduced SOC MTTR by 50% by automating endpoint security analysis. ClawGuard is PurpleLens, but for AI agents instead of endpoints.</w:t>
      </w:r>
    </w:p>
    <w:p>
      <w:pPr>
        <w:spacing w:before="120" w:after="120"/>
      </w:pPr>
    </w:p>
    <w:p>
      <w:pPr>
        <w:spacing w:before="80" w:after="120"/>
      </w:pPr>
      <w:r>
        <w:rPr>
          <w:rFonts w:ascii="Arial" w:cs="Arial" w:eastAsia="Arial" w:hAnsi="Arial"/>
          <w:sz w:val="22"/>
          <w:szCs w:val="22"/>
        </w:rPr>
        <w:t xml:space="preserve">Just as PurpleLens monitored endpoint behavior and surfaced anomalies faster than human analysts could, ClawGuard monitors agent behavior and surfaces policy violations faster than human oversight can.</w:t>
      </w:r>
    </w:p>
    <w:p>
      <w:pPr>
        <w:spacing w:before="120" w:after="120"/>
      </w:pPr>
    </w:p>
    <w:p>
      <w:pPr>
        <w:pStyle w:val="Heading2"/>
        <w:spacing w:before="300" w:after="160"/>
      </w:pPr>
      <w:r>
        <w:rPr>
          <w:rFonts w:ascii="Arial" w:cs="Arial" w:eastAsia="Arial" w:hAnsi="Arial"/>
          <w:b/>
          <w:bCs/>
          <w:color w:val="C84B31"/>
          <w:sz w:val="28"/>
          <w:szCs w:val="28"/>
        </w:rPr>
        <w:t xml:space="preserve">2.3 What ClawGuard Is NOT</w:t>
      </w:r>
    </w:p>
    <w:p>
      <w:pPr>
        <w:pStyle w:val="ListParagraph"/>
        <w:numPr>
          <w:ilvl w:val="0"/>
          <w:numId w:val="2"/>
        </w:numPr>
        <w:spacing w:before="60" w:after="60"/>
      </w:pPr>
      <w:r>
        <w:rPr>
          <w:rFonts w:ascii="Arial" w:cs="Arial" w:eastAsia="Arial" w:hAnsi="Arial"/>
          <w:b w:val="false"/>
          <w:bCs w:val="false"/>
          <w:sz w:val="22"/>
          <w:szCs w:val="22"/>
        </w:rPr>
        <w:t xml:space="preserve">Not a SIEM — it does not replace log aggregation infrastructure</w:t>
      </w:r>
    </w:p>
    <w:p>
      <w:pPr>
        <w:pStyle w:val="ListParagraph"/>
        <w:numPr>
          <w:ilvl w:val="0"/>
          <w:numId w:val="2"/>
        </w:numPr>
        <w:spacing w:before="60" w:after="60"/>
      </w:pPr>
      <w:r>
        <w:rPr>
          <w:rFonts w:ascii="Arial" w:cs="Arial" w:eastAsia="Arial" w:hAnsi="Arial"/>
          <w:b w:val="false"/>
          <w:bCs w:val="false"/>
          <w:sz w:val="22"/>
          <w:szCs w:val="22"/>
        </w:rPr>
        <w:t xml:space="preserve">Not a traditional EDR — agents are not endpoints in the classical sense</w:t>
      </w:r>
    </w:p>
    <w:p>
      <w:pPr>
        <w:pStyle w:val="ListParagraph"/>
        <w:numPr>
          <w:ilvl w:val="0"/>
          <w:numId w:val="2"/>
        </w:numPr>
        <w:spacing w:before="60" w:after="60"/>
      </w:pPr>
      <w:r>
        <w:rPr>
          <w:rFonts w:ascii="Arial" w:cs="Arial" w:eastAsia="Arial" w:hAnsi="Arial"/>
          <w:b w:val="false"/>
          <w:bCs w:val="false"/>
          <w:sz w:val="22"/>
          <w:szCs w:val="22"/>
        </w:rPr>
        <w:t xml:space="preserve">Not a point solution for one attack type — it covers the full agent action chain</w:t>
      </w:r>
    </w:p>
    <w:p>
      <w:pPr>
        <w:pStyle w:val="ListParagraph"/>
        <w:numPr>
          <w:ilvl w:val="0"/>
          <w:numId w:val="2"/>
        </w:numPr>
        <w:spacing w:before="60" w:after="60"/>
      </w:pPr>
      <w:r>
        <w:rPr>
          <w:rFonts w:ascii="Arial" w:cs="Arial" w:eastAsia="Arial" w:hAnsi="Arial"/>
          <w:b w:val="false"/>
          <w:bCs w:val="false"/>
          <w:sz w:val="22"/>
          <w:szCs w:val="22"/>
        </w:rPr>
        <w:t xml:space="preserve">Not theoretical — it is built on real attack patterns already observed in production</w:t>
      </w:r>
    </w:p>
    <w:p>
      <w:pPr>
        <w:spacing w:before="120" w:after="120"/>
      </w:pPr>
    </w:p>
    <w:p>
      <w:pPr>
        <w:pStyle w:val="Heading2"/>
        <w:spacing w:before="300" w:after="160"/>
      </w:pPr>
      <w:r>
        <w:rPr>
          <w:rFonts w:ascii="Arial" w:cs="Arial" w:eastAsia="Arial" w:hAnsi="Arial"/>
          <w:b/>
          <w:bCs/>
          <w:color w:val="C84B31"/>
          <w:sz w:val="28"/>
          <w:szCs w:val="28"/>
        </w:rPr>
        <w:t xml:space="preserve">2.4 The Layer Nobody Covers</w:t>
      </w:r>
    </w:p>
    <w:p>
      <w:pPr>
        <w:spacing w:before="80" w:after="120"/>
      </w:pPr>
      <w:r>
        <w:rPr>
          <w:rFonts w:ascii="Arial" w:cs="Arial" w:eastAsia="Arial" w:hAnsi="Arial"/>
          <w:sz w:val="22"/>
          <w:szCs w:val="22"/>
        </w:rPr>
        <w:t xml:space="preserve">Current tools address pieces of the problem. ClawGuard covers the gap between them: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Misses</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Wiz AI Security Graph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Cloud permissions, attack paths, asset relationships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Agent behavioral anomalies at runtime</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Langfuse / Arize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LLM tracing, token usage, latency</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violations, adversarial inputs, spending anomalies</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Traditional SOAR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Alert triage and response playbooks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Agent-specific threat patterns</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ClawGuard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Real-time behavioral monitoring across the full agent action chain</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 This is the gap we fill —</w:t>
            </w:r>
          </w:p>
        </w:tc>
      </w:tr>
    </w:tbl>
    <w:p>
      <w:pPr>
        <w:spacing w:before="120" w:after="120"/>
      </w:pPr>
    </w:p>
    <w:p>
      <w:r>
        <w:br w:type="page"/>
      </w:r>
    </w:p>
    <w:p>
      <w:pPr>
        <w:pStyle w:val="Heading1"/>
        <w:spacing w:before="400" w:after="200"/>
      </w:pPr>
      <w:r>
        <w:rPr>
          <w:rFonts w:ascii="Arial" w:cs="Arial" w:eastAsia="Arial" w:hAnsi="Arial"/>
          <w:b/>
          <w:bCs/>
          <w:color w:val="1A1A2E"/>
          <w:sz w:val="36"/>
          <w:szCs w:val="36"/>
        </w:rPr>
        <w:t xml:space="preserve">3. The Attack Surface ClawGuard Monitors</w:t>
      </w:r>
    </w:p>
    <w:p>
      <w:pPr>
        <w:pBdr>
          <w:bottom w:val="single" w:color="C84B31" w:sz="6" w:space="1"/>
        </w:pBdr>
        <w:spacing w:before="160" w:after="160"/>
      </w:pPr>
    </w:p>
    <w:p>
      <w:pPr>
        <w:spacing w:before="120" w:after="120"/>
      </w:pPr>
    </w:p>
    <w:p>
      <w:pPr>
        <w:pStyle w:val="Heading2"/>
        <w:spacing w:before="300" w:after="160"/>
      </w:pPr>
      <w:r>
        <w:rPr>
          <w:rFonts w:ascii="Arial" w:cs="Arial" w:eastAsia="Arial" w:hAnsi="Arial"/>
          <w:b/>
          <w:bCs/>
          <w:color w:val="C84B31"/>
          <w:sz w:val="28"/>
          <w:szCs w:val="28"/>
        </w:rPr>
        <w:t xml:space="preserve">3.1 The Agent Web Threat Model</w:t>
      </w:r>
    </w:p>
    <w:p>
      <w:pPr>
        <w:spacing w:before="80" w:after="120"/>
      </w:pPr>
      <w:r>
        <w:rPr>
          <w:rFonts w:ascii="Arial" w:cs="Arial" w:eastAsia="Arial" w:hAnsi="Arial"/>
          <w:sz w:val="22"/>
          <w:szCs w:val="22"/>
        </w:rPr>
        <w:t xml:space="preserve">The modern agent stack has five new primitives, each with a distinct attack vector. Traditional security tools were not designed for any of them.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ClawGuard Detection</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Agentic Wallet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Coinbase X402, Stripe ACS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Drain via malicious skill or prompt injection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Spending anomaly detection</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Machine-Readable Content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Cloudflare Markdown</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Prompt injection delivered at machine speed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Content poisoning detection</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Shell / Code Execution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OpenAI Shell Tool</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Arbitrary code execution inside agent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Container behavior monitoring</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Versioned SOPs / Skills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OpenAI Skills layer</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Malicious skill disguised as legitimate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Skill provenance verification</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Agent Search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Exa.ai</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Adversarial content redirection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Search result integrity monitoring</w:t>
            </w:r>
          </w:p>
        </w:tc>
      </w:tr>
    </w:tbl>
    <w:p>
      <w:pPr>
        <w:spacing w:before="120" w:after="120"/>
      </w:pPr>
    </w:p>
    <w:p>
      <w:pPr>
        <w:pStyle w:val="Heading2"/>
        <w:spacing w:before="300" w:after="160"/>
      </w:pPr>
      <w:r>
        <w:rPr>
          <w:rFonts w:ascii="Arial" w:cs="Arial" w:eastAsia="Arial" w:hAnsi="Arial"/>
          <w:b/>
          <w:bCs/>
          <w:color w:val="C84B31"/>
          <w:sz w:val="28"/>
          <w:szCs w:val="28"/>
        </w:rPr>
        <w:t xml:space="preserve">3.2 Real-World Precedents</w:t>
      </w:r>
    </w:p>
    <w:p>
      <w:pPr>
        <w:spacing w:before="80" w:after="120"/>
      </w:pPr>
      <w:r>
        <w:rPr>
          <w:rFonts w:ascii="Arial" w:cs="Arial" w:eastAsia="Arial" w:hAnsi="Arial"/>
          <w:sz w:val="22"/>
          <w:szCs w:val="22"/>
        </w:rPr>
        <w:t xml:space="preserve">These are not hypothetical attack patterns. They have already occurred:</w:t>
      </w:r>
    </w:p>
    <w:p>
      <w:pPr>
        <w:pStyle w:val="ListParagraph"/>
        <w:numPr>
          <w:ilvl w:val="0"/>
          <w:numId w:val="2"/>
        </w:numPr>
        <w:spacing w:before="60" w:after="60"/>
      </w:pPr>
      <w:r>
        <w:rPr>
          <w:rFonts w:ascii="Arial" w:cs="Arial" w:eastAsia="Arial" w:hAnsi="Arial"/>
          <w:b w:val="false"/>
          <w:bCs w:val="false"/>
          <w:sz w:val="22"/>
          <w:szCs w:val="22"/>
        </w:rPr>
        <w:t xml:space="preserve">Cisco discovered data exfiltration via a third-party skill — a supply chain attack on the skill layer</w:t>
      </w:r>
    </w:p>
    <w:p>
      <w:pPr>
        <w:pStyle w:val="ListParagraph"/>
        <w:numPr>
          <w:ilvl w:val="0"/>
          <w:numId w:val="2"/>
        </w:numPr>
        <w:spacing w:before="60" w:after="60"/>
      </w:pPr>
      <w:r>
        <w:rPr>
          <w:rFonts w:ascii="Arial" w:cs="Arial" w:eastAsia="Arial" w:hAnsi="Arial"/>
          <w:b w:val="false"/>
          <w:bCs w:val="false"/>
          <w:sz w:val="22"/>
          <w:szCs w:val="22"/>
        </w:rPr>
        <w:t xml:space="preserve">OpenClaw production incidents included databases wiped by unsupervised agents</w:t>
      </w:r>
    </w:p>
    <w:p>
      <w:pPr>
        <w:pStyle w:val="ListParagraph"/>
        <w:numPr>
          <w:ilvl w:val="0"/>
          <w:numId w:val="2"/>
        </w:numPr>
        <w:spacing w:before="60" w:after="60"/>
      </w:pPr>
      <w:r>
        <w:rPr>
          <w:rFonts w:ascii="Arial" w:cs="Arial" w:eastAsia="Arial" w:hAnsi="Arial"/>
          <w:b w:val="false"/>
          <w:bCs w:val="false"/>
          <w:sz w:val="22"/>
          <w:szCs w:val="22"/>
        </w:rPr>
        <w:t xml:space="preserve">iMessage agents caused 500-message cascades due to missing behavioral guardrails</w:t>
      </w:r>
    </w:p>
    <w:p>
      <w:pPr>
        <w:pStyle w:val="ListParagraph"/>
        <w:numPr>
          <w:ilvl w:val="0"/>
          <w:numId w:val="2"/>
        </w:numPr>
        <w:spacing w:before="60" w:after="60"/>
      </w:pPr>
      <w:r>
        <w:rPr>
          <w:rFonts w:ascii="Arial" w:cs="Arial" w:eastAsia="Arial" w:hAnsi="Arial"/>
          <w:b w:val="false"/>
          <w:bCs w:val="false"/>
          <w:sz w:val="22"/>
          <w:szCs w:val="22"/>
        </w:rPr>
        <w:t xml:space="preserve">Agents with financial permissions have made unauthorized transactions in test environments</w:t>
      </w:r>
    </w:p>
    <w:p>
      <w:pPr>
        <w:spacing w:before="120" w:after="120"/>
      </w:pPr>
    </w:p>
    <w:p>
      <w:pPr>
        <w:pStyle w:val="Heading2"/>
        <w:spacing w:before="300" w:after="160"/>
      </w:pPr>
      <w:r>
        <w:rPr>
          <w:rFonts w:ascii="Arial" w:cs="Arial" w:eastAsia="Arial" w:hAnsi="Arial"/>
          <w:b/>
          <w:bCs/>
          <w:color w:val="C84B31"/>
          <w:sz w:val="28"/>
          <w:szCs w:val="28"/>
        </w:rPr>
        <w:t xml:space="preserve">3.3 The "Toxic Combination" Framework</w:t>
      </w:r>
    </w:p>
    <w:p>
      <w:pPr>
        <w:spacing w:before="80" w:after="120"/>
      </w:pPr>
      <w:r>
        <w:rPr>
          <w:rFonts w:ascii="Arial" w:cs="Arial" w:eastAsia="Arial" w:hAnsi="Arial"/>
          <w:sz w:val="22"/>
          <w:szCs w:val="22"/>
        </w:rPr>
        <w:t xml:space="preserve">Adapted from Wiz's AI Security Graph model: individual risks are manageable. Toxic combinations are not.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1A2E" w:sz="4"/>
              <w:left w:val="single" w:color="1A1A2E" w:sz="4"/>
              <w:bottom w:val="single" w:color="1A1A2E" w:sz="4"/>
              <w:right w:val="single" w:color="1A1A2E" w:sz="4"/>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TOXIC COMBO</w:t>
            </w:r>
          </w:p>
        </w:tc>
        <w:tc>
          <w:tcPr>
            <w:tcW w:type="dxa" w:w="8160"/>
            <w:tcBorders>
              <w:top w:val="single" w:color="1A1A2E" w:sz="4"/>
              <w:left w:val="single" w:color="1A1A2E" w:sz="4"/>
              <w:bottom w:val="single" w:color="1A1A2E" w:sz="4"/>
              <w:right w:val="single" w:color="1A1A2E" w:sz="4"/>
            </w:tcBorders>
            <w:shd w:fill="F0F4FF" w:val="clear"/>
            <w:tcMar>
              <w:top w:type="dxa" w:w="100"/>
              <w:left w:type="dxa" w:w="200"/>
              <w:bottom w:type="dxa" w:w="100"/>
              <w:right w:type="dxa" w:w="150"/>
            </w:tcMar>
          </w:tcPr>
          <w:p>
            <w:r>
              <w:rPr>
                <w:rFonts w:ascii="Arial" w:cs="Arial" w:eastAsia="Arial" w:hAnsi="Arial"/>
                <w:i/>
                <w:iCs/>
                <w:sz w:val="22"/>
                <w:szCs w:val="22"/>
              </w:rPr>
              <w:t xml:space="preserve">Exposed agent endpoint + excessive permissions + access to sensitive data + no behavioral monitoring = realistic attack path, not just a theoretical vulnerability</w:t>
            </w:r>
          </w:p>
        </w:tc>
      </w:tr>
    </w:tbl>
    <w:p>
      <w:pPr>
        <w:spacing w:before="120" w:after="120"/>
      </w:pPr>
    </w:p>
    <w:p>
      <w:pPr>
        <w:spacing w:before="80" w:after="120"/>
      </w:pPr>
      <w:r>
        <w:rPr>
          <w:rFonts w:ascii="Arial" w:cs="Arial" w:eastAsia="Arial" w:hAnsi="Arial"/>
          <w:sz w:val="22"/>
          <w:szCs w:val="22"/>
        </w:rPr>
        <w:t xml:space="preserve">ClawGuard's detection logic prioritizes identifying these combinations over cataloging isolated findings. The question is not "what vulnerabilities exist" — it is "which combinations are exploitable right now."</w:t>
      </w:r>
    </w:p>
    <w:p>
      <w:pPr>
        <w:spacing w:before="120" w:after="120"/>
      </w:pPr>
    </w:p>
    <w:p>
      <w:r>
        <w:br w:type="page"/>
      </w:r>
    </w:p>
    <w:p>
      <w:pPr>
        <w:pStyle w:val="Heading1"/>
        <w:spacing w:before="400" w:after="200"/>
      </w:pPr>
      <w:r>
        <w:rPr>
          <w:rFonts w:ascii="Arial" w:cs="Arial" w:eastAsia="Arial" w:hAnsi="Arial"/>
          <w:b/>
          <w:bCs/>
          <w:color w:val="1A1A2E"/>
          <w:sz w:val="36"/>
          <w:szCs w:val="36"/>
        </w:rPr>
        <w:t xml:space="preserve">4. Architecture Overview</w:t>
      </w:r>
    </w:p>
    <w:p>
      <w:pPr>
        <w:pBdr>
          <w:bottom w:val="single" w:color="C84B31" w:sz="6" w:space="1"/>
        </w:pBdr>
        <w:spacing w:before="160" w:after="160"/>
      </w:pPr>
    </w:p>
    <w:p>
      <w:pPr>
        <w:spacing w:before="120" w:after="120"/>
      </w:pPr>
    </w:p>
    <w:p>
      <w:pPr>
        <w:pStyle w:val="Heading2"/>
        <w:spacing w:before="300" w:after="160"/>
      </w:pPr>
      <w:r>
        <w:rPr>
          <w:rFonts w:ascii="Arial" w:cs="Arial" w:eastAsia="Arial" w:hAnsi="Arial"/>
          <w:b/>
          <w:bCs/>
          <w:color w:val="C84B31"/>
          <w:sz w:val="28"/>
          <w:szCs w:val="28"/>
        </w:rPr>
        <w:t xml:space="preserve">4.1 Core Components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Human-defined ruleset: what "wrong" looks like for each agent type</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rulebook that terminates the infinite loop</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Behavioral Monitor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Real-time observation of agent actions against the policy ruleset</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watcher layer</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Context Ledger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Living document of agent decisions, actions, and causality chains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Unified context at machine speed</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Anomaly Surface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Detection output: flags, risk scores, toxic combinations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alert layer with causality, not just events</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Audit Interface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 for policy review, ruleset updates, incident response</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Layer 4 — humans stay in the loop on policy</w:t>
            </w:r>
          </w:p>
        </w:tc>
      </w:tr>
    </w:tbl>
    <w:p>
      <w:pPr>
        <w:spacing w:before="120" w:after="120"/>
      </w:pPr>
    </w:p>
    <w:p>
      <w:pPr>
        <w:pStyle w:val="Heading2"/>
        <w:spacing w:before="300" w:after="160"/>
      </w:pPr>
      <w:r>
        <w:rPr>
          <w:rFonts w:ascii="Arial" w:cs="Arial" w:eastAsia="Arial" w:hAnsi="Arial"/>
          <w:b/>
          <w:bCs/>
          <w:color w:val="C84B31"/>
          <w:sz w:val="28"/>
          <w:szCs w:val="28"/>
        </w:rPr>
        <w:t xml:space="preserve">4.2 The Context Ledger — The Key Innovation</w:t>
      </w:r>
    </w:p>
    <w:p>
      <w:pPr>
        <w:spacing w:before="80" w:after="120"/>
      </w:pPr>
      <w:r>
        <w:rPr>
          <w:rFonts w:ascii="Arial" w:cs="Arial" w:eastAsia="Arial" w:hAnsi="Arial"/>
          <w:sz w:val="22"/>
          <w:szCs w:val="22"/>
        </w:rPr>
        <w:t xml:space="preserve">Most SIEMs and monitoring tools collect events. They capture what happened. The Context Ledger captures what happened AND why AND what changed because of it.</w:t>
      </w:r>
    </w:p>
    <w:p>
      <w:pPr>
        <w:spacing w:before="120" w:after="120"/>
      </w:pPr>
    </w:p>
    <w:p>
      <w:pPr>
        <w:spacing w:before="80" w:after="120"/>
      </w:pPr>
      <w:r>
        <w:rPr>
          <w:rFonts w:ascii="Arial" w:cs="Arial" w:eastAsia="Arial" w:hAnsi="Arial"/>
          <w:sz w:val="22"/>
          <w:szCs w:val="22"/>
        </w:rPr>
        <w:t xml:space="preserve">This is the actual gap in current tooling. Without causality, AI context drifts from reality over time. The attacker's world model of your environment becomes more accurate than yours. The Context Ledger prevents that drift by recording the decision chain, not just the event log.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1A2E" w:sz="4"/>
              <w:left w:val="single" w:color="1A1A2E" w:sz="4"/>
              <w:bottom w:val="single" w:color="1A1A2E" w:sz="4"/>
              <w:right w:val="single" w:color="1A1A2E" w:sz="4"/>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LEDGER FEEDS ON</w:t>
            </w:r>
          </w:p>
        </w:tc>
        <w:tc>
          <w:tcPr>
            <w:tcW w:type="dxa" w:w="8160"/>
            <w:tcBorders>
              <w:top w:val="single" w:color="1A1A2E" w:sz="4"/>
              <w:left w:val="single" w:color="1A1A2E" w:sz="4"/>
              <w:bottom w:val="single" w:color="1A1A2E" w:sz="4"/>
              <w:right w:val="single" w:color="1A1A2E" w:sz="4"/>
            </w:tcBorders>
            <w:shd w:fill="F0F4FF" w:val="clear"/>
            <w:tcMar>
              <w:top w:type="dxa" w:w="100"/>
              <w:left w:type="dxa" w:w="200"/>
              <w:bottom w:type="dxa" w:w="100"/>
              <w:right w:type="dxa" w:w="150"/>
            </w:tcMar>
          </w:tcPr>
          <w:p>
            <w:r>
              <w:rPr>
                <w:rFonts w:ascii="Arial" w:cs="Arial" w:eastAsia="Arial" w:hAnsi="Arial"/>
                <w:i/>
                <w:iCs/>
                <w:sz w:val="22"/>
                <w:szCs w:val="22"/>
              </w:rPr>
              <w:t xml:space="preserve">Every log, every trace, every agent decision, every human action that changed something — with causality tags linking cause to effect</w:t>
            </w:r>
          </w:p>
        </w:tc>
      </w:tr>
    </w:tbl>
    <w:p>
      <w:pPr>
        <w:spacing w:before="120" w:after="120"/>
      </w:pPr>
    </w:p>
    <w:p>
      <w:pPr>
        <w:pStyle w:val="Heading2"/>
        <w:spacing w:before="300" w:after="160"/>
      </w:pPr>
      <w:r>
        <w:rPr>
          <w:rFonts w:ascii="Arial" w:cs="Arial" w:eastAsia="Arial" w:hAnsi="Arial"/>
          <w:b/>
          <w:bCs/>
          <w:color w:val="C84B31"/>
          <w:sz w:val="28"/>
          <w:szCs w:val="28"/>
        </w:rPr>
        <w:t xml:space="preserve">4.3 The Gradient Descent Model of Iteration</w:t>
      </w:r>
    </w:p>
    <w:p>
      <w:pPr>
        <w:spacing w:before="80" w:after="120"/>
      </w:pPr>
      <w:r>
        <w:rPr>
          <w:rFonts w:ascii="Arial" w:cs="Arial" w:eastAsia="Arial" w:hAnsi="Arial"/>
          <w:sz w:val="22"/>
          <w:szCs w:val="22"/>
        </w:rPr>
        <w:t xml:space="preserve">ClawGuard is not built once and deployed. It iterates continuously — and imperfect iterations are expected and designed for:</w:t>
      </w:r>
    </w:p>
    <w:p>
      <w:pPr>
        <w:spacing w:before="120" w:after="120"/>
      </w:pPr>
    </w:p>
    <w:p>
      <w:pPr>
        <w:spacing w:before="120" w:after="120"/>
        <w:jc w:val="center"/>
      </w:pPr>
      <w:r>
        <w:rPr>
          <w:rFonts w:ascii="Courier New" w:cs="Courier New" w:eastAsia="Courier New" w:hAnsi="Courier New"/>
          <w:b/>
          <w:bCs/>
          <w:color w:val="C84B31"/>
          <w:sz w:val="22"/>
          <w:szCs w:val="22"/>
        </w:rPr>
        <w:t xml:space="preserve">Current State  →  Identify Gap  →  AI Suggests Next Action  →  Execute  →  New Current State  →  Repeat</w:t>
      </w:r>
    </w:p>
    <w:p>
      <w:pPr>
        <w:spacing w:before="120" w:after="120"/>
      </w:pPr>
    </w:p>
    <w:p>
      <w:pPr>
        <w:spacing w:before="80" w:after="120"/>
      </w:pPr>
      <w:r>
        <w:rPr>
          <w:rFonts w:ascii="Arial" w:cs="Arial" w:eastAsia="Arial" w:hAnsi="Arial"/>
          <w:sz w:val="22"/>
          <w:szCs w:val="22"/>
        </w:rPr>
        <w:t xml:space="preserve">The path from current to ideal is not linear. Some detection logic requires more iterations than others. The system does not care about elegance — it cares about directional improvement. Each failed detection rule teaches the policy engine what a better rule looks like.</w:t>
      </w:r>
    </w:p>
    <w:p>
      <w:pPr>
        <w:spacing w:before="120" w:after="120"/>
      </w:pPr>
    </w:p>
    <w:p>
      <w:r>
        <w:br w:type="page"/>
      </w:r>
    </w:p>
    <w:p>
      <w:pPr>
        <w:pStyle w:val="Heading1"/>
        <w:spacing w:before="400" w:after="200"/>
      </w:pPr>
      <w:r>
        <w:rPr>
          <w:rFonts w:ascii="Arial" w:cs="Arial" w:eastAsia="Arial" w:hAnsi="Arial"/>
          <w:b/>
          <w:bCs/>
          <w:color w:val="1A1A2E"/>
          <w:sz w:val="36"/>
          <w:szCs w:val="36"/>
        </w:rPr>
        <w:t xml:space="preserve">5. Market Positioning</w:t>
      </w:r>
    </w:p>
    <w:p>
      <w:pPr>
        <w:pBdr>
          <w:bottom w:val="single" w:color="C84B31" w:sz="6" w:space="1"/>
        </w:pBdr>
        <w:spacing w:before="160" w:after="160"/>
      </w:pPr>
    </w:p>
    <w:p>
      <w:pPr>
        <w:spacing w:before="120" w:after="120"/>
      </w:pPr>
    </w:p>
    <w:p>
      <w:pPr>
        <w:pStyle w:val="Heading2"/>
        <w:spacing w:before="300" w:after="160"/>
      </w:pPr>
      <w:r>
        <w:rPr>
          <w:rFonts w:ascii="Arial" w:cs="Arial" w:eastAsia="Arial" w:hAnsi="Arial"/>
          <w:b/>
          <w:bCs/>
          <w:color w:val="C84B31"/>
          <w:sz w:val="28"/>
          <w:szCs w:val="28"/>
        </w:rPr>
        <w:t xml:space="preserve">5.1 The Trust Gap IS the Market</w:t>
      </w:r>
    </w:p>
    <w:p>
      <w:pPr>
        <w:spacing w:before="80" w:after="120"/>
      </w:pPr>
      <w:r>
        <w:rPr>
          <w:rFonts w:ascii="Arial" w:cs="Arial" w:eastAsia="Arial" w:hAnsi="Arial"/>
          <w:sz w:val="22"/>
          <w:szCs w:val="22"/>
        </w:rPr>
        <w:t xml:space="preserve">The gap between the infrastructure being built for AI agents and the trust organizations are willing to extend to those agents is the central tension of the next three to five years. Every company deploying agents is betting that trust will catch up to capability.</w:t>
      </w:r>
    </w:p>
    <w:p>
      <w:pPr>
        <w:spacing w:before="120" w:after="120"/>
      </w:pPr>
    </w:p>
    <w:p>
      <w:pPr>
        <w:spacing w:before="80" w:after="120"/>
      </w:pPr>
      <w:r>
        <w:rPr>
          <w:rFonts w:ascii="Arial" w:cs="Arial" w:eastAsia="Arial" w:hAnsi="Arial"/>
          <w:sz w:val="22"/>
          <w:szCs w:val="22"/>
        </w:rPr>
        <w:t xml:space="preserve">The companies that operationalize trust — not just talk about it — own the next layer of security infrastructure. ClawGuard is that layer.</w:t>
      </w:r>
    </w:p>
    <w:p>
      <w:pPr>
        <w:spacing w:before="120" w:after="120"/>
      </w:pPr>
    </w:p>
    <w:p>
      <w:pPr>
        <w:pStyle w:val="Heading2"/>
        <w:spacing w:before="300" w:after="160"/>
      </w:pPr>
      <w:r>
        <w:rPr>
          <w:rFonts w:ascii="Arial" w:cs="Arial" w:eastAsia="Arial" w:hAnsi="Arial"/>
          <w:b/>
          <w:bCs/>
          <w:color w:val="C84B31"/>
          <w:sz w:val="28"/>
          <w:szCs w:val="28"/>
        </w:rPr>
        <w:t xml:space="preserve">5.2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1A2E" w:sz="4"/>
              <w:left w:val="single" w:color="1A1A2E" w:sz="4"/>
              <w:bottom w:val="single" w:color="1A1A2E" w:sz="4"/>
              <w:right w:val="single" w:color="1A1A2E" w:sz="4"/>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PITCH</w:t>
            </w:r>
          </w:p>
        </w:tc>
        <w:tc>
          <w:tcPr>
            <w:tcW w:type="dxa" w:w="8160"/>
            <w:tcBorders>
              <w:top w:val="single" w:color="1A1A2E" w:sz="4"/>
              <w:left w:val="single" w:color="1A1A2E" w:sz="4"/>
              <w:bottom w:val="single" w:color="1A1A2E" w:sz="4"/>
              <w:right w:val="single" w:color="1A1A2E" w:sz="4"/>
            </w:tcBorders>
            <w:shd w:fill="F0F4FF" w:val="clear"/>
            <w:tcMar>
              <w:top w:type="dxa" w:w="100"/>
              <w:left w:type="dxa" w:w="200"/>
              <w:bottom w:type="dxa" w:w="100"/>
              <w:right w:type="dxa" w:w="150"/>
            </w:tcMar>
          </w:tcPr>
          <w:p>
            <w:r>
              <w:rPr>
                <w:rFonts w:ascii="Arial" w:cs="Arial" w:eastAsia="Arial" w:hAnsi="Arial"/>
                <w:i/>
                <w:iCs/>
                <w:sz w:val="22"/>
                <w:szCs w:val="22"/>
              </w:rPr>
              <w:t xml:space="preserve">ClawGuard makes AI agent operations trustworthy enough to run at enterprise scale — the same way CI/CD made software deployments trustworthy enough to ship continuously.</w:t>
            </w:r>
          </w:p>
        </w:tc>
      </w:tr>
    </w:tbl>
    <w:p>
      <w:pPr>
        <w:spacing w:before="120" w:after="120"/>
      </w:pPr>
    </w:p>
    <w:p>
      <w:pPr>
        <w:pStyle w:val="Heading2"/>
        <w:spacing w:before="300" w:after="160"/>
      </w:pPr>
      <w:r>
        <w:rPr>
          <w:rFonts w:ascii="Arial" w:cs="Arial" w:eastAsia="Arial" w:hAnsi="Arial"/>
          <w:b/>
          <w:bCs/>
          <w:color w:val="C84B31"/>
          <w:sz w:val="28"/>
          <w:szCs w:val="28"/>
        </w:rPr>
        <w:t xml:space="preserve">5.3 Target Audience</w:t>
      </w:r>
    </w:p>
    <w:p>
      <w:pPr>
        <w:pStyle w:val="ListParagraph"/>
        <w:numPr>
          <w:ilvl w:val="0"/>
          <w:numId w:val="2"/>
        </w:numPr>
        <w:spacing w:before="60" w:after="60"/>
      </w:pPr>
      <w:r>
        <w:rPr>
          <w:rFonts w:ascii="Arial" w:cs="Arial" w:eastAsia="Arial" w:hAnsi="Arial"/>
          <w:b w:val="false"/>
          <w:bCs w:val="false"/>
          <w:sz w:val="22"/>
          <w:szCs w:val="22"/>
        </w:rPr>
        <w:t xml:space="preserve">Security engineering teams deploying or evaluating autonomous AI agents</w:t>
      </w:r>
    </w:p>
    <w:p>
      <w:pPr>
        <w:pStyle w:val="ListParagraph"/>
        <w:numPr>
          <w:ilvl w:val="0"/>
          <w:numId w:val="2"/>
        </w:numPr>
        <w:spacing w:before="60" w:after="60"/>
      </w:pPr>
      <w:r>
        <w:rPr>
          <w:rFonts w:ascii="Arial" w:cs="Arial" w:eastAsia="Arial" w:hAnsi="Arial"/>
          <w:b w:val="false"/>
          <w:bCs w:val="false"/>
          <w:sz w:val="22"/>
          <w:szCs w:val="22"/>
        </w:rPr>
        <w:t xml:space="preserve">AI platform teams building multi-agent orchestration systems</w:t>
      </w:r>
    </w:p>
    <w:p>
      <w:pPr>
        <w:pStyle w:val="ListParagraph"/>
        <w:numPr>
          <w:ilvl w:val="0"/>
          <w:numId w:val="2"/>
        </w:numPr>
        <w:spacing w:before="60" w:after="60"/>
      </w:pPr>
      <w:r>
        <w:rPr>
          <w:rFonts w:ascii="Arial" w:cs="Arial" w:eastAsia="Arial" w:hAnsi="Arial"/>
          <w:b w:val="false"/>
          <w:bCs w:val="false"/>
          <w:sz w:val="22"/>
          <w:szCs w:val="22"/>
        </w:rPr>
        <w:t xml:space="preserve">CISOs responsible for AI governance and risk management</w:t>
      </w:r>
    </w:p>
    <w:p>
      <w:pPr>
        <w:pStyle w:val="ListParagraph"/>
        <w:numPr>
          <w:ilvl w:val="0"/>
          <w:numId w:val="2"/>
        </w:numPr>
        <w:spacing w:before="60" w:after="60"/>
      </w:pPr>
      <w:r>
        <w:rPr>
          <w:rFonts w:ascii="Arial" w:cs="Arial" w:eastAsia="Arial" w:hAnsi="Arial"/>
          <w:b w:val="false"/>
          <w:bCs w:val="false"/>
          <w:sz w:val="22"/>
          <w:szCs w:val="22"/>
        </w:rPr>
        <w:t xml:space="preserve">AI Security Engineer roles — the job title Michael is transitioning into</w:t>
      </w:r>
    </w:p>
    <w:p>
      <w:pPr>
        <w:spacing w:before="120" w:after="120"/>
      </w:pPr>
    </w:p>
    <w:p>
      <w:pPr>
        <w:pStyle w:val="Heading2"/>
        <w:spacing w:before="300" w:after="160"/>
      </w:pPr>
      <w:r>
        <w:rPr>
          <w:rFonts w:ascii="Arial" w:cs="Arial" w:eastAsia="Arial" w:hAnsi="Arial"/>
          <w:b/>
          <w:bCs/>
          <w:color w:val="C84B31"/>
          <w:sz w:val="28"/>
          <w:szCs w:val="28"/>
        </w:rPr>
        <w:t xml:space="preserve">5.4 Competitive Differentiation</w:t>
      </w:r>
    </w:p>
    <w:p>
      <w:pPr>
        <w:spacing w:before="80" w:after="120"/>
      </w:pPr>
      <w:r>
        <w:rPr>
          <w:rFonts w:ascii="Arial" w:cs="Arial" w:eastAsia="Arial" w:hAnsi="Arial"/>
          <w:sz w:val="22"/>
          <w:szCs w:val="22"/>
        </w:rPr>
        <w:t xml:space="preserve">ClawGuard's differentiation is not that it monitors AI agents. It is that it monitors the full behavioral chain across all five agent primitives simultaneously, with causality-aware context, enforcing human-defined policies. No current tool does all of this.</w:t>
      </w:r>
    </w:p>
    <w:p>
      <w:pPr>
        <w:spacing w:before="120" w:after="120"/>
      </w:pPr>
    </w:p>
    <w:p>
      <w:pPr>
        <w:pStyle w:val="Heading1"/>
        <w:spacing w:before="400" w:after="200"/>
      </w:pPr>
      <w:r>
        <w:rPr>
          <w:rFonts w:ascii="Arial" w:cs="Arial" w:eastAsia="Arial" w:hAnsi="Arial"/>
          <w:b/>
          <w:bCs/>
          <w:color w:val="1A1A2E"/>
          <w:sz w:val="36"/>
          <w:szCs w:val="36"/>
        </w:rPr>
        <w:t xml:space="preserve">6. Build Roadmap — Phase 0 to Phase 3</w:t>
      </w:r>
    </w:p>
    <w:p>
      <w:pPr>
        <w:pBdr>
          <w:bottom w:val="single" w:color="C84B31" w:sz="6" w:space="1"/>
        </w:pBdr>
        <w:spacing w:before="16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480"/>
        <w:gridCol w:w="2280"/>
      </w:tblGrid>
      <w:tr>
        <w:trPr>
          <w:tblHeader/>
        </w:trP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Foundation</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This document + GitHub repo + README + architecture diagram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Week 1</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Policy Engine MVP</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One-page Policy Layer Document defining "wrong" for one agent use case. Python prototype.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Weeks 2-4</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Behavioral Monitor</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Agent instrumentation via Langfuse or Arize. Basic anomaly detection against policy ruleset.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Weeks 5-8</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Context Ledger</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Causality-tagged event logging. Decision chain capture. Toxic combination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Weeks 9-14</w:t>
            </w:r>
          </w:p>
        </w:tc>
      </w:tr>
      <w:tr>
        <w:trPr>
          <w:tblHeader w:val="false"/>
        </w:trPr>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Demo + Publish</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1A1A2E"/>
                <w:sz w:val="20"/>
                <w:szCs w:val="20"/>
              </w:rPr>
              <w:t xml:space="preserve">End-to-end demo video. LinkedIn positioning. Kaizen Emerge capstone 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Week 15+</w:t>
            </w:r>
          </w:p>
        </w:tc>
      </w:tr>
    </w:tbl>
    <w:p>
      <w:pPr>
        <w:spacing w:before="120" w:after="120"/>
      </w:pPr>
    </w:p>
    <w:p>
      <w:pPr>
        <w:pStyle w:val="Heading1"/>
        <w:spacing w:before="400" w:after="200"/>
      </w:pPr>
      <w:r>
        <w:rPr>
          <w:rFonts w:ascii="Arial" w:cs="Arial" w:eastAsia="Arial" w:hAnsi="Arial"/>
          <w:b/>
          <w:bCs/>
          <w:color w:val="1A1A2E"/>
          <w:sz w:val="36"/>
          <w:szCs w:val="36"/>
        </w:rPr>
        <w:t xml:space="preserve">7. Immediate Forward Actions — This Week</w:t>
      </w:r>
    </w:p>
    <w:p>
      <w:pPr>
        <w:pBdr>
          <w:bottom w:val="single" w:color="C84B31" w:sz="6" w:space="1"/>
        </w:pBdr>
        <w:spacing w:before="160" w:after="160"/>
      </w:pPr>
    </w:p>
    <w:p>
      <w:pPr>
        <w:spacing w:before="120" w:after="120"/>
      </w:pPr>
    </w:p>
    <w:p>
      <w:pPr>
        <w:pStyle w:val="ListParagraph"/>
        <w:numPr>
          <w:ilvl w:val="0"/>
          <w:numId w:val="2"/>
        </w:numPr>
        <w:spacing w:before="60" w:after="60"/>
      </w:pPr>
      <w:r>
        <w:rPr>
          <w:rFonts w:ascii="Arial" w:cs="Arial" w:eastAsia="Arial" w:hAnsi="Arial"/>
          <w:b/>
          <w:bCs/>
          <w:sz w:val="22"/>
          <w:szCs w:val="22"/>
        </w:rPr>
        <w:t xml:space="preserve">Create the ClawGuard GitHub repository — public, professional README, MIT license</w:t>
      </w:r>
    </w:p>
    <w:p>
      <w:pPr>
        <w:pStyle w:val="ListParagraph"/>
        <w:numPr>
          <w:ilvl w:val="0"/>
          <w:numId w:val="2"/>
        </w:numPr>
        <w:spacing w:before="60" w:after="60"/>
      </w:pPr>
      <w:r>
        <w:rPr>
          <w:rFonts w:ascii="Arial" w:cs="Arial" w:eastAsia="Arial" w:hAnsi="Arial"/>
          <w:b/>
          <w:bCs/>
          <w:sz w:val="22"/>
          <w:szCs w:val="22"/>
        </w:rPr>
        <w:t xml:space="preserve">Write the Phase 1 Policy Layer Document: pick one agent type (e.g., a web research agent), define 5 behaviors that constitute "wrong" — this is your rulebook prototype</w:t>
      </w:r>
    </w:p>
    <w:p>
      <w:pPr>
        <w:pStyle w:val="ListParagraph"/>
        <w:numPr>
          <w:ilvl w:val="0"/>
          <w:numId w:val="2"/>
        </w:numPr>
        <w:spacing w:before="60" w:after="60"/>
      </w:pPr>
      <w:r>
        <w:rPr>
          <w:rFonts w:ascii="Arial" w:cs="Arial" w:eastAsia="Arial" w:hAnsi="Arial"/>
          <w:b/>
          <w:bCs/>
          <w:sz w:val="22"/>
          <w:szCs w:val="22"/>
        </w:rPr>
        <w:t xml:space="preserve">Instrument a simple Python agent with Langfuse — watch the execution graph. This becomes your first demo artifact</w:t>
      </w:r>
    </w:p>
    <w:p>
      <w:pPr>
        <w:pStyle w:val="ListParagraph"/>
        <w:numPr>
          <w:ilvl w:val="0"/>
          <w:numId w:val="2"/>
        </w:numPr>
        <w:spacing w:before="60" w:after="60"/>
      </w:pPr>
      <w:r>
        <w:rPr>
          <w:rFonts w:ascii="Arial" w:cs="Arial" w:eastAsia="Arial" w:hAnsi="Arial"/>
          <w:b/>
          <w:bCs/>
          <w:sz w:val="22"/>
          <w:szCs w:val="22"/>
        </w:rPr>
        <w:t xml:space="preserve">Name your weekly deliverable and declare it here — ClawGuard holds you accountable to ship, not study</w:t>
      </w:r>
    </w:p>
    <w:p>
      <w:pPr>
        <w:spacing w:before="120" w:after="120"/>
      </w:pPr>
    </w:p>
    <w:p>
      <w:pPr>
        <w:pBdr>
          <w:bottom w:val="single" w:color="1A1A2E" w:sz="6" w:space="1"/>
        </w:pBdr>
        <w:spacing w:before="160" w:after="160"/>
      </w:pPr>
    </w:p>
    <w:p>
      <w:pPr>
        <w:spacing w:before="120" w:after="120"/>
      </w:pPr>
    </w:p>
    <w:p>
      <w:pPr>
        <w:spacing w:before="200" w:after="100"/>
        <w:jc w:val="center"/>
      </w:pPr>
      <w:r>
        <w:rPr>
          <w:rFonts w:ascii="Arial" w:cs="Arial" w:eastAsia="Arial" w:hAnsi="Arial"/>
          <w:i/>
          <w:iCs/>
          <w:color w:val="888888"/>
          <w:sz w:val="20"/>
          <w:szCs w:val="20"/>
        </w:rPr>
        <w:t xml:space="preserve">ClawGuard  |  Built by Michael Williams  |  AI Security Engineer</w:t>
      </w:r>
    </w:p>
    <w:p>
      <w:pPr>
        <w:spacing w:before="0" w:after="200"/>
        <w:jc w:val="center"/>
      </w:pPr>
      <w:r>
        <w:rPr>
          <w:rFonts w:ascii="Arial" w:cs="Arial" w:eastAsia="Arial" w:hAnsi="Arial"/>
          <w:i/>
          <w:iCs/>
          <w:color w:val="C84B31"/>
          <w:sz w:val="20"/>
          <w:szCs w:val="20"/>
        </w:rPr>
        <w:t xml:space="preserve">"Agents need guardrails the same way production code needs CI/CD."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2026-03-01T23:30:32.830Z</dcterms:created>
  <dcterms:modified xsi:type="dcterms:W3CDTF">2026-03-01T23:30:32.831Z</dcterms:modified>
</cp:coreProperties>
</file>

<file path=docProps/custom.xml><?xml version="1.0" encoding="utf-8"?>
<Properties xmlns="http://schemas.openxmlformats.org/officeDocument/2006/custom-properties" xmlns:vt="http://schemas.openxmlformats.org/officeDocument/2006/docPropsVTypes"/>
</file>