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784D2" w14:textId="354E413E" w:rsidR="00E12DD3" w:rsidRDefault="001C150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(s)=</m:t>
          </m:r>
          <m:nary>
            <m:naryPr>
              <m:chr m:val="∑"/>
              <m:limLoc m:val="subSup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a∈A</m:t>
              </m:r>
            </m:sub>
            <m:sup/>
            <m:e/>
          </m:nary>
          <m:r>
            <w:rPr>
              <w:rFonts w:ascii="Cambria Math" w:hAnsi="Cambria Math"/>
            </w:rPr>
            <m:t>π(s,a)[r(s,a)+γ</m:t>
          </m:r>
          <m:nary>
            <m:naryPr>
              <m:chr m:val="∑"/>
              <m:limLoc m:val="subSup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s’∈S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hAnsi="Cambria Math"/>
            </w:rPr>
            <m:t>(s,a,s’)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(s’)]</m:t>
          </m:r>
        </m:oMath>
      </m:oMathPara>
    </w:p>
    <w:p w14:paraId="6C97C09A" w14:textId="77777777" w:rsidR="001C150E" w:rsidRPr="001C150E" w:rsidRDefault="001C150E"/>
    <w:p w14:paraId="2AD53469" w14:textId="7BE71EDB" w:rsidR="00C41209" w:rsidRDefault="00C41209">
      <m:oMathPara>
        <m:oMath>
          <m:r>
            <w:rPr>
              <w:rFonts w:ascii="Cambria Math" w:hAnsi="Cambria Math"/>
            </w:rPr>
            <m:t>x=72</m:t>
          </m:r>
          <m:r>
            <w:rPr>
              <w:rFonts w:ascii="Cambria Math" w:hAnsi="Cambria Math"/>
            </w:rPr>
            <m:t>=sdjf</m:t>
          </m:r>
        </m:oMath>
      </m:oMathPara>
    </w:p>
    <w:p w14:paraId="3F9F32A6" w14:textId="77777777" w:rsidR="00E12DD3" w:rsidRDefault="00000000">
      <w:r>
        <w:t xml:space="preserve">This is a </w:t>
      </w:r>
      <w:proofErr w:type="gramStart"/>
      <w:r>
        <w:t>paragraph</w:t>
      </w:r>
      <w:proofErr w:type="gramEnd"/>
    </w:p>
    <w:p w14:paraId="2B5EF928" w14:textId="6F49C4D0" w:rsidR="000A04A3" w:rsidRDefault="000A04A3">
      <w:r>
        <w:t>The output is an HTML fragment, rather than a full HTML document, encoded with UTF-8. Since the encoding is not explicitly set in the fragment, opening the output file in a web browser may cause Unicode characters to be rendered incorrectly if the browser doesn't default to UTF-8.</w:t>
      </w:r>
    </w:p>
    <w:p w14:paraId="0F21CA1C" w14:textId="71798399" w:rsidR="000A04A3" w:rsidRDefault="000A04A3">
      <w:r>
        <w:t>The output is an HTML fragment, rather than a full HTML document, encoded with UTF-8. Since the encoding is not explicitly set in the fragment, opening the output file in a web browser may cause Unicode characters to be rendered incorrectly if the browser doesn't default to UTF-8.</w:t>
      </w:r>
    </w:p>
    <w:p w14:paraId="18386D0A" w14:textId="41B7D724" w:rsidR="000A04A3" w:rsidRDefault="000A04A3">
      <w:r>
        <w:t>The output is an HTML fragment, rather than a full HTML document, encoded with UTF-8. Since the encoding is not explicitly set in the fragment, opening the output file in a web browser may cause Unicode characters to be rendered incorrectly if the browser doesn't default to UTF-8.</w:t>
      </w:r>
    </w:p>
    <w:p w14:paraId="5966D349" w14:textId="77777777" w:rsidR="00E12DD3" w:rsidRDefault="00000000">
      <w:r>
        <w:t xml:space="preserve"> </w:t>
      </w:r>
    </w:p>
    <w:p w14:paraId="58C46E36" w14:textId="77777777" w:rsidR="00E12DD3" w:rsidRDefault="00E12DD3"/>
    <w:p w14:paraId="02C4ED88" w14:textId="77777777" w:rsidR="00E12DD3" w:rsidRDefault="0000000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(s)=</m:t>
          </m:r>
          <m:nary>
            <m:naryPr>
              <m:chr m:val="∑"/>
              <m:limLoc m:val="subSup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a∈A</m:t>
              </m:r>
            </m:sub>
            <m:sup/>
            <m:e/>
          </m:nary>
          <m:r>
            <w:rPr>
              <w:rFonts w:ascii="Cambria Math" w:hAnsi="Cambria Math"/>
            </w:rPr>
            <m:t>π(s,a)[r(s,a)+γ</m:t>
          </m:r>
          <m:nary>
            <m:naryPr>
              <m:chr m:val="∑"/>
              <m:limLoc m:val="subSup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s’∈S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hAnsi="Cambria Math"/>
            </w:rPr>
            <m:t>(s,a,s’)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(s’)]</m:t>
          </m:r>
        </m:oMath>
      </m:oMathPara>
    </w:p>
    <w:p w14:paraId="57D91AB3" w14:textId="77777777" w:rsidR="00E12DD3" w:rsidRDefault="00E12DD3"/>
    <w:p w14:paraId="3EE229E2" w14:textId="77777777" w:rsidR="00E12DD3" w:rsidRDefault="00000000">
      <m:oMathPara>
        <m:oMath>
          <m:r>
            <m:rPr>
              <m:sty m:val="p"/>
            </m:rPr>
            <w:rPr>
              <w:rFonts w:ascii="Cambria Math" w:hAnsi="Cambria Math"/>
            </w:rPr>
            <m:t>\def\d</m:t>
          </m:r>
          <m:r>
            <w:rPr>
              <w:rFonts w:ascii="Cambria Math" w:hAnsi="Cambria Math"/>
            </w:rPr>
            <m:t>d</m:t>
          </m:r>
          <m:nary>
            <m:naryPr>
              <m:chr m:val="∮"/>
              <m:limLoc m:val="subSup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lim>
                  <m:r>
                    <w:rPr>
                      <w:rFonts w:ascii="Cambria Math" w:hAnsi="Cambria Math"/>
                    </w:rPr>
                    <m:t>→</m:t>
                  </m:r>
                </m:lim>
              </m:limUpp>
              <m:r>
                <w:rPr>
                  <w:rFonts w:ascii="Cambria Math" w:hAnsi="Cambria Math"/>
                </w:rPr>
                <m:t>∘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\d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l</m:t>
              </m:r>
            </m:e>
            <m:lim>
              <m:r>
                <w:rPr>
                  <w:rFonts w:ascii="Cambria Math" w:hAnsi="Cambria Math"/>
                </w:rPr>
                <m:t>→</m:t>
              </m:r>
            </m:lim>
          </m:limUp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m:t>enc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\d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\d</m:t>
              </m:r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lim>
                  <m:r>
                    <w:rPr>
                      <w:rFonts w:ascii="Cambria Math" w:hAnsi="Cambria Math"/>
                    </w:rPr>
                    <m:t>→</m:t>
                  </m:r>
                </m:lim>
              </m:limUpp>
              <m:r>
                <w:rPr>
                  <w:rFonts w:ascii="Cambria Math" w:hAnsi="Cambria Math"/>
                </w:rPr>
                <m:t>∘</m:t>
              </m:r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lim>
                  <m:r>
                    <w:rPr>
                      <w:rFonts w:ascii="Cambria Math" w:hAnsi="Cambria Math"/>
                    </w:rPr>
                    <m:t>^</m:t>
                  </m:r>
                </m:lim>
              </m:limUpp>
            </m:e>
          </m:nary>
          <m:r>
            <m:rPr>
              <m:sty m:val="p"/>
            </m:rPr>
            <w:rPr>
              <w:rFonts w:ascii="Cambria Math" w:hAnsi="Cambria Math"/>
            </w:rPr>
            <m:t>\d</m:t>
          </m:r>
          <m:r>
            <w:rPr>
              <w:rFonts w:ascii="Cambria Math" w:hAnsi="Cambria Math"/>
            </w:rPr>
            <m:t>a)</m:t>
          </m:r>
        </m:oMath>
      </m:oMathPara>
    </w:p>
    <w:p w14:paraId="056DA051" w14:textId="77777777" w:rsidR="00E12DD3" w:rsidRDefault="00000000">
      <w:r>
        <w:t xml:space="preserve"> </w:t>
      </w:r>
    </w:p>
    <w:sectPr w:rsidR="00E12D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3878220">
    <w:abstractNumId w:val="8"/>
  </w:num>
  <w:num w:numId="2" w16cid:durableId="2073698889">
    <w:abstractNumId w:val="6"/>
  </w:num>
  <w:num w:numId="3" w16cid:durableId="2091928122">
    <w:abstractNumId w:val="5"/>
  </w:num>
  <w:num w:numId="4" w16cid:durableId="2004621353">
    <w:abstractNumId w:val="4"/>
  </w:num>
  <w:num w:numId="5" w16cid:durableId="2047293073">
    <w:abstractNumId w:val="7"/>
  </w:num>
  <w:num w:numId="6" w16cid:durableId="179901172">
    <w:abstractNumId w:val="3"/>
  </w:num>
  <w:num w:numId="7" w16cid:durableId="1459955796">
    <w:abstractNumId w:val="2"/>
  </w:num>
  <w:num w:numId="8" w16cid:durableId="996882393">
    <w:abstractNumId w:val="1"/>
  </w:num>
  <w:num w:numId="9" w16cid:durableId="206394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4A3"/>
    <w:rsid w:val="0015074B"/>
    <w:rsid w:val="001C150E"/>
    <w:rsid w:val="0029639D"/>
    <w:rsid w:val="00326F90"/>
    <w:rsid w:val="00561975"/>
    <w:rsid w:val="00AA1D8D"/>
    <w:rsid w:val="00B47730"/>
    <w:rsid w:val="00C41209"/>
    <w:rsid w:val="00CB0664"/>
    <w:rsid w:val="00DD3CF3"/>
    <w:rsid w:val="00E12D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FAAD6E"/>
  <w14:defaultImageDpi w14:val="300"/>
  <w15:docId w15:val="{763ED55E-DD09-B04B-AAF5-099D26CF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Calibri Light" w:hAnsi="Calibri Light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hAnsiTheme="majorHAnsi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hAnsiTheme="majorHAnsi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C4120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Angus Parsonson</cp:lastModifiedBy>
  <cp:revision>6</cp:revision>
  <dcterms:created xsi:type="dcterms:W3CDTF">2013-12-23T23:15:00Z</dcterms:created>
  <dcterms:modified xsi:type="dcterms:W3CDTF">2023-12-02T10:27:00Z</dcterms:modified>
  <cp:category/>
</cp:coreProperties>
</file>