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C35C" w14:textId="7377AAFD" w:rsidR="00A352AB" w:rsidRPr="00A35605" w:rsidRDefault="000828BA" w:rsidP="00C4141F">
      <w:pPr>
        <w:spacing w:line="480" w:lineRule="auto"/>
        <w:jc w:val="center"/>
        <w:rPr>
          <w:rFonts w:ascii="Times New Roman" w:hAnsi="Times New Roman" w:cs="Times New Roman"/>
          <w:b/>
          <w:bCs/>
          <w:sz w:val="40"/>
          <w:szCs w:val="40"/>
        </w:rPr>
      </w:pPr>
      <w:r w:rsidRPr="00A35605">
        <w:rPr>
          <w:rFonts w:ascii="Times New Roman" w:hAnsi="Times New Roman" w:cs="Times New Roman"/>
          <w:b/>
          <w:bCs/>
          <w:sz w:val="40"/>
          <w:szCs w:val="40"/>
        </w:rPr>
        <w:t>Myopic Loss</w:t>
      </w:r>
      <w:r w:rsidR="00F80810" w:rsidRPr="00A35605">
        <w:rPr>
          <w:rFonts w:ascii="Times New Roman" w:hAnsi="Times New Roman" w:cs="Times New Roman"/>
          <w:b/>
          <w:bCs/>
          <w:sz w:val="40"/>
          <w:szCs w:val="40"/>
        </w:rPr>
        <w:t xml:space="preserve"> </w:t>
      </w:r>
      <w:r w:rsidRPr="00A35605">
        <w:rPr>
          <w:rFonts w:ascii="Times New Roman" w:hAnsi="Times New Roman" w:cs="Times New Roman"/>
          <w:b/>
          <w:bCs/>
          <w:sz w:val="40"/>
          <w:szCs w:val="40"/>
        </w:rPr>
        <w:t>Aversion</w:t>
      </w:r>
      <w:r w:rsidR="00F80810" w:rsidRPr="00A35605">
        <w:rPr>
          <w:rFonts w:ascii="Times New Roman" w:hAnsi="Times New Roman" w:cs="Times New Roman"/>
          <w:b/>
          <w:bCs/>
          <w:sz w:val="40"/>
          <w:szCs w:val="40"/>
        </w:rPr>
        <w:t xml:space="preserve"> and Updating</w:t>
      </w:r>
      <w:r w:rsidRPr="00A35605">
        <w:rPr>
          <w:rFonts w:ascii="Times New Roman" w:hAnsi="Times New Roman" w:cs="Times New Roman"/>
          <w:b/>
          <w:bCs/>
          <w:sz w:val="40"/>
          <w:szCs w:val="40"/>
        </w:rPr>
        <w:t xml:space="preserve"> in the Presence of Safety</w:t>
      </w:r>
    </w:p>
    <w:p w14:paraId="2A60A6FC"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Honors Thesis</w:t>
      </w:r>
    </w:p>
    <w:p w14:paraId="58F2D20F" w14:textId="62AC2649"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 xml:space="preserve">Presented to the College of </w:t>
      </w:r>
      <w:r w:rsidR="00F73B20">
        <w:rPr>
          <w:rFonts w:ascii="Times New Roman" w:hAnsi="Times New Roman" w:cs="Times New Roman"/>
          <w:sz w:val="28"/>
          <w:szCs w:val="28"/>
        </w:rPr>
        <w:t>Arts and Sciences</w:t>
      </w:r>
    </w:p>
    <w:p w14:paraId="76717259"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of Cornell University</w:t>
      </w:r>
    </w:p>
    <w:p w14:paraId="793CA58F"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in Partial Fulfillment of the Requirements for the</w:t>
      </w:r>
    </w:p>
    <w:p w14:paraId="35644F8B" w14:textId="26A84813" w:rsidR="00A35605"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Research Honors Program</w:t>
      </w:r>
    </w:p>
    <w:p w14:paraId="1446EF73" w14:textId="005CC75A" w:rsidR="00916C4E" w:rsidRDefault="00916C4E" w:rsidP="00A35605">
      <w:pPr>
        <w:spacing w:line="480" w:lineRule="auto"/>
        <w:jc w:val="center"/>
        <w:rPr>
          <w:rFonts w:ascii="Times New Roman" w:hAnsi="Times New Roman" w:cs="Times New Roman"/>
          <w:b/>
          <w:bCs/>
          <w:sz w:val="28"/>
          <w:szCs w:val="28"/>
        </w:rPr>
      </w:pPr>
    </w:p>
    <w:p w14:paraId="0258807F" w14:textId="1AF6F615"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By</w:t>
      </w:r>
    </w:p>
    <w:p w14:paraId="51959426" w14:textId="3EB1E054"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Myles J. Winkley</w:t>
      </w:r>
    </w:p>
    <w:p w14:paraId="48F7BB99" w14:textId="7028BCBB"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May 2022</w:t>
      </w:r>
    </w:p>
    <w:p w14:paraId="65DD415A" w14:textId="7420F76E" w:rsidR="00916C4E" w:rsidRDefault="00916C4E" w:rsidP="00A35605">
      <w:pPr>
        <w:spacing w:line="480" w:lineRule="auto"/>
        <w:jc w:val="center"/>
        <w:rPr>
          <w:rFonts w:ascii="Times New Roman" w:hAnsi="Times New Roman" w:cs="Times New Roman"/>
          <w:sz w:val="28"/>
          <w:szCs w:val="28"/>
        </w:rPr>
      </w:pPr>
    </w:p>
    <w:p w14:paraId="2FC119B8" w14:textId="708157F4" w:rsid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Advisor</w:t>
      </w:r>
      <w:r>
        <w:rPr>
          <w:rFonts w:ascii="Times New Roman" w:hAnsi="Times New Roman" w:cs="Times New Roman"/>
        </w:rPr>
        <w:t>s:</w:t>
      </w:r>
    </w:p>
    <w:p w14:paraId="2D181BF6" w14:textId="68BA0902" w:rsidR="00916C4E" w:rsidRPr="00916C4E" w:rsidRDefault="00916C4E" w:rsidP="00A35605">
      <w:pPr>
        <w:spacing w:line="480" w:lineRule="auto"/>
        <w:jc w:val="center"/>
        <w:rPr>
          <w:rFonts w:ascii="Times New Roman" w:hAnsi="Times New Roman" w:cs="Times New Roman"/>
        </w:rPr>
      </w:pPr>
      <w:r>
        <w:rPr>
          <w:rFonts w:ascii="Times New Roman" w:hAnsi="Times New Roman" w:cs="Times New Roman"/>
        </w:rPr>
        <w:t xml:space="preserve">Professor Michele </w:t>
      </w:r>
      <w:proofErr w:type="spellStart"/>
      <w:r>
        <w:rPr>
          <w:rFonts w:ascii="Times New Roman" w:hAnsi="Times New Roman" w:cs="Times New Roman"/>
        </w:rPr>
        <w:t>Belot</w:t>
      </w:r>
      <w:proofErr w:type="spellEnd"/>
      <w:r>
        <w:rPr>
          <w:rFonts w:ascii="Times New Roman" w:hAnsi="Times New Roman" w:cs="Times New Roman"/>
        </w:rPr>
        <w:t xml:space="preserve"> and Professor Nicolas </w:t>
      </w:r>
      <w:proofErr w:type="spellStart"/>
      <w:r>
        <w:rPr>
          <w:rFonts w:ascii="Times New Roman" w:hAnsi="Times New Roman" w:cs="Times New Roman"/>
        </w:rPr>
        <w:t>Bottan</w:t>
      </w:r>
      <w:proofErr w:type="spellEnd"/>
    </w:p>
    <w:p w14:paraId="3B03FAC2" w14:textId="22B7C91B" w:rsidR="00A35605" w:rsidRDefault="00A35605" w:rsidP="00A35605">
      <w:pPr>
        <w:spacing w:line="480" w:lineRule="auto"/>
        <w:jc w:val="center"/>
        <w:rPr>
          <w:rFonts w:ascii="Times New Roman" w:hAnsi="Times New Roman" w:cs="Times New Roman"/>
          <w:b/>
          <w:bCs/>
          <w:sz w:val="28"/>
          <w:szCs w:val="28"/>
        </w:rPr>
      </w:pPr>
    </w:p>
    <w:p w14:paraId="7FAAE879" w14:textId="673D377E" w:rsidR="00A35605" w:rsidRDefault="00A35605" w:rsidP="00A35605">
      <w:pPr>
        <w:spacing w:line="480" w:lineRule="auto"/>
        <w:jc w:val="center"/>
        <w:rPr>
          <w:rFonts w:ascii="Times New Roman" w:hAnsi="Times New Roman" w:cs="Times New Roman"/>
          <w:b/>
          <w:bCs/>
          <w:sz w:val="28"/>
          <w:szCs w:val="28"/>
        </w:rPr>
      </w:pPr>
    </w:p>
    <w:p w14:paraId="2F7CD2CE" w14:textId="77777777" w:rsidR="00112969" w:rsidRDefault="00112969" w:rsidP="001B34DE">
      <w:pPr>
        <w:spacing w:line="480" w:lineRule="auto"/>
        <w:rPr>
          <w:rFonts w:ascii="Times New Roman" w:hAnsi="Times New Roman" w:cs="Times New Roman"/>
          <w:b/>
          <w:bCs/>
          <w:sz w:val="28"/>
          <w:szCs w:val="28"/>
        </w:rPr>
      </w:pPr>
    </w:p>
    <w:p w14:paraId="3AC9B788" w14:textId="77777777" w:rsidR="00AD112C" w:rsidRPr="00A35605" w:rsidRDefault="00AD112C" w:rsidP="001B34DE">
      <w:pPr>
        <w:spacing w:line="480" w:lineRule="auto"/>
        <w:rPr>
          <w:rFonts w:ascii="Times New Roman" w:hAnsi="Times New Roman" w:cs="Times New Roman"/>
          <w:b/>
          <w:bCs/>
          <w:sz w:val="28"/>
          <w:szCs w:val="28"/>
        </w:rPr>
      </w:pPr>
    </w:p>
    <w:p w14:paraId="78E4CCDE" w14:textId="3BAEE325" w:rsidR="000828BA" w:rsidRPr="00A35605" w:rsidRDefault="007F3B7D" w:rsidP="005A51D7">
      <w:pPr>
        <w:spacing w:line="480" w:lineRule="auto"/>
        <w:jc w:val="center"/>
        <w:rPr>
          <w:rFonts w:ascii="Times New Roman" w:hAnsi="Times New Roman" w:cs="Times New Roman"/>
          <w:b/>
          <w:bCs/>
          <w:sz w:val="28"/>
          <w:szCs w:val="28"/>
        </w:rPr>
      </w:pPr>
      <w:r w:rsidRPr="00A35605">
        <w:rPr>
          <w:rFonts w:ascii="Times New Roman" w:hAnsi="Times New Roman" w:cs="Times New Roman"/>
          <w:b/>
          <w:bCs/>
          <w:sz w:val="28"/>
          <w:szCs w:val="28"/>
        </w:rPr>
        <w:lastRenderedPageBreak/>
        <w:t>Abstract</w:t>
      </w:r>
    </w:p>
    <w:p w14:paraId="226E43D8" w14:textId="2005FD04" w:rsidR="00C4141F" w:rsidRDefault="007F3B7D" w:rsidP="00A35605">
      <w:pPr>
        <w:spacing w:line="480" w:lineRule="auto"/>
        <w:jc w:val="both"/>
        <w:rPr>
          <w:rFonts w:ascii="Times New Roman" w:hAnsi="Times New Roman" w:cs="Times New Roman"/>
          <w:sz w:val="21"/>
          <w:szCs w:val="21"/>
        </w:rPr>
      </w:pPr>
      <w:r w:rsidRPr="00A35605">
        <w:rPr>
          <w:rFonts w:ascii="Times New Roman" w:hAnsi="Times New Roman" w:cs="Times New Roman"/>
          <w:sz w:val="21"/>
          <w:szCs w:val="21"/>
        </w:rPr>
        <w:t>In 1997, two separate research teams</w:t>
      </w:r>
      <w:r w:rsidR="00D87DCD" w:rsidRPr="00A35605">
        <w:rPr>
          <w:rFonts w:ascii="Times New Roman" w:hAnsi="Times New Roman" w:cs="Times New Roman"/>
          <w:sz w:val="21"/>
          <w:szCs w:val="21"/>
        </w:rPr>
        <w:t>, Thaler et al. (1997) and Gneezy and Potters (1997)</w:t>
      </w:r>
      <w:r w:rsidR="00C11DFB" w:rsidRPr="00A35605">
        <w:rPr>
          <w:rFonts w:ascii="Times New Roman" w:hAnsi="Times New Roman" w:cs="Times New Roman"/>
          <w:sz w:val="21"/>
          <w:szCs w:val="21"/>
        </w:rPr>
        <w:t>,</w:t>
      </w:r>
      <w:r w:rsidRPr="00A35605">
        <w:rPr>
          <w:rFonts w:ascii="Times New Roman" w:hAnsi="Times New Roman" w:cs="Times New Roman"/>
          <w:sz w:val="21"/>
          <w:szCs w:val="21"/>
        </w:rPr>
        <w:t xml:space="preserve"> conducted experiments </w:t>
      </w:r>
      <w:r w:rsidR="009A47BB" w:rsidRPr="00A35605">
        <w:rPr>
          <w:rFonts w:ascii="Times New Roman" w:hAnsi="Times New Roman" w:cs="Times New Roman"/>
          <w:sz w:val="21"/>
          <w:szCs w:val="21"/>
        </w:rPr>
        <w:t xml:space="preserve">to explore whether the theory of Myopic Loss Aversion could </w:t>
      </w:r>
      <w:r w:rsidR="005E6FB4" w:rsidRPr="00A35605">
        <w:rPr>
          <w:rFonts w:ascii="Times New Roman" w:hAnsi="Times New Roman" w:cs="Times New Roman"/>
          <w:sz w:val="21"/>
          <w:szCs w:val="21"/>
        </w:rPr>
        <w:t>provide an explanation for the equity premium puzzle</w:t>
      </w:r>
      <w:r w:rsidR="009A47BB" w:rsidRPr="00A35605">
        <w:rPr>
          <w:rFonts w:ascii="Times New Roman" w:hAnsi="Times New Roman" w:cs="Times New Roman"/>
          <w:sz w:val="21"/>
          <w:szCs w:val="21"/>
        </w:rPr>
        <w:t xml:space="preserve">. </w:t>
      </w:r>
      <w:r w:rsidRPr="00A35605">
        <w:rPr>
          <w:rFonts w:ascii="Times New Roman" w:hAnsi="Times New Roman" w:cs="Times New Roman"/>
          <w:sz w:val="21"/>
          <w:szCs w:val="21"/>
        </w:rPr>
        <w:t>Both</w:t>
      </w:r>
      <w:r w:rsidR="00C11DFB" w:rsidRPr="00A35605">
        <w:rPr>
          <w:rFonts w:ascii="Times New Roman" w:hAnsi="Times New Roman" w:cs="Times New Roman"/>
          <w:sz w:val="21"/>
          <w:szCs w:val="21"/>
        </w:rPr>
        <w:t xml:space="preserve"> teams</w:t>
      </w:r>
      <w:r w:rsidRPr="00A35605">
        <w:rPr>
          <w:rFonts w:ascii="Times New Roman" w:hAnsi="Times New Roman" w:cs="Times New Roman"/>
          <w:sz w:val="21"/>
          <w:szCs w:val="21"/>
        </w:rPr>
        <w:t xml:space="preserve"> found that subjects who were forced to commit </w:t>
      </w:r>
      <w:r w:rsidR="008A21ED" w:rsidRPr="00A35605">
        <w:rPr>
          <w:rFonts w:ascii="Times New Roman" w:hAnsi="Times New Roman" w:cs="Times New Roman"/>
          <w:sz w:val="21"/>
          <w:szCs w:val="21"/>
        </w:rPr>
        <w:t>for</w:t>
      </w:r>
      <w:r w:rsidR="00D87DCD" w:rsidRPr="00A35605">
        <w:rPr>
          <w:rFonts w:ascii="Times New Roman" w:hAnsi="Times New Roman" w:cs="Times New Roman"/>
          <w:sz w:val="21"/>
          <w:szCs w:val="21"/>
        </w:rPr>
        <w:t xml:space="preserve"> </w:t>
      </w:r>
      <w:r w:rsidR="000F2CAD" w:rsidRPr="00A35605">
        <w:rPr>
          <w:rFonts w:ascii="Times New Roman" w:hAnsi="Times New Roman" w:cs="Times New Roman"/>
          <w:sz w:val="21"/>
          <w:szCs w:val="21"/>
        </w:rPr>
        <w:t>more</w:t>
      </w:r>
      <w:r w:rsidR="00A61B50" w:rsidRPr="00A35605">
        <w:rPr>
          <w:rFonts w:ascii="Times New Roman" w:hAnsi="Times New Roman" w:cs="Times New Roman"/>
          <w:sz w:val="21"/>
          <w:szCs w:val="21"/>
        </w:rPr>
        <w:t xml:space="preserve"> </w:t>
      </w:r>
      <w:r w:rsidR="00BE71DC" w:rsidRPr="00A35605">
        <w:rPr>
          <w:rFonts w:ascii="Times New Roman" w:hAnsi="Times New Roman" w:cs="Times New Roman"/>
          <w:sz w:val="21"/>
          <w:szCs w:val="21"/>
        </w:rPr>
        <w:t>time</w:t>
      </w:r>
      <w:r w:rsidR="00A61B50" w:rsidRPr="00A35605">
        <w:rPr>
          <w:rFonts w:ascii="Times New Roman" w:hAnsi="Times New Roman" w:cs="Times New Roman"/>
          <w:sz w:val="21"/>
          <w:szCs w:val="21"/>
        </w:rPr>
        <w:t xml:space="preserve"> </w:t>
      </w:r>
      <w:r w:rsidR="00573B2B" w:rsidRPr="00A35605">
        <w:rPr>
          <w:rFonts w:ascii="Times New Roman" w:hAnsi="Times New Roman" w:cs="Times New Roman"/>
          <w:sz w:val="21"/>
          <w:szCs w:val="21"/>
        </w:rPr>
        <w:t>periods allocated more to</w:t>
      </w:r>
      <w:r w:rsidR="00A61B50" w:rsidRPr="00A35605">
        <w:rPr>
          <w:rFonts w:ascii="Times New Roman" w:hAnsi="Times New Roman" w:cs="Times New Roman"/>
          <w:sz w:val="21"/>
          <w:szCs w:val="21"/>
        </w:rPr>
        <w:t xml:space="preserve"> </w:t>
      </w:r>
      <w:r w:rsidR="00573B2B" w:rsidRPr="00A35605">
        <w:rPr>
          <w:rFonts w:ascii="Times New Roman" w:hAnsi="Times New Roman" w:cs="Times New Roman"/>
          <w:sz w:val="21"/>
          <w:szCs w:val="21"/>
        </w:rPr>
        <w:t>the riskier asset class</w:t>
      </w:r>
      <w:r w:rsidR="005E6FB4" w:rsidRPr="00A35605">
        <w:rPr>
          <w:rFonts w:ascii="Times New Roman" w:hAnsi="Times New Roman" w:cs="Times New Roman"/>
          <w:sz w:val="21"/>
          <w:szCs w:val="21"/>
        </w:rPr>
        <w:t xml:space="preserve">, providing evidence for </w:t>
      </w:r>
      <w:r w:rsidR="008A21ED" w:rsidRPr="00A35605">
        <w:rPr>
          <w:rFonts w:ascii="Times New Roman" w:hAnsi="Times New Roman" w:cs="Times New Roman"/>
          <w:sz w:val="21"/>
          <w:szCs w:val="21"/>
        </w:rPr>
        <w:t xml:space="preserve">the theory of </w:t>
      </w:r>
      <w:r w:rsidR="005E6FB4" w:rsidRPr="00A35605">
        <w:rPr>
          <w:rFonts w:ascii="Times New Roman" w:hAnsi="Times New Roman" w:cs="Times New Roman"/>
          <w:sz w:val="21"/>
          <w:szCs w:val="21"/>
        </w:rPr>
        <w:t>Myopic Loss Aversion</w:t>
      </w:r>
      <w:r w:rsidR="00D87DCD" w:rsidRPr="00A35605">
        <w:rPr>
          <w:rFonts w:ascii="Times New Roman" w:hAnsi="Times New Roman" w:cs="Times New Roman"/>
          <w:sz w:val="21"/>
          <w:szCs w:val="21"/>
        </w:rPr>
        <w:t>.</w:t>
      </w:r>
      <w:r w:rsidR="00405BF1" w:rsidRPr="00A35605">
        <w:rPr>
          <w:rFonts w:ascii="Times New Roman" w:hAnsi="Times New Roman" w:cs="Times New Roman"/>
          <w:sz w:val="21"/>
          <w:szCs w:val="21"/>
        </w:rPr>
        <w:t xml:space="preserve"> However</w:t>
      </w:r>
      <w:r w:rsidR="00D87DCD" w:rsidRPr="00A35605">
        <w:rPr>
          <w:rFonts w:ascii="Times New Roman" w:hAnsi="Times New Roman" w:cs="Times New Roman"/>
          <w:sz w:val="21"/>
          <w:szCs w:val="21"/>
        </w:rPr>
        <w:t>,</w:t>
      </w:r>
      <w:r w:rsidR="00A61B50" w:rsidRPr="00A35605">
        <w:rPr>
          <w:rFonts w:ascii="Times New Roman" w:hAnsi="Times New Roman" w:cs="Times New Roman"/>
          <w:sz w:val="21"/>
          <w:szCs w:val="21"/>
        </w:rPr>
        <w:t xml:space="preserve"> in Thaler et al. (1997), subjects who were tasked with investing over longer periods became more risk-seeking over time</w:t>
      </w:r>
      <w:r w:rsidR="00D87DCD" w:rsidRPr="00A35605">
        <w:rPr>
          <w:rFonts w:ascii="Times New Roman" w:hAnsi="Times New Roman" w:cs="Times New Roman"/>
          <w:sz w:val="21"/>
          <w:szCs w:val="21"/>
        </w:rPr>
        <w:t>.</w:t>
      </w:r>
      <w:r w:rsidR="00A61B50" w:rsidRPr="00A35605">
        <w:rPr>
          <w:rFonts w:ascii="Times New Roman" w:hAnsi="Times New Roman" w:cs="Times New Roman"/>
          <w:sz w:val="21"/>
          <w:szCs w:val="21"/>
        </w:rPr>
        <w:t xml:space="preserve"> In contrast, subjects in Gneezy and Potters (1997) who</w:t>
      </w:r>
      <w:r w:rsidR="000F2CAD" w:rsidRPr="00A35605">
        <w:rPr>
          <w:rFonts w:ascii="Times New Roman" w:hAnsi="Times New Roman" w:cs="Times New Roman"/>
          <w:sz w:val="21"/>
          <w:szCs w:val="21"/>
        </w:rPr>
        <w:t xml:space="preserve">se allocations held for more </w:t>
      </w:r>
      <w:r w:rsidR="00A61B50" w:rsidRPr="00A35605">
        <w:rPr>
          <w:rFonts w:ascii="Times New Roman" w:hAnsi="Times New Roman" w:cs="Times New Roman"/>
          <w:sz w:val="21"/>
          <w:szCs w:val="21"/>
        </w:rPr>
        <w:t>periods did not change their behavior over time.</w:t>
      </w:r>
      <w:r w:rsidR="00D87DCD" w:rsidRPr="00A35605">
        <w:rPr>
          <w:rFonts w:ascii="Times New Roman" w:hAnsi="Times New Roman" w:cs="Times New Roman"/>
          <w:sz w:val="21"/>
          <w:szCs w:val="21"/>
        </w:rPr>
        <w:t xml:space="preserve"> In this experiment, </w:t>
      </w:r>
      <w:r w:rsidR="00E91BD4" w:rsidRPr="00A35605">
        <w:rPr>
          <w:rFonts w:ascii="Times New Roman" w:hAnsi="Times New Roman" w:cs="Times New Roman"/>
          <w:sz w:val="21"/>
          <w:szCs w:val="21"/>
        </w:rPr>
        <w:t>I</w:t>
      </w:r>
      <w:r w:rsidR="00D87DCD" w:rsidRPr="00A35605">
        <w:rPr>
          <w:rFonts w:ascii="Times New Roman" w:hAnsi="Times New Roman" w:cs="Times New Roman"/>
          <w:sz w:val="21"/>
          <w:szCs w:val="21"/>
        </w:rPr>
        <w:t xml:space="preserve"> replicate Thaler et al. </w:t>
      </w:r>
      <w:r w:rsidR="000F2CAD" w:rsidRPr="00A35605">
        <w:rPr>
          <w:rFonts w:ascii="Times New Roman" w:hAnsi="Times New Roman" w:cs="Times New Roman"/>
          <w:sz w:val="21"/>
          <w:szCs w:val="21"/>
        </w:rPr>
        <w:t xml:space="preserve">(1997) </w:t>
      </w:r>
      <w:r w:rsidR="00D87DCD" w:rsidRPr="00A35605">
        <w:rPr>
          <w:rFonts w:ascii="Times New Roman" w:hAnsi="Times New Roman" w:cs="Times New Roman"/>
          <w:sz w:val="21"/>
          <w:szCs w:val="21"/>
        </w:rPr>
        <w:t xml:space="preserve">while </w:t>
      </w:r>
      <w:r w:rsidR="00915339" w:rsidRPr="00A35605">
        <w:rPr>
          <w:rFonts w:ascii="Times New Roman" w:hAnsi="Times New Roman" w:cs="Times New Roman"/>
          <w:sz w:val="21"/>
          <w:szCs w:val="21"/>
        </w:rPr>
        <w:t>informing</w:t>
      </w:r>
      <w:r w:rsidR="00D87DCD" w:rsidRPr="00A35605">
        <w:rPr>
          <w:rFonts w:ascii="Times New Roman" w:hAnsi="Times New Roman" w:cs="Times New Roman"/>
          <w:sz w:val="21"/>
          <w:szCs w:val="21"/>
        </w:rPr>
        <w:t xml:space="preserve"> </w:t>
      </w:r>
      <w:r w:rsidR="00915339" w:rsidRPr="00A35605">
        <w:rPr>
          <w:rFonts w:ascii="Times New Roman" w:hAnsi="Times New Roman" w:cs="Times New Roman"/>
          <w:sz w:val="21"/>
          <w:szCs w:val="21"/>
        </w:rPr>
        <w:t xml:space="preserve">some subjects </w:t>
      </w:r>
      <w:r w:rsidR="00D87DCD" w:rsidRPr="00A35605">
        <w:rPr>
          <w:rFonts w:ascii="Times New Roman" w:hAnsi="Times New Roman" w:cs="Times New Roman"/>
          <w:sz w:val="21"/>
          <w:szCs w:val="21"/>
        </w:rPr>
        <w:t xml:space="preserve">that </w:t>
      </w:r>
      <w:r w:rsidR="000F2CAD" w:rsidRPr="00A35605">
        <w:rPr>
          <w:rFonts w:ascii="Times New Roman" w:hAnsi="Times New Roman" w:cs="Times New Roman"/>
          <w:sz w:val="21"/>
          <w:szCs w:val="21"/>
        </w:rPr>
        <w:t>one of the assets has a no-loss attribute</w:t>
      </w:r>
      <w:r w:rsidR="00915339" w:rsidRPr="00A35605">
        <w:rPr>
          <w:rFonts w:ascii="Times New Roman" w:hAnsi="Times New Roman" w:cs="Times New Roman"/>
          <w:sz w:val="21"/>
          <w:szCs w:val="21"/>
        </w:rPr>
        <w:t xml:space="preserve"> </w:t>
      </w:r>
      <w:proofErr w:type="gramStart"/>
      <w:r w:rsidR="00915339" w:rsidRPr="00A35605">
        <w:rPr>
          <w:rFonts w:ascii="Times New Roman" w:hAnsi="Times New Roman" w:cs="Times New Roman"/>
          <w:sz w:val="21"/>
          <w:szCs w:val="21"/>
        </w:rPr>
        <w:t>in an effort to</w:t>
      </w:r>
      <w:proofErr w:type="gramEnd"/>
      <w:r w:rsidR="00915339" w:rsidRPr="00A35605">
        <w:rPr>
          <w:rFonts w:ascii="Times New Roman" w:hAnsi="Times New Roman" w:cs="Times New Roman"/>
          <w:sz w:val="21"/>
          <w:szCs w:val="21"/>
        </w:rPr>
        <w:t xml:space="preserve"> explore the discrepancy between the two experiments</w:t>
      </w:r>
      <w:r w:rsidR="00A61B50" w:rsidRPr="00A35605">
        <w:rPr>
          <w:rFonts w:ascii="Times New Roman" w:hAnsi="Times New Roman" w:cs="Times New Roman"/>
          <w:sz w:val="21"/>
          <w:szCs w:val="21"/>
        </w:rPr>
        <w:t xml:space="preserve">. </w:t>
      </w:r>
      <w:r w:rsidR="00E91BD4" w:rsidRPr="00A35605">
        <w:rPr>
          <w:rFonts w:ascii="Times New Roman" w:hAnsi="Times New Roman" w:cs="Times New Roman"/>
          <w:sz w:val="21"/>
          <w:szCs w:val="21"/>
        </w:rPr>
        <w:t>I</w:t>
      </w:r>
      <w:r w:rsidR="00D87DCD" w:rsidRPr="00A35605">
        <w:rPr>
          <w:rFonts w:ascii="Times New Roman" w:hAnsi="Times New Roman" w:cs="Times New Roman"/>
          <w:sz w:val="21"/>
          <w:szCs w:val="21"/>
        </w:rPr>
        <w:t xml:space="preserve"> find that when informing subjects that </w:t>
      </w:r>
      <w:r w:rsidR="001B20CB" w:rsidRPr="00A35605">
        <w:rPr>
          <w:rFonts w:ascii="Times New Roman" w:hAnsi="Times New Roman" w:cs="Times New Roman"/>
          <w:sz w:val="21"/>
          <w:szCs w:val="21"/>
        </w:rPr>
        <w:t>the le</w:t>
      </w:r>
      <w:r w:rsidR="00915339" w:rsidRPr="00A35605">
        <w:rPr>
          <w:rFonts w:ascii="Times New Roman" w:hAnsi="Times New Roman" w:cs="Times New Roman"/>
          <w:sz w:val="21"/>
          <w:szCs w:val="21"/>
        </w:rPr>
        <w:t xml:space="preserve">ss risky </w:t>
      </w:r>
      <w:r w:rsidR="001B20CB" w:rsidRPr="00A35605">
        <w:rPr>
          <w:rFonts w:ascii="Times New Roman" w:hAnsi="Times New Roman" w:cs="Times New Roman"/>
          <w:sz w:val="21"/>
          <w:szCs w:val="21"/>
        </w:rPr>
        <w:t>asset</w:t>
      </w:r>
      <w:r w:rsidR="00D87DCD" w:rsidRPr="00A35605">
        <w:rPr>
          <w:rFonts w:ascii="Times New Roman" w:hAnsi="Times New Roman" w:cs="Times New Roman"/>
          <w:sz w:val="21"/>
          <w:szCs w:val="21"/>
        </w:rPr>
        <w:t xml:space="preserve"> is </w:t>
      </w:r>
      <w:r w:rsidR="001C1A32">
        <w:rPr>
          <w:rFonts w:ascii="Times New Roman" w:hAnsi="Times New Roman" w:cs="Times New Roman"/>
          <w:sz w:val="21"/>
          <w:szCs w:val="21"/>
        </w:rPr>
        <w:t>loss</w:t>
      </w:r>
      <w:r w:rsidR="00194B2A">
        <w:rPr>
          <w:rFonts w:ascii="Times New Roman" w:hAnsi="Times New Roman" w:cs="Times New Roman"/>
          <w:sz w:val="21"/>
          <w:szCs w:val="21"/>
        </w:rPr>
        <w:t>-l</w:t>
      </w:r>
      <w:r w:rsidR="001C1A32">
        <w:rPr>
          <w:rFonts w:ascii="Times New Roman" w:hAnsi="Times New Roman" w:cs="Times New Roman"/>
          <w:sz w:val="21"/>
          <w:szCs w:val="21"/>
        </w:rPr>
        <w:t>ess</w:t>
      </w:r>
      <w:r w:rsidR="00D87DCD" w:rsidRPr="00A35605">
        <w:rPr>
          <w:rFonts w:ascii="Times New Roman" w:hAnsi="Times New Roman" w:cs="Times New Roman"/>
          <w:sz w:val="21"/>
          <w:szCs w:val="21"/>
        </w:rPr>
        <w:t>, those who trade the most frequently do</w:t>
      </w:r>
      <w:r w:rsidR="000F2CAD" w:rsidRPr="00A35605">
        <w:rPr>
          <w:rFonts w:ascii="Times New Roman" w:hAnsi="Times New Roman" w:cs="Times New Roman"/>
          <w:sz w:val="21"/>
          <w:szCs w:val="21"/>
        </w:rPr>
        <w:t xml:space="preserve"> choose to allocate more to the riskier asset</w:t>
      </w:r>
      <w:r w:rsidR="00042410" w:rsidRPr="00A35605">
        <w:rPr>
          <w:rFonts w:ascii="Times New Roman" w:hAnsi="Times New Roman" w:cs="Times New Roman"/>
          <w:sz w:val="21"/>
          <w:szCs w:val="21"/>
        </w:rPr>
        <w:t xml:space="preserve"> initially</w:t>
      </w:r>
      <w:r w:rsidR="00D87DCD" w:rsidRPr="00A35605">
        <w:rPr>
          <w:rFonts w:ascii="Times New Roman" w:hAnsi="Times New Roman" w:cs="Times New Roman"/>
          <w:sz w:val="21"/>
          <w:szCs w:val="21"/>
        </w:rPr>
        <w:t>.</w:t>
      </w:r>
      <w:r w:rsidR="009D30AC" w:rsidRPr="00A35605">
        <w:rPr>
          <w:rFonts w:ascii="Times New Roman" w:hAnsi="Times New Roman" w:cs="Times New Roman"/>
          <w:sz w:val="21"/>
          <w:szCs w:val="21"/>
        </w:rPr>
        <w:t xml:space="preserve"> </w:t>
      </w:r>
      <w:r w:rsidR="00A61B50" w:rsidRPr="00A35605">
        <w:rPr>
          <w:rFonts w:ascii="Times New Roman" w:hAnsi="Times New Roman" w:cs="Times New Roman"/>
          <w:sz w:val="21"/>
          <w:szCs w:val="21"/>
        </w:rPr>
        <w:t>Additionally</w:t>
      </w:r>
      <w:r w:rsidR="009D30AC" w:rsidRPr="00A35605">
        <w:rPr>
          <w:rFonts w:ascii="Times New Roman" w:hAnsi="Times New Roman" w:cs="Times New Roman"/>
          <w:sz w:val="21"/>
          <w:szCs w:val="21"/>
        </w:rPr>
        <w:t>, those who trade less frequently</w:t>
      </w:r>
      <w:r w:rsidR="00342029" w:rsidRPr="00A35605">
        <w:rPr>
          <w:rFonts w:ascii="Times New Roman" w:hAnsi="Times New Roman" w:cs="Times New Roman"/>
          <w:sz w:val="21"/>
          <w:szCs w:val="21"/>
        </w:rPr>
        <w:t xml:space="preserve">, when provided with </w:t>
      </w:r>
      <w:r w:rsidR="00202039" w:rsidRPr="00A35605">
        <w:rPr>
          <w:rFonts w:ascii="Times New Roman" w:hAnsi="Times New Roman" w:cs="Times New Roman"/>
          <w:sz w:val="21"/>
          <w:szCs w:val="21"/>
        </w:rPr>
        <w:t xml:space="preserve">the </w:t>
      </w:r>
      <w:r w:rsidR="00342029" w:rsidRPr="00A35605">
        <w:rPr>
          <w:rFonts w:ascii="Times New Roman" w:hAnsi="Times New Roman" w:cs="Times New Roman"/>
          <w:sz w:val="21"/>
          <w:szCs w:val="21"/>
        </w:rPr>
        <w:t>information</w:t>
      </w:r>
      <w:r w:rsidR="00202039" w:rsidRPr="00A35605">
        <w:rPr>
          <w:rFonts w:ascii="Times New Roman" w:hAnsi="Times New Roman" w:cs="Times New Roman"/>
          <w:sz w:val="21"/>
          <w:szCs w:val="21"/>
        </w:rPr>
        <w:t>,</w:t>
      </w:r>
      <w:r w:rsidR="009D30AC" w:rsidRPr="00A35605">
        <w:rPr>
          <w:rFonts w:ascii="Times New Roman" w:hAnsi="Times New Roman" w:cs="Times New Roman"/>
          <w:sz w:val="21"/>
          <w:szCs w:val="21"/>
        </w:rPr>
        <w:t xml:space="preserve"> </w:t>
      </w:r>
      <w:r w:rsidR="004F3C1E" w:rsidRPr="00A35605">
        <w:rPr>
          <w:rFonts w:ascii="Times New Roman" w:hAnsi="Times New Roman" w:cs="Times New Roman"/>
          <w:sz w:val="21"/>
          <w:szCs w:val="21"/>
        </w:rPr>
        <w:t xml:space="preserve">do not increase their allocation to the </w:t>
      </w:r>
      <w:r w:rsidR="00342029" w:rsidRPr="00A35605">
        <w:rPr>
          <w:rFonts w:ascii="Times New Roman" w:hAnsi="Times New Roman" w:cs="Times New Roman"/>
          <w:sz w:val="21"/>
          <w:szCs w:val="21"/>
        </w:rPr>
        <w:t xml:space="preserve">riskier </w:t>
      </w:r>
      <w:r w:rsidR="004F3C1E" w:rsidRPr="00A35605">
        <w:rPr>
          <w:rFonts w:ascii="Times New Roman" w:hAnsi="Times New Roman" w:cs="Times New Roman"/>
          <w:sz w:val="21"/>
          <w:szCs w:val="21"/>
        </w:rPr>
        <w:t xml:space="preserve">asset over </w:t>
      </w:r>
      <w:r w:rsidR="00342029" w:rsidRPr="00A35605">
        <w:rPr>
          <w:rFonts w:ascii="Times New Roman" w:hAnsi="Times New Roman" w:cs="Times New Roman"/>
          <w:sz w:val="21"/>
          <w:szCs w:val="21"/>
        </w:rPr>
        <w:t>the course of the experiment.</w:t>
      </w:r>
      <w:r w:rsidR="007B6DF2" w:rsidRPr="00A35605">
        <w:rPr>
          <w:rFonts w:ascii="Times New Roman" w:hAnsi="Times New Roman" w:cs="Times New Roman"/>
          <w:sz w:val="21"/>
          <w:szCs w:val="21"/>
        </w:rPr>
        <w:t xml:space="preserve"> </w:t>
      </w:r>
      <w:r w:rsidR="00532E94" w:rsidRPr="00A35605">
        <w:rPr>
          <w:rFonts w:ascii="Times New Roman" w:hAnsi="Times New Roman" w:cs="Times New Roman"/>
          <w:sz w:val="21"/>
          <w:szCs w:val="21"/>
        </w:rPr>
        <w:t xml:space="preserve">Using these findings, </w:t>
      </w:r>
      <w:r w:rsidR="0031169B" w:rsidRPr="00A35605">
        <w:rPr>
          <w:rFonts w:ascii="Times New Roman" w:hAnsi="Times New Roman" w:cs="Times New Roman"/>
          <w:sz w:val="21"/>
          <w:szCs w:val="21"/>
        </w:rPr>
        <w:t>I find evidence</w:t>
      </w:r>
      <w:r w:rsidR="005B2ABD" w:rsidRPr="00A35605">
        <w:rPr>
          <w:rFonts w:ascii="Times New Roman" w:hAnsi="Times New Roman" w:cs="Times New Roman"/>
          <w:sz w:val="21"/>
          <w:szCs w:val="21"/>
        </w:rPr>
        <w:t xml:space="preserve"> that the availability of a </w:t>
      </w:r>
      <w:r w:rsidR="00194B2A">
        <w:rPr>
          <w:rFonts w:ascii="Times New Roman" w:hAnsi="Times New Roman" w:cs="Times New Roman"/>
          <w:sz w:val="21"/>
          <w:szCs w:val="21"/>
        </w:rPr>
        <w:t>no-loss</w:t>
      </w:r>
      <w:r w:rsidR="005B2ABD" w:rsidRPr="00A35605">
        <w:rPr>
          <w:rFonts w:ascii="Times New Roman" w:hAnsi="Times New Roman" w:cs="Times New Roman"/>
          <w:sz w:val="21"/>
          <w:szCs w:val="21"/>
        </w:rPr>
        <w:t xml:space="preserve"> option in allocation decisions can either induce or inhibit updating behaviors </w:t>
      </w:r>
      <w:r w:rsidR="00021647" w:rsidRPr="00A35605">
        <w:rPr>
          <w:rFonts w:ascii="Times New Roman" w:hAnsi="Times New Roman" w:cs="Times New Roman"/>
          <w:sz w:val="21"/>
          <w:szCs w:val="21"/>
        </w:rPr>
        <w:t>depending on the task presented to subjects</w:t>
      </w:r>
      <w:r w:rsidR="006F4570">
        <w:rPr>
          <w:rFonts w:ascii="Times New Roman" w:hAnsi="Times New Roman" w:cs="Times New Roman"/>
          <w:sz w:val="21"/>
          <w:szCs w:val="21"/>
        </w:rPr>
        <w:t>.</w:t>
      </w:r>
    </w:p>
    <w:p w14:paraId="4FDFF294" w14:textId="5D69F593" w:rsidR="00A35605" w:rsidRDefault="00A35605" w:rsidP="00A35605">
      <w:pPr>
        <w:spacing w:line="480" w:lineRule="auto"/>
        <w:jc w:val="both"/>
        <w:rPr>
          <w:rFonts w:ascii="Times New Roman" w:hAnsi="Times New Roman" w:cs="Times New Roman"/>
          <w:sz w:val="21"/>
          <w:szCs w:val="21"/>
        </w:rPr>
      </w:pPr>
    </w:p>
    <w:p w14:paraId="44FEF220" w14:textId="039B9AC8" w:rsidR="00A35605" w:rsidRDefault="00A35605" w:rsidP="00A35605">
      <w:pPr>
        <w:spacing w:line="480" w:lineRule="auto"/>
        <w:jc w:val="both"/>
        <w:rPr>
          <w:rFonts w:ascii="Times New Roman" w:hAnsi="Times New Roman" w:cs="Times New Roman"/>
          <w:sz w:val="21"/>
          <w:szCs w:val="21"/>
        </w:rPr>
      </w:pPr>
    </w:p>
    <w:p w14:paraId="038DA661" w14:textId="77777777" w:rsidR="00A35605" w:rsidRPr="00A35605" w:rsidRDefault="00A35605" w:rsidP="00A35605">
      <w:pPr>
        <w:spacing w:line="480" w:lineRule="auto"/>
        <w:jc w:val="both"/>
        <w:rPr>
          <w:rFonts w:ascii="Times New Roman" w:hAnsi="Times New Roman" w:cs="Times New Roman"/>
          <w:sz w:val="21"/>
          <w:szCs w:val="21"/>
        </w:rPr>
      </w:pPr>
    </w:p>
    <w:p w14:paraId="2FC005ED" w14:textId="5D4824CA" w:rsidR="00A35605" w:rsidRDefault="00A35605" w:rsidP="005A51D7">
      <w:pPr>
        <w:spacing w:line="480" w:lineRule="auto"/>
        <w:rPr>
          <w:rFonts w:ascii="Times New Roman" w:hAnsi="Times New Roman" w:cs="Times New Roman"/>
        </w:rPr>
      </w:pPr>
    </w:p>
    <w:p w14:paraId="33B85251" w14:textId="413ACDB5" w:rsidR="001B34DE" w:rsidRDefault="001B34DE" w:rsidP="005A51D7">
      <w:pPr>
        <w:spacing w:line="480" w:lineRule="auto"/>
        <w:rPr>
          <w:rFonts w:ascii="Times New Roman" w:hAnsi="Times New Roman" w:cs="Times New Roman"/>
        </w:rPr>
      </w:pPr>
    </w:p>
    <w:p w14:paraId="6FF82262" w14:textId="77777777" w:rsidR="006F4570" w:rsidRDefault="006F4570" w:rsidP="00194B2A">
      <w:pPr>
        <w:jc w:val="both"/>
        <w:rPr>
          <w:rFonts w:ascii="Times New Roman" w:hAnsi="Times New Roman" w:cs="Times New Roman"/>
        </w:rPr>
      </w:pPr>
    </w:p>
    <w:p w14:paraId="0885BC92" w14:textId="77777777" w:rsidR="006F4570" w:rsidRDefault="006F4570" w:rsidP="00194B2A">
      <w:pPr>
        <w:jc w:val="both"/>
        <w:rPr>
          <w:rFonts w:ascii="Times New Roman" w:hAnsi="Times New Roman" w:cs="Times New Roman"/>
        </w:rPr>
      </w:pPr>
    </w:p>
    <w:p w14:paraId="4949DB91" w14:textId="77777777" w:rsidR="006F4570" w:rsidRDefault="006F4570" w:rsidP="00194B2A">
      <w:pPr>
        <w:jc w:val="both"/>
        <w:rPr>
          <w:rFonts w:ascii="Times New Roman" w:hAnsi="Times New Roman" w:cs="Times New Roman"/>
        </w:rPr>
      </w:pPr>
    </w:p>
    <w:p w14:paraId="1A2302FA" w14:textId="0D9FDF65" w:rsidR="007F3B7D" w:rsidRPr="001B34DE" w:rsidRDefault="009B7155" w:rsidP="00194B2A">
      <w:pPr>
        <w:jc w:val="both"/>
        <w:rPr>
          <w:rFonts w:ascii="Times New Roman" w:hAnsi="Times New Roman" w:cs="Times New Roman"/>
          <w:b/>
          <w:bCs/>
          <w:sz w:val="28"/>
          <w:szCs w:val="28"/>
        </w:rPr>
      </w:pPr>
      <w:r w:rsidRPr="001B34DE">
        <w:rPr>
          <w:rFonts w:ascii="Times New Roman" w:hAnsi="Times New Roman" w:cs="Times New Roman"/>
          <w:b/>
          <w:bCs/>
          <w:sz w:val="28"/>
          <w:szCs w:val="28"/>
        </w:rPr>
        <w:lastRenderedPageBreak/>
        <w:t>Introduction</w:t>
      </w:r>
    </w:p>
    <w:p w14:paraId="67A4C92E" w14:textId="2ED61C8E" w:rsidR="00BE635C" w:rsidRPr="00C4141F" w:rsidRDefault="008B6B47" w:rsidP="00194B2A">
      <w:pPr>
        <w:spacing w:after="100" w:afterAutospacing="1"/>
        <w:jc w:val="both"/>
        <w:rPr>
          <w:rFonts w:ascii="Times New Roman" w:hAnsi="Times New Roman" w:cs="Times New Roman"/>
        </w:rPr>
      </w:pPr>
      <w:r w:rsidRPr="00C4141F">
        <w:rPr>
          <w:rFonts w:ascii="Times New Roman" w:hAnsi="Times New Roman" w:cs="Times New Roman"/>
        </w:rPr>
        <w:t xml:space="preserve">How investors allocate </w:t>
      </w:r>
      <w:r w:rsidR="00BE4E45" w:rsidRPr="00C4141F">
        <w:rPr>
          <w:rFonts w:ascii="Times New Roman" w:hAnsi="Times New Roman" w:cs="Times New Roman"/>
        </w:rPr>
        <w:t xml:space="preserve">between assets in repeated decisions across time </w:t>
      </w:r>
      <w:r w:rsidRPr="00C4141F">
        <w:rPr>
          <w:rFonts w:ascii="Times New Roman" w:hAnsi="Times New Roman" w:cs="Times New Roman"/>
        </w:rPr>
        <w:t xml:space="preserve">is </w:t>
      </w:r>
      <w:r w:rsidR="00DF4719" w:rsidRPr="00C4141F">
        <w:rPr>
          <w:rFonts w:ascii="Times New Roman" w:hAnsi="Times New Roman" w:cs="Times New Roman"/>
        </w:rPr>
        <w:t>a</w:t>
      </w:r>
      <w:r w:rsidR="00FF00D5" w:rsidRPr="00C4141F">
        <w:rPr>
          <w:rFonts w:ascii="Times New Roman" w:hAnsi="Times New Roman" w:cs="Times New Roman"/>
        </w:rPr>
        <w:t xml:space="preserve">n </w:t>
      </w:r>
      <w:r w:rsidR="00DF4719" w:rsidRPr="00C4141F">
        <w:rPr>
          <w:rFonts w:ascii="Times New Roman" w:hAnsi="Times New Roman" w:cs="Times New Roman"/>
        </w:rPr>
        <w:t xml:space="preserve">important question in the study of financial markets. </w:t>
      </w:r>
      <w:r w:rsidRPr="00C4141F">
        <w:rPr>
          <w:rFonts w:ascii="Times New Roman" w:hAnsi="Times New Roman" w:cs="Times New Roman"/>
        </w:rPr>
        <w:t xml:space="preserve">The </w:t>
      </w:r>
      <w:r w:rsidR="00E578B2" w:rsidRPr="00C4141F">
        <w:rPr>
          <w:rFonts w:ascii="Times New Roman" w:hAnsi="Times New Roman" w:cs="Times New Roman"/>
        </w:rPr>
        <w:t>equity premium puzzle, documented by Mehra and Prescott (1985), is a</w:t>
      </w:r>
      <w:r w:rsidR="006065DA" w:rsidRPr="00C4141F">
        <w:rPr>
          <w:rFonts w:ascii="Times New Roman" w:hAnsi="Times New Roman" w:cs="Times New Roman"/>
        </w:rPr>
        <w:t>n apparent</w:t>
      </w:r>
      <w:r w:rsidR="00E578B2" w:rsidRPr="00C4141F">
        <w:rPr>
          <w:rFonts w:ascii="Times New Roman" w:hAnsi="Times New Roman" w:cs="Times New Roman"/>
        </w:rPr>
        <w:t xml:space="preserve"> violation of</w:t>
      </w:r>
      <w:r w:rsidR="00C83360" w:rsidRPr="00C4141F">
        <w:rPr>
          <w:rFonts w:ascii="Times New Roman" w:hAnsi="Times New Roman" w:cs="Times New Roman"/>
        </w:rPr>
        <w:t xml:space="preserve"> </w:t>
      </w:r>
      <w:r w:rsidR="001B20CB" w:rsidRPr="00C4141F">
        <w:rPr>
          <w:rFonts w:ascii="Times New Roman" w:hAnsi="Times New Roman" w:cs="Times New Roman"/>
        </w:rPr>
        <w:t xml:space="preserve">how </w:t>
      </w:r>
      <w:r w:rsidR="00DB7D77" w:rsidRPr="00C4141F">
        <w:rPr>
          <w:rFonts w:ascii="Times New Roman" w:hAnsi="Times New Roman" w:cs="Times New Roman"/>
        </w:rPr>
        <w:t xml:space="preserve">agents </w:t>
      </w:r>
      <w:r w:rsidR="00DF4719" w:rsidRPr="00C4141F">
        <w:rPr>
          <w:rFonts w:ascii="Times New Roman" w:hAnsi="Times New Roman" w:cs="Times New Roman"/>
        </w:rPr>
        <w:t xml:space="preserve">typically </w:t>
      </w:r>
      <w:r w:rsidR="00DB7D77" w:rsidRPr="00C4141F">
        <w:rPr>
          <w:rFonts w:ascii="Times New Roman" w:hAnsi="Times New Roman" w:cs="Times New Roman"/>
        </w:rPr>
        <w:t xml:space="preserve">allocate </w:t>
      </w:r>
      <w:r w:rsidR="00C83360" w:rsidRPr="00C4141F">
        <w:rPr>
          <w:rFonts w:ascii="Times New Roman" w:hAnsi="Times New Roman" w:cs="Times New Roman"/>
        </w:rPr>
        <w:t xml:space="preserve">resources </w:t>
      </w:r>
      <w:r w:rsidR="00DB7D77" w:rsidRPr="00C4141F">
        <w:rPr>
          <w:rFonts w:ascii="Times New Roman" w:hAnsi="Times New Roman" w:cs="Times New Roman"/>
        </w:rPr>
        <w:t xml:space="preserve">between interest-bearing, risky assets. In any </w:t>
      </w:r>
      <w:r w:rsidR="00BE635C" w:rsidRPr="00C4141F">
        <w:rPr>
          <w:rFonts w:ascii="Times New Roman" w:hAnsi="Times New Roman" w:cs="Times New Roman"/>
        </w:rPr>
        <w:t xml:space="preserve">financial </w:t>
      </w:r>
      <w:r w:rsidR="00DB7D77" w:rsidRPr="00C4141F">
        <w:rPr>
          <w:rFonts w:ascii="Times New Roman" w:hAnsi="Times New Roman" w:cs="Times New Roman"/>
        </w:rPr>
        <w:t xml:space="preserve">market </w:t>
      </w:r>
      <w:r w:rsidR="00BE635C" w:rsidRPr="00C4141F">
        <w:rPr>
          <w:rFonts w:ascii="Times New Roman" w:hAnsi="Times New Roman" w:cs="Times New Roman"/>
        </w:rPr>
        <w:t xml:space="preserve">which contains multiple assets with varying levels of risk, a wedge exists in the returns demanded by investors between a relatively risky asset and a less risky asset. Over the century of financial data that Mehra and Prescott analyzed, the annual return </w:t>
      </w:r>
      <w:r w:rsidR="00C83360" w:rsidRPr="00C4141F">
        <w:rPr>
          <w:rFonts w:ascii="Times New Roman" w:hAnsi="Times New Roman" w:cs="Times New Roman"/>
        </w:rPr>
        <w:t>on</w:t>
      </w:r>
      <w:r w:rsidR="00BE635C" w:rsidRPr="00C4141F">
        <w:rPr>
          <w:rFonts w:ascii="Times New Roman" w:hAnsi="Times New Roman" w:cs="Times New Roman"/>
        </w:rPr>
        <w:t xml:space="preserve"> the S&amp;P 50</w:t>
      </w:r>
      <w:r w:rsidR="003B5F71" w:rsidRPr="00C4141F">
        <w:rPr>
          <w:rFonts w:ascii="Times New Roman" w:hAnsi="Times New Roman" w:cs="Times New Roman"/>
        </w:rPr>
        <w:t>0</w:t>
      </w:r>
      <w:r w:rsidR="00BE635C" w:rsidRPr="00C4141F">
        <w:rPr>
          <w:rFonts w:ascii="Times New Roman" w:hAnsi="Times New Roman" w:cs="Times New Roman"/>
        </w:rPr>
        <w:t>, a</w:t>
      </w:r>
      <w:r w:rsidR="007510EC" w:rsidRPr="00C4141F">
        <w:rPr>
          <w:rFonts w:ascii="Times New Roman" w:hAnsi="Times New Roman" w:cs="Times New Roman"/>
        </w:rPr>
        <w:t>n</w:t>
      </w:r>
      <w:r w:rsidR="00BE635C" w:rsidRPr="00C4141F">
        <w:rPr>
          <w:rFonts w:ascii="Times New Roman" w:hAnsi="Times New Roman" w:cs="Times New Roman"/>
        </w:rPr>
        <w:t xml:space="preserve"> index of risky equities, was approximately 8%</w:t>
      </w:r>
      <w:r w:rsidR="007510EC" w:rsidRPr="00C4141F">
        <w:rPr>
          <w:rFonts w:ascii="Times New Roman" w:hAnsi="Times New Roman" w:cs="Times New Roman"/>
        </w:rPr>
        <w:t>,</w:t>
      </w:r>
      <w:r w:rsidR="00BE635C" w:rsidRPr="00C4141F">
        <w:rPr>
          <w:rFonts w:ascii="Times New Roman" w:hAnsi="Times New Roman" w:cs="Times New Roman"/>
        </w:rPr>
        <w:t xml:space="preserve"> while the average return on T-Bills, essentially </w:t>
      </w:r>
      <w:proofErr w:type="gramStart"/>
      <w:r w:rsidR="00BE635C" w:rsidRPr="00C4141F">
        <w:rPr>
          <w:rFonts w:ascii="Times New Roman" w:hAnsi="Times New Roman" w:cs="Times New Roman"/>
        </w:rPr>
        <w:t>risk free</w:t>
      </w:r>
      <w:proofErr w:type="gramEnd"/>
      <w:r w:rsidR="00BE635C" w:rsidRPr="00C4141F">
        <w:rPr>
          <w:rFonts w:ascii="Times New Roman" w:hAnsi="Times New Roman" w:cs="Times New Roman"/>
        </w:rPr>
        <w:t xml:space="preserve"> assets, was less than 1%. The magnitude of this difference in the returns between risky and less risky assets implies a coefficient of relative risk aversion </w:t>
      </w:r>
      <w:r w:rsidR="00AF0DEE" w:rsidRPr="00C4141F">
        <w:rPr>
          <w:rFonts w:ascii="Times New Roman" w:hAnsi="Times New Roman" w:cs="Times New Roman"/>
        </w:rPr>
        <w:t xml:space="preserve">of approximately </w:t>
      </w:r>
      <w:r w:rsidR="00BE635C" w:rsidRPr="00C4141F">
        <w:rPr>
          <w:rFonts w:ascii="Times New Roman" w:hAnsi="Times New Roman" w:cs="Times New Roman"/>
        </w:rPr>
        <w:t>30, while most experimental evidence places the coefficient of relative risk aversion closer to 1 (Thaler et al. 1997).</w:t>
      </w:r>
      <w:r w:rsidR="007510EC" w:rsidRPr="00C4141F">
        <w:rPr>
          <w:rFonts w:ascii="Times New Roman" w:hAnsi="Times New Roman" w:cs="Times New Roman"/>
        </w:rPr>
        <w:t xml:space="preserve"> The equity premium puzzle, at its core, is </w:t>
      </w:r>
      <w:r w:rsidR="00A92870" w:rsidRPr="00C4141F">
        <w:rPr>
          <w:rFonts w:ascii="Times New Roman" w:hAnsi="Times New Roman" w:cs="Times New Roman"/>
        </w:rPr>
        <w:t>the question of why this</w:t>
      </w:r>
      <w:r w:rsidR="007510EC" w:rsidRPr="00C4141F">
        <w:rPr>
          <w:rFonts w:ascii="Times New Roman" w:hAnsi="Times New Roman" w:cs="Times New Roman"/>
        </w:rPr>
        <w:t xml:space="preserve"> large divergence in the implied coefficients of relative risk aversion</w:t>
      </w:r>
      <w:r w:rsidR="00A92870" w:rsidRPr="00C4141F">
        <w:rPr>
          <w:rFonts w:ascii="Times New Roman" w:hAnsi="Times New Roman" w:cs="Times New Roman"/>
        </w:rPr>
        <w:t xml:space="preserve"> exists. </w:t>
      </w:r>
    </w:p>
    <w:p w14:paraId="316E9432" w14:textId="65F8D702" w:rsidR="00C83360" w:rsidRPr="00C4141F" w:rsidRDefault="00930D75" w:rsidP="00194B2A">
      <w:pPr>
        <w:spacing w:after="100" w:afterAutospacing="1"/>
        <w:jc w:val="both"/>
        <w:rPr>
          <w:rFonts w:ascii="Times New Roman" w:hAnsi="Times New Roman" w:cs="Times New Roman"/>
        </w:rPr>
      </w:pPr>
      <w:r w:rsidRPr="00C4141F">
        <w:rPr>
          <w:rFonts w:ascii="Times New Roman" w:hAnsi="Times New Roman" w:cs="Times New Roman"/>
        </w:rPr>
        <w:t xml:space="preserve">A survey of the potential explanations for the equity premium puzzle (Siegel and Thaler 1997) concluded that it is difficult to explain the equity premium puzzle without the incorporation of some degree of irrationality into agent decision making processes. One </w:t>
      </w:r>
      <w:proofErr w:type="gramStart"/>
      <w:r w:rsidR="006A6E79" w:rsidRPr="00C4141F">
        <w:rPr>
          <w:rFonts w:ascii="Times New Roman" w:hAnsi="Times New Roman" w:cs="Times New Roman"/>
        </w:rPr>
        <w:t>particular theory</w:t>
      </w:r>
      <w:proofErr w:type="gramEnd"/>
      <w:r w:rsidRPr="00C4141F">
        <w:rPr>
          <w:rFonts w:ascii="Times New Roman" w:hAnsi="Times New Roman" w:cs="Times New Roman"/>
        </w:rPr>
        <w:t xml:space="preserve"> that could explain the equity premium puzzle is that of Myopic Loss Aversion. </w:t>
      </w:r>
      <w:r w:rsidR="00FD7F90" w:rsidRPr="00C4141F">
        <w:rPr>
          <w:rFonts w:ascii="Times New Roman" w:hAnsi="Times New Roman" w:cs="Times New Roman"/>
        </w:rPr>
        <w:t xml:space="preserve">The Theory of </w:t>
      </w:r>
      <w:r w:rsidR="007510EC" w:rsidRPr="00C4141F">
        <w:rPr>
          <w:rFonts w:ascii="Times New Roman" w:hAnsi="Times New Roman" w:cs="Times New Roman"/>
        </w:rPr>
        <w:t xml:space="preserve">Myopic Loss Aversion was </w:t>
      </w:r>
      <w:r w:rsidR="00FD7F90" w:rsidRPr="00C4141F">
        <w:rPr>
          <w:rFonts w:ascii="Times New Roman" w:hAnsi="Times New Roman" w:cs="Times New Roman"/>
        </w:rPr>
        <w:t>first proposed</w:t>
      </w:r>
      <w:r w:rsidR="007510EC" w:rsidRPr="00C4141F">
        <w:rPr>
          <w:rFonts w:ascii="Times New Roman" w:hAnsi="Times New Roman" w:cs="Times New Roman"/>
        </w:rPr>
        <w:t xml:space="preserve"> by </w:t>
      </w:r>
      <w:proofErr w:type="spellStart"/>
      <w:r w:rsidR="007510EC" w:rsidRPr="00C4141F">
        <w:rPr>
          <w:rFonts w:ascii="Times New Roman" w:hAnsi="Times New Roman" w:cs="Times New Roman"/>
        </w:rPr>
        <w:t>Bernatzi</w:t>
      </w:r>
      <w:proofErr w:type="spellEnd"/>
      <w:r w:rsidR="007510EC" w:rsidRPr="00C4141F">
        <w:rPr>
          <w:rFonts w:ascii="Times New Roman" w:hAnsi="Times New Roman" w:cs="Times New Roman"/>
        </w:rPr>
        <w:t xml:space="preserve"> and Thaler </w:t>
      </w:r>
      <w:r w:rsidR="00BD2C69" w:rsidRPr="00C4141F">
        <w:rPr>
          <w:rFonts w:ascii="Times New Roman" w:hAnsi="Times New Roman" w:cs="Times New Roman"/>
        </w:rPr>
        <w:t>(1995).</w:t>
      </w:r>
      <w:r w:rsidR="00FC7AA2" w:rsidRPr="00C4141F">
        <w:rPr>
          <w:rFonts w:ascii="Times New Roman" w:hAnsi="Times New Roman" w:cs="Times New Roman"/>
        </w:rPr>
        <w:t xml:space="preserve"> T</w:t>
      </w:r>
      <w:r w:rsidR="00C83360" w:rsidRPr="00C4141F">
        <w:rPr>
          <w:rFonts w:ascii="Times New Roman" w:hAnsi="Times New Roman" w:cs="Times New Roman"/>
        </w:rPr>
        <w:t xml:space="preserve">he authors </w:t>
      </w:r>
      <w:r w:rsidR="00A92870" w:rsidRPr="00C4141F">
        <w:rPr>
          <w:rFonts w:ascii="Times New Roman" w:hAnsi="Times New Roman" w:cs="Times New Roman"/>
        </w:rPr>
        <w:t>sought to provide an explanation for the equity premium puzzle using</w:t>
      </w:r>
      <w:r w:rsidR="00C83360" w:rsidRPr="00C4141F">
        <w:rPr>
          <w:rFonts w:ascii="Times New Roman" w:hAnsi="Times New Roman" w:cs="Times New Roman"/>
        </w:rPr>
        <w:t xml:space="preserve"> findings from behavioral economics</w:t>
      </w:r>
      <w:r w:rsidR="00FD7F90" w:rsidRPr="00C4141F">
        <w:rPr>
          <w:rFonts w:ascii="Times New Roman" w:hAnsi="Times New Roman" w:cs="Times New Roman"/>
        </w:rPr>
        <w:t xml:space="preserve">. </w:t>
      </w:r>
      <w:proofErr w:type="spellStart"/>
      <w:r w:rsidR="00FD7F90" w:rsidRPr="00C4141F">
        <w:rPr>
          <w:rFonts w:ascii="Times New Roman" w:hAnsi="Times New Roman" w:cs="Times New Roman"/>
        </w:rPr>
        <w:t>Bernatzi</w:t>
      </w:r>
      <w:proofErr w:type="spellEnd"/>
      <w:r w:rsidR="00FD7F90" w:rsidRPr="00C4141F">
        <w:rPr>
          <w:rFonts w:ascii="Times New Roman" w:hAnsi="Times New Roman" w:cs="Times New Roman"/>
        </w:rPr>
        <w:t xml:space="preserve"> and Thaler proposed that the ways in which investors </w:t>
      </w:r>
      <w:r w:rsidR="00E42E5A" w:rsidRPr="00C4141F">
        <w:rPr>
          <w:rFonts w:ascii="Times New Roman" w:hAnsi="Times New Roman" w:cs="Times New Roman"/>
        </w:rPr>
        <w:t>view</w:t>
      </w:r>
      <w:r w:rsidR="00FD7F90" w:rsidRPr="00C4141F">
        <w:rPr>
          <w:rFonts w:ascii="Times New Roman" w:hAnsi="Times New Roman" w:cs="Times New Roman"/>
        </w:rPr>
        <w:t xml:space="preserve"> their investment decisions across time, a mental accounting</w:t>
      </w:r>
      <w:r w:rsidR="00E42E5A" w:rsidRPr="00C4141F">
        <w:rPr>
          <w:rFonts w:ascii="Times New Roman" w:hAnsi="Times New Roman" w:cs="Times New Roman"/>
        </w:rPr>
        <w:t xml:space="preserve"> process</w:t>
      </w:r>
      <w:r w:rsidR="00FD7F90" w:rsidRPr="00C4141F">
        <w:rPr>
          <w:rFonts w:ascii="Times New Roman" w:hAnsi="Times New Roman" w:cs="Times New Roman"/>
        </w:rPr>
        <w:t xml:space="preserve">, and the tendency for investors to overweight losses compared to gains, a phenomenon known as loss aversion, </w:t>
      </w:r>
      <w:r w:rsidR="00F712DB" w:rsidRPr="00C4141F">
        <w:rPr>
          <w:rFonts w:ascii="Times New Roman" w:hAnsi="Times New Roman" w:cs="Times New Roman"/>
        </w:rPr>
        <w:t>explain</w:t>
      </w:r>
      <w:r w:rsidR="00FD7F90" w:rsidRPr="00C4141F">
        <w:rPr>
          <w:rFonts w:ascii="Times New Roman" w:hAnsi="Times New Roman" w:cs="Times New Roman"/>
        </w:rPr>
        <w:t xml:space="preserve"> the </w:t>
      </w:r>
      <w:r w:rsidR="00173402" w:rsidRPr="00C4141F">
        <w:rPr>
          <w:rFonts w:ascii="Times New Roman" w:hAnsi="Times New Roman" w:cs="Times New Roman"/>
        </w:rPr>
        <w:t>tendency</w:t>
      </w:r>
      <w:r w:rsidR="00FD7F90" w:rsidRPr="00C4141F">
        <w:rPr>
          <w:rFonts w:ascii="Times New Roman" w:hAnsi="Times New Roman" w:cs="Times New Roman"/>
        </w:rPr>
        <w:t xml:space="preserve"> for investors to exhibit </w:t>
      </w:r>
      <w:r w:rsidR="00A92870" w:rsidRPr="00C4141F">
        <w:rPr>
          <w:rFonts w:ascii="Times New Roman" w:hAnsi="Times New Roman" w:cs="Times New Roman"/>
        </w:rPr>
        <w:t>a relatively high degree of risk aversion</w:t>
      </w:r>
      <w:r w:rsidR="00B227EE" w:rsidRPr="00C4141F">
        <w:rPr>
          <w:rFonts w:ascii="Times New Roman" w:hAnsi="Times New Roman" w:cs="Times New Roman"/>
        </w:rPr>
        <w:t xml:space="preserve">. </w:t>
      </w:r>
    </w:p>
    <w:p w14:paraId="59789943" w14:textId="6D804B56" w:rsidR="00D87DDE" w:rsidRPr="00C4141F" w:rsidRDefault="00D87DDE" w:rsidP="00194B2A">
      <w:pPr>
        <w:spacing w:after="100" w:afterAutospacing="1"/>
        <w:jc w:val="both"/>
        <w:rPr>
          <w:rFonts w:ascii="Times New Roman" w:hAnsi="Times New Roman" w:cs="Times New Roman"/>
        </w:rPr>
      </w:pPr>
      <w:r w:rsidRPr="00C4141F">
        <w:rPr>
          <w:rFonts w:ascii="Times New Roman" w:hAnsi="Times New Roman" w:cs="Times New Roman"/>
        </w:rPr>
        <w:t xml:space="preserve">To explain the </w:t>
      </w:r>
      <w:r w:rsidR="00812AEF" w:rsidRPr="00C4141F">
        <w:rPr>
          <w:rFonts w:ascii="Times New Roman" w:hAnsi="Times New Roman" w:cs="Times New Roman"/>
        </w:rPr>
        <w:t>behavior that</w:t>
      </w:r>
      <w:r w:rsidRPr="00C4141F">
        <w:rPr>
          <w:rFonts w:ascii="Times New Roman" w:hAnsi="Times New Roman" w:cs="Times New Roman"/>
        </w:rPr>
        <w:t xml:space="preserve"> Myopic Loss Aversion </w:t>
      </w:r>
      <w:r w:rsidR="00812AEF" w:rsidRPr="00C4141F">
        <w:rPr>
          <w:rFonts w:ascii="Times New Roman" w:hAnsi="Times New Roman" w:cs="Times New Roman"/>
        </w:rPr>
        <w:t>predicts in</w:t>
      </w:r>
      <w:r w:rsidRPr="00C4141F">
        <w:rPr>
          <w:rFonts w:ascii="Times New Roman" w:hAnsi="Times New Roman" w:cs="Times New Roman"/>
        </w:rPr>
        <w:t xml:space="preserve"> allocation</w:t>
      </w:r>
      <w:r w:rsidR="00812AEF" w:rsidRPr="00C4141F">
        <w:rPr>
          <w:rFonts w:ascii="Times New Roman" w:hAnsi="Times New Roman" w:cs="Times New Roman"/>
        </w:rPr>
        <w:t xml:space="preserve"> decisions</w:t>
      </w:r>
      <w:r w:rsidRPr="00C4141F">
        <w:rPr>
          <w:rFonts w:ascii="Times New Roman" w:hAnsi="Times New Roman" w:cs="Times New Roman"/>
        </w:rPr>
        <w:t xml:space="preserve"> between risky assets, I </w:t>
      </w:r>
      <w:r w:rsidR="00D448B0" w:rsidRPr="00C4141F">
        <w:rPr>
          <w:rFonts w:ascii="Times New Roman" w:hAnsi="Times New Roman" w:cs="Times New Roman"/>
        </w:rPr>
        <w:t>use</w:t>
      </w:r>
      <w:r w:rsidRPr="00C4141F">
        <w:rPr>
          <w:rFonts w:ascii="Times New Roman" w:hAnsi="Times New Roman" w:cs="Times New Roman"/>
        </w:rPr>
        <w:t xml:space="preserve"> the problem posed by Paul Samuelson to a colleague in Samuelson (1963). Consider a gamble of the following nature: </w:t>
      </w:r>
      <w:r w:rsidR="005A51D7" w:rsidRPr="00C4141F">
        <w:rPr>
          <w:rFonts w:ascii="Times New Roman" w:hAnsi="Times New Roman" w:cs="Times New Roman"/>
        </w:rPr>
        <w:t xml:space="preserve">A fair coin is flipped. If the coin lands heads-up, you </w:t>
      </w:r>
      <w:r w:rsidRPr="00C4141F">
        <w:rPr>
          <w:rFonts w:ascii="Times New Roman" w:hAnsi="Times New Roman" w:cs="Times New Roman"/>
        </w:rPr>
        <w:t>will receive $</w:t>
      </w:r>
      <w:r w:rsidR="00547788">
        <w:rPr>
          <w:rFonts w:ascii="Times New Roman" w:hAnsi="Times New Roman" w:cs="Times New Roman"/>
        </w:rPr>
        <w:t>2</w:t>
      </w:r>
      <w:r w:rsidRPr="00C4141F">
        <w:rPr>
          <w:rFonts w:ascii="Times New Roman" w:hAnsi="Times New Roman" w:cs="Times New Roman"/>
        </w:rPr>
        <w:t>00, but if the coin lands tails-up, you lose $</w:t>
      </w:r>
      <w:r w:rsidR="00547788">
        <w:rPr>
          <w:rFonts w:ascii="Times New Roman" w:hAnsi="Times New Roman" w:cs="Times New Roman"/>
        </w:rPr>
        <w:t>1</w:t>
      </w:r>
      <w:r w:rsidRPr="00C4141F">
        <w:rPr>
          <w:rFonts w:ascii="Times New Roman" w:hAnsi="Times New Roman" w:cs="Times New Roman"/>
        </w:rPr>
        <w:t>00. Samuelson’s colleagues rejected the gamble, presumably because the</w:t>
      </w:r>
      <w:r w:rsidR="00D448B0" w:rsidRPr="00C4141F">
        <w:rPr>
          <w:rFonts w:ascii="Times New Roman" w:hAnsi="Times New Roman" w:cs="Times New Roman"/>
        </w:rPr>
        <w:t xml:space="preserve"> expected utility they assigned to the lottery was negative. However, when Samuelson altered the gamble such that, instead of the coin being flipped only once, it was flipped 100 times</w:t>
      </w:r>
      <w:r w:rsidR="005A51D7" w:rsidRPr="00C4141F">
        <w:rPr>
          <w:rFonts w:ascii="Times New Roman" w:hAnsi="Times New Roman" w:cs="Times New Roman"/>
        </w:rPr>
        <w:t>,</w:t>
      </w:r>
      <w:r w:rsidR="00D448B0" w:rsidRPr="00C4141F">
        <w:rPr>
          <w:rFonts w:ascii="Times New Roman" w:hAnsi="Times New Roman" w:cs="Times New Roman"/>
        </w:rPr>
        <w:t xml:space="preserve"> with the sum of the outcomes being the winnings of the participant, the colleague would accept the gamble. </w:t>
      </w:r>
      <w:proofErr w:type="spellStart"/>
      <w:r w:rsidR="00D448B0" w:rsidRPr="00C4141F">
        <w:rPr>
          <w:rFonts w:ascii="Times New Roman" w:hAnsi="Times New Roman" w:cs="Times New Roman"/>
        </w:rPr>
        <w:t>Bernatzi</w:t>
      </w:r>
      <w:proofErr w:type="spellEnd"/>
      <w:r w:rsidR="00D448B0" w:rsidRPr="00C4141F">
        <w:rPr>
          <w:rFonts w:ascii="Times New Roman" w:hAnsi="Times New Roman" w:cs="Times New Roman"/>
        </w:rPr>
        <w:t xml:space="preserve"> and Thaler (1995) proposed that investors in U</w:t>
      </w:r>
      <w:r w:rsidR="00D75D51" w:rsidRPr="00C4141F">
        <w:rPr>
          <w:rFonts w:ascii="Times New Roman" w:hAnsi="Times New Roman" w:cs="Times New Roman"/>
        </w:rPr>
        <w:t>.</w:t>
      </w:r>
      <w:r w:rsidR="00D448B0" w:rsidRPr="00C4141F">
        <w:rPr>
          <w:rFonts w:ascii="Times New Roman" w:hAnsi="Times New Roman" w:cs="Times New Roman"/>
        </w:rPr>
        <w:t>S</w:t>
      </w:r>
      <w:r w:rsidR="00D75D51" w:rsidRPr="00C4141F">
        <w:rPr>
          <w:rFonts w:ascii="Times New Roman" w:hAnsi="Times New Roman" w:cs="Times New Roman"/>
        </w:rPr>
        <w:t>.</w:t>
      </w:r>
      <w:r w:rsidR="00D448B0" w:rsidRPr="00C4141F">
        <w:rPr>
          <w:rFonts w:ascii="Times New Roman" w:hAnsi="Times New Roman" w:cs="Times New Roman"/>
        </w:rPr>
        <w:t xml:space="preserve"> financial markets </w:t>
      </w:r>
      <w:r w:rsidR="00845521" w:rsidRPr="00C4141F">
        <w:rPr>
          <w:rFonts w:ascii="Times New Roman" w:hAnsi="Times New Roman" w:cs="Times New Roman"/>
        </w:rPr>
        <w:t>exhibited similar behavior to Samuelson’s colleagues</w:t>
      </w:r>
      <w:r w:rsidR="00D868F2" w:rsidRPr="00C4141F">
        <w:rPr>
          <w:rFonts w:ascii="Times New Roman" w:hAnsi="Times New Roman" w:cs="Times New Roman"/>
        </w:rPr>
        <w:t xml:space="preserve">. </w:t>
      </w:r>
      <w:r w:rsidR="00845521" w:rsidRPr="00C4141F">
        <w:rPr>
          <w:rFonts w:ascii="Times New Roman" w:hAnsi="Times New Roman" w:cs="Times New Roman"/>
        </w:rPr>
        <w:t xml:space="preserve">Specifically, </w:t>
      </w:r>
      <w:r w:rsidR="00D868F2" w:rsidRPr="00C4141F">
        <w:rPr>
          <w:rFonts w:ascii="Times New Roman" w:hAnsi="Times New Roman" w:cs="Times New Roman"/>
        </w:rPr>
        <w:t xml:space="preserve">they predicted </w:t>
      </w:r>
      <w:r w:rsidR="00845521" w:rsidRPr="00C4141F">
        <w:rPr>
          <w:rFonts w:ascii="Times New Roman" w:hAnsi="Times New Roman" w:cs="Times New Roman"/>
        </w:rPr>
        <w:t xml:space="preserve">investors would be more willing to invest in assets with higher levels of risk if they were forced to </w:t>
      </w:r>
      <w:r w:rsidR="00845521" w:rsidRPr="00C4141F">
        <w:rPr>
          <w:rFonts w:ascii="Times New Roman" w:hAnsi="Times New Roman" w:cs="Times New Roman"/>
        </w:rPr>
        <w:lastRenderedPageBreak/>
        <w:t>commit their investments to a higher number of time periods</w:t>
      </w:r>
      <w:r w:rsidR="00FF0FE0" w:rsidRPr="00C4141F">
        <w:rPr>
          <w:rFonts w:ascii="Times New Roman" w:hAnsi="Times New Roman" w:cs="Times New Roman"/>
        </w:rPr>
        <w:t xml:space="preserve">, </w:t>
      </w:r>
      <w:r w:rsidR="001A416F" w:rsidRPr="00C4141F">
        <w:rPr>
          <w:rFonts w:ascii="Times New Roman" w:hAnsi="Times New Roman" w:cs="Times New Roman"/>
        </w:rPr>
        <w:t xml:space="preserve">just as Samuelson’s colleague was willing to accept the altered version of the gamble. </w:t>
      </w:r>
    </w:p>
    <w:p w14:paraId="19CFDE58" w14:textId="41548940" w:rsidR="001223D4" w:rsidRPr="00C4141F" w:rsidRDefault="00930D75" w:rsidP="00194B2A">
      <w:pPr>
        <w:spacing w:after="100" w:afterAutospacing="1"/>
        <w:jc w:val="both"/>
        <w:rPr>
          <w:rFonts w:ascii="Times New Roman" w:hAnsi="Times New Roman" w:cs="Times New Roman"/>
        </w:rPr>
      </w:pPr>
      <w:r w:rsidRPr="00C4141F">
        <w:rPr>
          <w:rFonts w:ascii="Times New Roman" w:hAnsi="Times New Roman" w:cs="Times New Roman"/>
        </w:rPr>
        <w:t>In</w:t>
      </w:r>
      <w:r w:rsidR="007510EC" w:rsidRPr="00C4141F">
        <w:rPr>
          <w:rFonts w:ascii="Times New Roman" w:hAnsi="Times New Roman" w:cs="Times New Roman"/>
        </w:rPr>
        <w:t xml:space="preserve"> </w:t>
      </w:r>
      <w:r w:rsidR="008613C4" w:rsidRPr="00C4141F">
        <w:rPr>
          <w:rFonts w:ascii="Times New Roman" w:hAnsi="Times New Roman" w:cs="Times New Roman"/>
        </w:rPr>
        <w:t>1997, two separate research teams</w:t>
      </w:r>
      <w:r w:rsidR="005215A3" w:rsidRPr="00C4141F">
        <w:rPr>
          <w:rFonts w:ascii="Times New Roman" w:hAnsi="Times New Roman" w:cs="Times New Roman"/>
        </w:rPr>
        <w:t>, Thaler et al. (1997) and Gneezy and Potters (1997),</w:t>
      </w:r>
      <w:r w:rsidR="008613C4" w:rsidRPr="00C4141F">
        <w:rPr>
          <w:rFonts w:ascii="Times New Roman" w:hAnsi="Times New Roman" w:cs="Times New Roman"/>
        </w:rPr>
        <w:t xml:space="preserve"> conducted experiments </w:t>
      </w:r>
      <w:r w:rsidR="00E42E5A" w:rsidRPr="00C4141F">
        <w:rPr>
          <w:rFonts w:ascii="Times New Roman" w:hAnsi="Times New Roman" w:cs="Times New Roman"/>
        </w:rPr>
        <w:t>to explore the theory of Myopic Loss Aversion. The experimenters tasked subjects with allocating resources between two risky assets</w:t>
      </w:r>
      <w:r w:rsidR="00513EAA" w:rsidRPr="00C4141F">
        <w:rPr>
          <w:rFonts w:ascii="Times New Roman" w:hAnsi="Times New Roman" w:cs="Times New Roman"/>
        </w:rPr>
        <w:t>,</w:t>
      </w:r>
      <w:r w:rsidR="00173402" w:rsidRPr="00C4141F">
        <w:rPr>
          <w:rFonts w:ascii="Times New Roman" w:hAnsi="Times New Roman" w:cs="Times New Roman"/>
        </w:rPr>
        <w:t xml:space="preserve"> with some subjects being assigned to treatments where their allocations held for multiple periods. Both experiments found that decreasing the frequency at which investors observed the returns on their portfolios and were able to adjust their allocations led to subjects contributing more of their resources to the riskier asset.</w:t>
      </w:r>
      <w:r w:rsidR="001223D4" w:rsidRPr="00C4141F">
        <w:rPr>
          <w:rFonts w:ascii="Times New Roman" w:hAnsi="Times New Roman" w:cs="Times New Roman"/>
        </w:rPr>
        <w:t xml:space="preserve"> </w:t>
      </w:r>
      <w:r w:rsidR="00A90A8F" w:rsidRPr="00C4141F">
        <w:rPr>
          <w:rFonts w:ascii="Times New Roman" w:hAnsi="Times New Roman" w:cs="Times New Roman"/>
        </w:rPr>
        <w:t xml:space="preserve">This was exactly the behavior predicted by the theory of Myopic Loss Aversion presented in </w:t>
      </w:r>
      <w:proofErr w:type="spellStart"/>
      <w:r w:rsidR="00A90A8F" w:rsidRPr="00C4141F">
        <w:rPr>
          <w:rFonts w:ascii="Times New Roman" w:hAnsi="Times New Roman" w:cs="Times New Roman"/>
        </w:rPr>
        <w:t>Bernatzi</w:t>
      </w:r>
      <w:proofErr w:type="spellEnd"/>
      <w:r w:rsidR="00A90A8F" w:rsidRPr="00C4141F">
        <w:rPr>
          <w:rFonts w:ascii="Times New Roman" w:hAnsi="Times New Roman" w:cs="Times New Roman"/>
        </w:rPr>
        <w:t xml:space="preserve"> and Thaler (1995). </w:t>
      </w:r>
      <w:r w:rsidR="001223D4" w:rsidRPr="00C4141F">
        <w:rPr>
          <w:rFonts w:ascii="Times New Roman" w:hAnsi="Times New Roman" w:cs="Times New Roman"/>
        </w:rPr>
        <w:t>I</w:t>
      </w:r>
      <w:r w:rsidR="00173402" w:rsidRPr="00C4141F">
        <w:rPr>
          <w:rFonts w:ascii="Times New Roman" w:hAnsi="Times New Roman" w:cs="Times New Roman"/>
        </w:rPr>
        <w:t xml:space="preserve">n the experiment conducted by Thaler et al. (1997), </w:t>
      </w:r>
      <w:r w:rsidR="00A90A8F" w:rsidRPr="00C4141F">
        <w:rPr>
          <w:rFonts w:ascii="Times New Roman" w:hAnsi="Times New Roman" w:cs="Times New Roman"/>
        </w:rPr>
        <w:t>the authors</w:t>
      </w:r>
      <w:r w:rsidR="00173402" w:rsidRPr="00C4141F">
        <w:rPr>
          <w:rFonts w:ascii="Times New Roman" w:hAnsi="Times New Roman" w:cs="Times New Roman"/>
        </w:rPr>
        <w:t xml:space="preserve"> found that subjects who</w:t>
      </w:r>
      <w:r w:rsidR="00061859" w:rsidRPr="00C4141F">
        <w:rPr>
          <w:rFonts w:ascii="Times New Roman" w:hAnsi="Times New Roman" w:cs="Times New Roman"/>
        </w:rPr>
        <w:t xml:space="preserve">se allocations held for multiple periods </w:t>
      </w:r>
      <w:r w:rsidR="00173402" w:rsidRPr="00C4141F">
        <w:rPr>
          <w:rFonts w:ascii="Times New Roman" w:hAnsi="Times New Roman" w:cs="Times New Roman"/>
        </w:rPr>
        <w:t>allocated</w:t>
      </w:r>
      <w:r w:rsidR="00061859" w:rsidRPr="00C4141F">
        <w:rPr>
          <w:rFonts w:ascii="Times New Roman" w:hAnsi="Times New Roman" w:cs="Times New Roman"/>
        </w:rPr>
        <w:t xml:space="preserve"> a higher percentage of their funds</w:t>
      </w:r>
      <w:r w:rsidR="00173402" w:rsidRPr="00C4141F">
        <w:rPr>
          <w:rFonts w:ascii="Times New Roman" w:hAnsi="Times New Roman" w:cs="Times New Roman"/>
        </w:rPr>
        <w:t xml:space="preserve"> to the risky option over time, while subjects who</w:t>
      </w:r>
      <w:r w:rsidR="00061859" w:rsidRPr="00C4141F">
        <w:rPr>
          <w:rFonts w:ascii="Times New Roman" w:hAnsi="Times New Roman" w:cs="Times New Roman"/>
        </w:rPr>
        <w:t xml:space="preserve">se allocations held for only one period </w:t>
      </w:r>
      <w:r w:rsidR="00173402" w:rsidRPr="00C4141F">
        <w:rPr>
          <w:rFonts w:ascii="Times New Roman" w:hAnsi="Times New Roman" w:cs="Times New Roman"/>
        </w:rPr>
        <w:t>did not</w:t>
      </w:r>
      <w:r w:rsidR="001223D4" w:rsidRPr="00C4141F">
        <w:rPr>
          <w:rFonts w:ascii="Times New Roman" w:hAnsi="Times New Roman" w:cs="Times New Roman"/>
        </w:rPr>
        <w:t xml:space="preserve"> allocate more to the risky option over time. </w:t>
      </w:r>
      <w:r w:rsidR="00061859" w:rsidRPr="00C4141F">
        <w:rPr>
          <w:rFonts w:ascii="Times New Roman" w:hAnsi="Times New Roman" w:cs="Times New Roman"/>
        </w:rPr>
        <w:t xml:space="preserve">In other words, subjects whose allocations held for only a few periods did not change from their initial allocation levels, but subjects whose allocations held for a high number of periods allocated progressively more to the riskier fund with each decision they made. </w:t>
      </w:r>
      <w:r w:rsidR="00116E7E" w:rsidRPr="00C4141F">
        <w:rPr>
          <w:rFonts w:ascii="Times New Roman" w:hAnsi="Times New Roman" w:cs="Times New Roman"/>
        </w:rPr>
        <w:t>However</w:t>
      </w:r>
      <w:r w:rsidR="003B5F71" w:rsidRPr="00C4141F">
        <w:rPr>
          <w:rFonts w:ascii="Times New Roman" w:hAnsi="Times New Roman" w:cs="Times New Roman"/>
        </w:rPr>
        <w:t>, in the experiment conducted by Gneezy and Potters (1997), no change in behavior over the course of the experiment was observed for either of the treatment groups. The explanation for this discrepancy has not been previously addressed or explored</w:t>
      </w:r>
      <w:r w:rsidR="00116E7E" w:rsidRPr="00C4141F">
        <w:rPr>
          <w:rFonts w:ascii="Times New Roman" w:hAnsi="Times New Roman" w:cs="Times New Roman"/>
        </w:rPr>
        <w:t>. T</w:t>
      </w:r>
      <w:r w:rsidR="00711FB2" w:rsidRPr="00C4141F">
        <w:rPr>
          <w:rFonts w:ascii="Times New Roman" w:hAnsi="Times New Roman" w:cs="Times New Roman"/>
        </w:rPr>
        <w:t xml:space="preserve">his paper seeks to </w:t>
      </w:r>
      <w:r w:rsidR="00AF0A90" w:rsidRPr="00C4141F">
        <w:rPr>
          <w:rFonts w:ascii="Times New Roman" w:hAnsi="Times New Roman" w:cs="Times New Roman"/>
        </w:rPr>
        <w:t>provide a partial explanation for this discrepancy.</w:t>
      </w:r>
    </w:p>
    <w:p w14:paraId="79E9BF17" w14:textId="420CF71C" w:rsidR="00812973" w:rsidRPr="00C4141F" w:rsidRDefault="003B5F71" w:rsidP="00194B2A">
      <w:pPr>
        <w:spacing w:after="100" w:afterAutospacing="1"/>
        <w:jc w:val="both"/>
        <w:rPr>
          <w:rFonts w:ascii="Times New Roman" w:hAnsi="Times New Roman" w:cs="Times New Roman"/>
        </w:rPr>
      </w:pPr>
      <w:r w:rsidRPr="00C4141F">
        <w:rPr>
          <w:rFonts w:ascii="Times New Roman" w:hAnsi="Times New Roman" w:cs="Times New Roman"/>
        </w:rPr>
        <w:t>After a review of the experimental designs, I identify a</w:t>
      </w:r>
      <w:r w:rsidR="00711FB2" w:rsidRPr="00C4141F">
        <w:rPr>
          <w:rFonts w:ascii="Times New Roman" w:hAnsi="Times New Roman" w:cs="Times New Roman"/>
        </w:rPr>
        <w:t xml:space="preserve"> potential</w:t>
      </w:r>
      <w:r w:rsidRPr="00C4141F">
        <w:rPr>
          <w:rFonts w:ascii="Times New Roman" w:hAnsi="Times New Roman" w:cs="Times New Roman"/>
        </w:rPr>
        <w:t xml:space="preserve"> causal mechanism</w:t>
      </w:r>
      <w:r w:rsidR="00711FB2" w:rsidRPr="00C4141F">
        <w:rPr>
          <w:rFonts w:ascii="Times New Roman" w:hAnsi="Times New Roman" w:cs="Times New Roman"/>
        </w:rPr>
        <w:t xml:space="preserve"> that may explain why updating behavior is observed in some tests of Myopic Loss Aversion but not others. </w:t>
      </w:r>
      <w:r w:rsidR="005E368D" w:rsidRPr="00C4141F">
        <w:rPr>
          <w:rFonts w:ascii="Times New Roman" w:hAnsi="Times New Roman" w:cs="Times New Roman"/>
        </w:rPr>
        <w:t>Subjects in Gneezy and Potters (1997) were informed that they had the option of saving some of their available funds instead of allocating them to a risky gamble</w:t>
      </w:r>
      <w:r w:rsidR="00586906" w:rsidRPr="00C4141F">
        <w:rPr>
          <w:rFonts w:ascii="Times New Roman" w:hAnsi="Times New Roman" w:cs="Times New Roman"/>
        </w:rPr>
        <w:t xml:space="preserve">. Subjects in Thaler et al. (1997) had a similar option available to them </w:t>
      </w:r>
      <w:proofErr w:type="gramStart"/>
      <w:r w:rsidR="00586906" w:rsidRPr="00C4141F">
        <w:rPr>
          <w:rFonts w:ascii="Times New Roman" w:hAnsi="Times New Roman" w:cs="Times New Roman"/>
        </w:rPr>
        <w:t>by the way of</w:t>
      </w:r>
      <w:proofErr w:type="gramEnd"/>
      <w:r w:rsidR="00586906" w:rsidRPr="00C4141F">
        <w:rPr>
          <w:rFonts w:ascii="Times New Roman" w:hAnsi="Times New Roman" w:cs="Times New Roman"/>
        </w:rPr>
        <w:t xml:space="preserve"> one of the allocation options having a </w:t>
      </w:r>
      <w:r w:rsidR="00194B2A">
        <w:rPr>
          <w:rFonts w:ascii="Times New Roman" w:hAnsi="Times New Roman" w:cs="Times New Roman"/>
        </w:rPr>
        <w:t>no-loss</w:t>
      </w:r>
      <w:r w:rsidR="00586906" w:rsidRPr="00C4141F">
        <w:rPr>
          <w:rFonts w:ascii="Times New Roman" w:hAnsi="Times New Roman" w:cs="Times New Roman"/>
        </w:rPr>
        <w:t xml:space="preserve"> attribute</w:t>
      </w:r>
      <w:r w:rsidR="00205AF4" w:rsidRPr="00C4141F">
        <w:rPr>
          <w:rFonts w:ascii="Times New Roman" w:hAnsi="Times New Roman" w:cs="Times New Roman"/>
        </w:rPr>
        <w:t xml:space="preserve">; however, subjects were </w:t>
      </w:r>
      <w:r w:rsidR="00547788">
        <w:rPr>
          <w:rFonts w:ascii="Times New Roman" w:hAnsi="Times New Roman" w:cs="Times New Roman"/>
        </w:rPr>
        <w:t xml:space="preserve">not </w:t>
      </w:r>
      <w:r w:rsidR="00205AF4" w:rsidRPr="00C4141F">
        <w:rPr>
          <w:rFonts w:ascii="Times New Roman" w:hAnsi="Times New Roman" w:cs="Times New Roman"/>
        </w:rPr>
        <w:t>informed of this</w:t>
      </w:r>
      <w:r w:rsidR="00E259A1" w:rsidRPr="00C4141F">
        <w:rPr>
          <w:rFonts w:ascii="Times New Roman" w:hAnsi="Times New Roman" w:cs="Times New Roman"/>
        </w:rPr>
        <w:t xml:space="preserve"> fact</w:t>
      </w:r>
      <w:r w:rsidR="00A90A8F" w:rsidRPr="00C4141F">
        <w:rPr>
          <w:rFonts w:ascii="Times New Roman" w:hAnsi="Times New Roman" w:cs="Times New Roman"/>
        </w:rPr>
        <w:t>. Importantly,</w:t>
      </w:r>
      <w:r w:rsidR="00205AF4" w:rsidRPr="00C4141F">
        <w:rPr>
          <w:rFonts w:ascii="Times New Roman" w:hAnsi="Times New Roman" w:cs="Times New Roman"/>
        </w:rPr>
        <w:t xml:space="preserve"> subjects whose allocations held for only one period were the most likely to be aware of this attribute</w:t>
      </w:r>
      <w:r w:rsidR="00586906" w:rsidRPr="00C4141F">
        <w:rPr>
          <w:rFonts w:ascii="Times New Roman" w:hAnsi="Times New Roman" w:cs="Times New Roman"/>
        </w:rPr>
        <w:t xml:space="preserve">. Subjects </w:t>
      </w:r>
      <w:r w:rsidR="00A90A8F" w:rsidRPr="00C4141F">
        <w:rPr>
          <w:rFonts w:ascii="Times New Roman" w:hAnsi="Times New Roman" w:cs="Times New Roman"/>
        </w:rPr>
        <w:t xml:space="preserve">in all </w:t>
      </w:r>
      <w:r w:rsidR="00586906" w:rsidRPr="00C4141F">
        <w:rPr>
          <w:rFonts w:ascii="Times New Roman" w:hAnsi="Times New Roman" w:cs="Times New Roman"/>
        </w:rPr>
        <w:t xml:space="preserve">treatment groups in Gneezy and Potters (1997) did not change their allocations over time, and the subjects who were the most likely to realize the </w:t>
      </w:r>
      <w:r w:rsidR="00194B2A">
        <w:rPr>
          <w:rFonts w:ascii="Times New Roman" w:hAnsi="Times New Roman" w:cs="Times New Roman"/>
        </w:rPr>
        <w:t>no-loss</w:t>
      </w:r>
      <w:r w:rsidR="00586906" w:rsidRPr="00C4141F">
        <w:rPr>
          <w:rFonts w:ascii="Times New Roman" w:hAnsi="Times New Roman" w:cs="Times New Roman"/>
        </w:rPr>
        <w:t xml:space="preserve"> nature of one of the allocation options in Thaler et al. (1997) did not change their allocations over time. </w:t>
      </w:r>
      <w:r w:rsidR="00F7067A" w:rsidRPr="00C4141F">
        <w:rPr>
          <w:rFonts w:ascii="Times New Roman" w:hAnsi="Times New Roman" w:cs="Times New Roman"/>
        </w:rPr>
        <w:t xml:space="preserve">I </w:t>
      </w:r>
      <w:r w:rsidR="00EB5EAE" w:rsidRPr="00C4141F">
        <w:rPr>
          <w:rFonts w:ascii="Times New Roman" w:hAnsi="Times New Roman" w:cs="Times New Roman"/>
        </w:rPr>
        <w:t>hypothesize</w:t>
      </w:r>
      <w:r w:rsidR="00F7067A" w:rsidRPr="00C4141F">
        <w:rPr>
          <w:rFonts w:ascii="Times New Roman" w:hAnsi="Times New Roman" w:cs="Times New Roman"/>
        </w:rPr>
        <w:t xml:space="preserve"> that the knowledge of a </w:t>
      </w:r>
      <w:r w:rsidR="00194B2A">
        <w:rPr>
          <w:rFonts w:ascii="Times New Roman" w:hAnsi="Times New Roman" w:cs="Times New Roman"/>
        </w:rPr>
        <w:t>no-loss</w:t>
      </w:r>
      <w:r w:rsidR="00F7067A" w:rsidRPr="00C4141F">
        <w:rPr>
          <w:rFonts w:ascii="Times New Roman" w:hAnsi="Times New Roman" w:cs="Times New Roman"/>
        </w:rPr>
        <w:t xml:space="preserve"> option makes it such that individuals are less concerned with maximizing their returns </w:t>
      </w:r>
      <w:r w:rsidR="002918BD" w:rsidRPr="00C4141F">
        <w:rPr>
          <w:rFonts w:ascii="Times New Roman" w:hAnsi="Times New Roman" w:cs="Times New Roman"/>
        </w:rPr>
        <w:t>when</w:t>
      </w:r>
      <w:r w:rsidR="00205AF4" w:rsidRPr="00C4141F">
        <w:rPr>
          <w:rFonts w:ascii="Times New Roman" w:hAnsi="Times New Roman" w:cs="Times New Roman"/>
        </w:rPr>
        <w:t xml:space="preserve"> they know they have a sure way of avoiding losses.</w:t>
      </w:r>
    </w:p>
    <w:p w14:paraId="599EBF0E" w14:textId="60B2FF52" w:rsidR="00A864C3" w:rsidRPr="00C4141F" w:rsidRDefault="00711FB2"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t>
      </w:r>
      <w:r w:rsidR="002918BD" w:rsidRPr="00C4141F">
        <w:rPr>
          <w:rFonts w:ascii="Times New Roman" w:hAnsi="Times New Roman" w:cs="Times New Roman"/>
        </w:rPr>
        <w:t>conduct</w:t>
      </w:r>
      <w:r w:rsidRPr="00C4141F">
        <w:rPr>
          <w:rFonts w:ascii="Times New Roman" w:hAnsi="Times New Roman" w:cs="Times New Roman"/>
        </w:rPr>
        <w:t xml:space="preserve"> an experiment which </w:t>
      </w:r>
      <w:r w:rsidR="00A97DC8" w:rsidRPr="00C4141F">
        <w:rPr>
          <w:rFonts w:ascii="Times New Roman" w:hAnsi="Times New Roman" w:cs="Times New Roman"/>
        </w:rPr>
        <w:t xml:space="preserve">tests </w:t>
      </w:r>
      <w:r w:rsidR="00944ABA" w:rsidRPr="00C4141F">
        <w:rPr>
          <w:rFonts w:ascii="Times New Roman" w:hAnsi="Times New Roman" w:cs="Times New Roman"/>
        </w:rPr>
        <w:t>various implications of my hypothesis</w:t>
      </w:r>
      <w:r w:rsidR="00A97DC8" w:rsidRPr="00C4141F">
        <w:rPr>
          <w:rFonts w:ascii="Times New Roman" w:hAnsi="Times New Roman" w:cs="Times New Roman"/>
        </w:rPr>
        <w:t xml:space="preserve"> using the proven experimental framework of Thaler et al. (1997)</w:t>
      </w:r>
      <w:r w:rsidRPr="00C4141F">
        <w:rPr>
          <w:rFonts w:ascii="Times New Roman" w:hAnsi="Times New Roman" w:cs="Times New Roman"/>
        </w:rPr>
        <w:t xml:space="preserve">. </w:t>
      </w:r>
      <w:r w:rsidR="00AF0A90" w:rsidRPr="00C4141F">
        <w:rPr>
          <w:rFonts w:ascii="Times New Roman" w:hAnsi="Times New Roman" w:cs="Times New Roman"/>
        </w:rPr>
        <w:t xml:space="preserve">This experiment </w:t>
      </w:r>
      <w:r w:rsidR="00AF0A90" w:rsidRPr="00C4141F">
        <w:rPr>
          <w:rFonts w:ascii="Times New Roman" w:hAnsi="Times New Roman" w:cs="Times New Roman"/>
        </w:rPr>
        <w:lastRenderedPageBreak/>
        <w:t>consists of a replication of the experiment by Thaler et al. (1997) to use as a</w:t>
      </w:r>
      <w:r w:rsidR="00FF00D5" w:rsidRPr="00C4141F">
        <w:rPr>
          <w:rFonts w:ascii="Times New Roman" w:hAnsi="Times New Roman" w:cs="Times New Roman"/>
        </w:rPr>
        <w:t xml:space="preserve"> reference and a </w:t>
      </w:r>
      <w:r w:rsidR="00AF0A90" w:rsidRPr="00C4141F">
        <w:rPr>
          <w:rFonts w:ascii="Times New Roman" w:hAnsi="Times New Roman" w:cs="Times New Roman"/>
        </w:rPr>
        <w:t>treatment arm wherein subjects are informed of specific characteristics of one of the allocation options</w:t>
      </w:r>
      <w:r w:rsidR="00E22995" w:rsidRPr="00C4141F">
        <w:rPr>
          <w:rFonts w:ascii="Times New Roman" w:hAnsi="Times New Roman" w:cs="Times New Roman"/>
        </w:rPr>
        <w:t xml:space="preserve">, specifically that </w:t>
      </w:r>
      <w:r w:rsidR="008B6B47" w:rsidRPr="00C4141F">
        <w:rPr>
          <w:rFonts w:ascii="Times New Roman" w:hAnsi="Times New Roman" w:cs="Times New Roman"/>
        </w:rPr>
        <w:t>the lower risk fund has a lower bound of 0 on its returns.</w:t>
      </w:r>
      <w:r w:rsidR="00D44FD0" w:rsidRPr="00C4141F">
        <w:rPr>
          <w:rFonts w:ascii="Times New Roman" w:hAnsi="Times New Roman" w:cs="Times New Roman"/>
        </w:rPr>
        <w:t xml:space="preserve"> </w:t>
      </w:r>
      <w:r w:rsidR="00EB5EAE" w:rsidRPr="00C4141F">
        <w:rPr>
          <w:rFonts w:ascii="Times New Roman" w:hAnsi="Times New Roman" w:cs="Times New Roman"/>
        </w:rPr>
        <w:t xml:space="preserve">My hypothesis implies </w:t>
      </w:r>
      <w:r w:rsidR="00D3284B" w:rsidRPr="00C4141F">
        <w:rPr>
          <w:rFonts w:ascii="Times New Roman" w:hAnsi="Times New Roman" w:cs="Times New Roman"/>
        </w:rPr>
        <w:t xml:space="preserve">that the </w:t>
      </w:r>
      <w:r w:rsidR="005D039F" w:rsidRPr="00C4141F">
        <w:rPr>
          <w:rFonts w:ascii="Times New Roman" w:hAnsi="Times New Roman" w:cs="Times New Roman"/>
        </w:rPr>
        <w:t>added knowledge of the lower bound on the lower risk fund will inhibit subjects from changing their allocations over the course of the study</w:t>
      </w:r>
      <w:r w:rsidR="00020B75" w:rsidRPr="00C4141F">
        <w:rPr>
          <w:rFonts w:ascii="Times New Roman" w:hAnsi="Times New Roman" w:cs="Times New Roman"/>
        </w:rPr>
        <w:t xml:space="preserve"> when</w:t>
      </w:r>
      <w:r w:rsidR="005D039F" w:rsidRPr="00C4141F">
        <w:rPr>
          <w:rFonts w:ascii="Times New Roman" w:hAnsi="Times New Roman" w:cs="Times New Roman"/>
        </w:rPr>
        <w:t xml:space="preserve"> allocations hold for </w:t>
      </w:r>
      <w:r w:rsidR="00FF00D5" w:rsidRPr="00C4141F">
        <w:rPr>
          <w:rFonts w:ascii="Times New Roman" w:hAnsi="Times New Roman" w:cs="Times New Roman"/>
        </w:rPr>
        <w:t>more</w:t>
      </w:r>
      <w:r w:rsidR="00F7067A" w:rsidRPr="00C4141F">
        <w:rPr>
          <w:rFonts w:ascii="Times New Roman" w:hAnsi="Times New Roman" w:cs="Times New Roman"/>
        </w:rPr>
        <w:t xml:space="preserve"> </w:t>
      </w:r>
      <w:r w:rsidR="00FF00D5" w:rsidRPr="00C4141F">
        <w:rPr>
          <w:rFonts w:ascii="Times New Roman" w:hAnsi="Times New Roman" w:cs="Times New Roman"/>
        </w:rPr>
        <w:t>periods</w:t>
      </w:r>
      <w:r w:rsidR="005D039F" w:rsidRPr="00C4141F">
        <w:rPr>
          <w:rFonts w:ascii="Times New Roman" w:hAnsi="Times New Roman" w:cs="Times New Roman"/>
        </w:rPr>
        <w:t xml:space="preserve">. </w:t>
      </w:r>
      <w:r w:rsidR="00EB5EAE" w:rsidRPr="00C4141F">
        <w:rPr>
          <w:rFonts w:ascii="Times New Roman" w:hAnsi="Times New Roman" w:cs="Times New Roman"/>
        </w:rPr>
        <w:t xml:space="preserve">My hypothesis also implies </w:t>
      </w:r>
      <w:r w:rsidR="005D039F" w:rsidRPr="00C4141F">
        <w:rPr>
          <w:rFonts w:ascii="Times New Roman" w:hAnsi="Times New Roman" w:cs="Times New Roman"/>
        </w:rPr>
        <w:t>that provision of the information about the lower bound should have no effect on subjects whose allocations hold for only one period.</w:t>
      </w:r>
      <w:r w:rsidR="00536309" w:rsidRPr="00C4141F">
        <w:rPr>
          <w:rFonts w:ascii="Times New Roman" w:hAnsi="Times New Roman" w:cs="Times New Roman"/>
        </w:rPr>
        <w:t xml:space="preserve"> </w:t>
      </w:r>
      <w:r w:rsidR="0021737C" w:rsidRPr="00C4141F">
        <w:rPr>
          <w:rFonts w:ascii="Times New Roman" w:hAnsi="Times New Roman" w:cs="Times New Roman"/>
        </w:rPr>
        <w:t>The latter implication follows from the fact that subjects who</w:t>
      </w:r>
      <w:r w:rsidR="000B0735" w:rsidRPr="00C4141F">
        <w:rPr>
          <w:rFonts w:ascii="Times New Roman" w:hAnsi="Times New Roman" w:cs="Times New Roman"/>
        </w:rPr>
        <w:t xml:space="preserve">se allocations held for only one period likely knew about the lower bound on the less risky asset. </w:t>
      </w:r>
    </w:p>
    <w:p w14:paraId="63F8928F" w14:textId="50DACB61" w:rsidR="00E22995" w:rsidRPr="00C4141F" w:rsidRDefault="002918BD"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w:t>
      </w:r>
      <w:r w:rsidR="00E22995" w:rsidRPr="00C4141F">
        <w:rPr>
          <w:rFonts w:ascii="Times New Roman" w:hAnsi="Times New Roman" w:cs="Times New Roman"/>
        </w:rPr>
        <w:t xml:space="preserve">results of </w:t>
      </w:r>
      <w:r w:rsidR="00DF4719" w:rsidRPr="00C4141F">
        <w:rPr>
          <w:rFonts w:ascii="Times New Roman" w:hAnsi="Times New Roman" w:cs="Times New Roman"/>
        </w:rPr>
        <w:t>my</w:t>
      </w:r>
      <w:r w:rsidR="00E22995" w:rsidRPr="00C4141F">
        <w:rPr>
          <w:rFonts w:ascii="Times New Roman" w:hAnsi="Times New Roman" w:cs="Times New Roman"/>
        </w:rPr>
        <w:t xml:space="preserve"> replication are consistent with the results of Thaler et al. (1997) and</w:t>
      </w:r>
      <w:r w:rsidRPr="00C4141F">
        <w:rPr>
          <w:rFonts w:ascii="Times New Roman" w:hAnsi="Times New Roman" w:cs="Times New Roman"/>
        </w:rPr>
        <w:t xml:space="preserve">, the estimates </w:t>
      </w:r>
      <w:r w:rsidR="00E22995" w:rsidRPr="00C4141F">
        <w:rPr>
          <w:rFonts w:ascii="Times New Roman" w:hAnsi="Times New Roman" w:cs="Times New Roman"/>
        </w:rPr>
        <w:t xml:space="preserve">are statistically significant even when clustering at the subject level. </w:t>
      </w:r>
      <w:r w:rsidR="00C70276" w:rsidRPr="00C4141F">
        <w:rPr>
          <w:rFonts w:ascii="Times New Roman" w:hAnsi="Times New Roman" w:cs="Times New Roman"/>
        </w:rPr>
        <w:t>Additionally, I find that subjects in the highest frequency treatment group, after being informed of the lower bound on the returns of the low</w:t>
      </w:r>
      <w:r w:rsidR="003C62B2" w:rsidRPr="00C4141F">
        <w:rPr>
          <w:rFonts w:ascii="Times New Roman" w:hAnsi="Times New Roman" w:cs="Times New Roman"/>
        </w:rPr>
        <w:t>-</w:t>
      </w:r>
      <w:r w:rsidR="00C70276" w:rsidRPr="00C4141F">
        <w:rPr>
          <w:rFonts w:ascii="Times New Roman" w:hAnsi="Times New Roman" w:cs="Times New Roman"/>
        </w:rPr>
        <w:t xml:space="preserve">risk fund, </w:t>
      </w:r>
      <w:r w:rsidR="00DF3D25" w:rsidRPr="00C4141F">
        <w:rPr>
          <w:rFonts w:ascii="Times New Roman" w:hAnsi="Times New Roman" w:cs="Times New Roman"/>
        </w:rPr>
        <w:t xml:space="preserve">allocated more </w:t>
      </w:r>
      <w:r w:rsidR="00C70276" w:rsidRPr="00C4141F">
        <w:rPr>
          <w:rFonts w:ascii="Times New Roman" w:hAnsi="Times New Roman" w:cs="Times New Roman"/>
        </w:rPr>
        <w:t xml:space="preserve">in their initial allocations </w:t>
      </w:r>
      <w:r w:rsidR="00DF3D25" w:rsidRPr="00C4141F">
        <w:rPr>
          <w:rFonts w:ascii="Times New Roman" w:hAnsi="Times New Roman" w:cs="Times New Roman"/>
        </w:rPr>
        <w:t xml:space="preserve">compared to subjects who were not provided information, </w:t>
      </w:r>
      <w:r w:rsidR="00C70276" w:rsidRPr="00C4141F">
        <w:rPr>
          <w:rFonts w:ascii="Times New Roman" w:hAnsi="Times New Roman" w:cs="Times New Roman"/>
        </w:rPr>
        <w:t>while subjects in the lower frequency treatment group did not</w:t>
      </w:r>
      <w:r w:rsidR="00DF3D25" w:rsidRPr="00C4141F">
        <w:rPr>
          <w:rFonts w:ascii="Times New Roman" w:hAnsi="Times New Roman" w:cs="Times New Roman"/>
        </w:rPr>
        <w:t xml:space="preserve"> increase their</w:t>
      </w:r>
      <w:r w:rsidR="0005106A" w:rsidRPr="00C4141F">
        <w:rPr>
          <w:rFonts w:ascii="Times New Roman" w:hAnsi="Times New Roman" w:cs="Times New Roman"/>
        </w:rPr>
        <w:t xml:space="preserve"> initial</w:t>
      </w:r>
      <w:r w:rsidR="00DF3D25" w:rsidRPr="00C4141F">
        <w:rPr>
          <w:rFonts w:ascii="Times New Roman" w:hAnsi="Times New Roman" w:cs="Times New Roman"/>
        </w:rPr>
        <w:t xml:space="preserve"> allocations to the </w:t>
      </w:r>
      <w:r w:rsidR="007C2397" w:rsidRPr="00C4141F">
        <w:rPr>
          <w:rFonts w:ascii="Times New Roman" w:hAnsi="Times New Roman" w:cs="Times New Roman"/>
        </w:rPr>
        <w:t>low</w:t>
      </w:r>
      <w:r w:rsidR="00DF3D25" w:rsidRPr="00C4141F">
        <w:rPr>
          <w:rFonts w:ascii="Times New Roman" w:hAnsi="Times New Roman" w:cs="Times New Roman"/>
        </w:rPr>
        <w:t>-risk fund</w:t>
      </w:r>
      <w:r w:rsidR="0005106A" w:rsidRPr="00C4141F">
        <w:rPr>
          <w:rFonts w:ascii="Times New Roman" w:hAnsi="Times New Roman" w:cs="Times New Roman"/>
        </w:rPr>
        <w:t xml:space="preserve"> compared to subjects who were not provided information</w:t>
      </w:r>
      <w:r w:rsidR="00C70276" w:rsidRPr="00C4141F">
        <w:rPr>
          <w:rFonts w:ascii="Times New Roman" w:hAnsi="Times New Roman" w:cs="Times New Roman"/>
        </w:rPr>
        <w:t>.</w:t>
      </w:r>
      <w:r w:rsidR="00E21E0D" w:rsidRPr="00C4141F">
        <w:rPr>
          <w:rFonts w:ascii="Times New Roman" w:hAnsi="Times New Roman" w:cs="Times New Roman"/>
        </w:rPr>
        <w:t xml:space="preserve"> For subjects in lower frequency treatment groups who were provided information, I am unable to ascertain whether their updating behavior differed from their higher frequency counterparts. </w:t>
      </w:r>
      <w:r w:rsidR="007C6269" w:rsidRPr="00C4141F">
        <w:rPr>
          <w:rFonts w:ascii="Times New Roman" w:hAnsi="Times New Roman" w:cs="Times New Roman"/>
        </w:rPr>
        <w:t>Finally</w:t>
      </w:r>
      <w:r w:rsidR="00C70276" w:rsidRPr="00C4141F">
        <w:rPr>
          <w:rFonts w:ascii="Times New Roman" w:hAnsi="Times New Roman" w:cs="Times New Roman"/>
        </w:rPr>
        <w:t>,</w:t>
      </w:r>
      <w:r w:rsidR="009D4104" w:rsidRPr="00C4141F">
        <w:rPr>
          <w:rFonts w:ascii="Times New Roman" w:hAnsi="Times New Roman" w:cs="Times New Roman"/>
        </w:rPr>
        <w:t xml:space="preserve"> </w:t>
      </w:r>
      <w:r w:rsidR="002A779C" w:rsidRPr="00C4141F">
        <w:rPr>
          <w:rFonts w:ascii="Times New Roman" w:hAnsi="Times New Roman" w:cs="Times New Roman"/>
        </w:rPr>
        <w:t xml:space="preserve">I </w:t>
      </w:r>
      <w:r w:rsidR="008B6B47" w:rsidRPr="00C4141F">
        <w:rPr>
          <w:rFonts w:ascii="Times New Roman" w:hAnsi="Times New Roman" w:cs="Times New Roman"/>
        </w:rPr>
        <w:t>find that the information provision to subjects in the highest frequency treatment group induces learning or updating behavior that was not found in either the original experiment conducted by Thaler et al. (1997)</w:t>
      </w:r>
      <w:r w:rsidR="001E341F" w:rsidRPr="00C4141F">
        <w:rPr>
          <w:rFonts w:ascii="Times New Roman" w:hAnsi="Times New Roman" w:cs="Times New Roman"/>
        </w:rPr>
        <w:t xml:space="preserve">. </w:t>
      </w:r>
      <w:r w:rsidR="00C70276" w:rsidRPr="00C4141F">
        <w:rPr>
          <w:rFonts w:ascii="Times New Roman" w:hAnsi="Times New Roman" w:cs="Times New Roman"/>
        </w:rPr>
        <w:t>This is a surprising result</w:t>
      </w:r>
      <w:r w:rsidR="001E341F" w:rsidRPr="00C4141F">
        <w:rPr>
          <w:rFonts w:ascii="Times New Roman" w:hAnsi="Times New Roman" w:cs="Times New Roman"/>
        </w:rPr>
        <w:t xml:space="preserve"> as it </w:t>
      </w:r>
      <w:r w:rsidR="00C70276" w:rsidRPr="00C4141F">
        <w:rPr>
          <w:rFonts w:ascii="Times New Roman" w:hAnsi="Times New Roman" w:cs="Times New Roman"/>
        </w:rPr>
        <w:t xml:space="preserve">directly </w:t>
      </w:r>
      <w:r w:rsidR="001E341F" w:rsidRPr="00C4141F">
        <w:rPr>
          <w:rFonts w:ascii="Times New Roman" w:hAnsi="Times New Roman" w:cs="Times New Roman"/>
        </w:rPr>
        <w:t>contradicts</w:t>
      </w:r>
      <w:r w:rsidR="00C70276" w:rsidRPr="00C4141F">
        <w:rPr>
          <w:rFonts w:ascii="Times New Roman" w:hAnsi="Times New Roman" w:cs="Times New Roman"/>
        </w:rPr>
        <w:t xml:space="preserve"> the </w:t>
      </w:r>
      <w:r w:rsidR="001E341F" w:rsidRPr="00C4141F">
        <w:rPr>
          <w:rFonts w:ascii="Times New Roman" w:hAnsi="Times New Roman" w:cs="Times New Roman"/>
        </w:rPr>
        <w:t xml:space="preserve">implications of </w:t>
      </w:r>
      <w:r w:rsidR="00903F19" w:rsidRPr="00C4141F">
        <w:rPr>
          <w:rFonts w:ascii="Times New Roman" w:hAnsi="Times New Roman" w:cs="Times New Roman"/>
        </w:rPr>
        <w:t xml:space="preserve">my </w:t>
      </w:r>
      <w:r w:rsidR="00C70276" w:rsidRPr="00C4141F">
        <w:rPr>
          <w:rFonts w:ascii="Times New Roman" w:hAnsi="Times New Roman" w:cs="Times New Roman"/>
        </w:rPr>
        <w:t>hypothesis, and</w:t>
      </w:r>
      <w:r w:rsidR="001E341F" w:rsidRPr="00C4141F">
        <w:rPr>
          <w:rFonts w:ascii="Times New Roman" w:hAnsi="Times New Roman" w:cs="Times New Roman"/>
        </w:rPr>
        <w:t xml:space="preserve"> </w:t>
      </w:r>
      <w:r w:rsidR="00903F19" w:rsidRPr="00C4141F">
        <w:rPr>
          <w:rFonts w:ascii="Times New Roman" w:hAnsi="Times New Roman" w:cs="Times New Roman"/>
        </w:rPr>
        <w:t>these</w:t>
      </w:r>
      <w:r w:rsidR="001E341F" w:rsidRPr="00C4141F">
        <w:rPr>
          <w:rFonts w:ascii="Times New Roman" w:hAnsi="Times New Roman" w:cs="Times New Roman"/>
        </w:rPr>
        <w:t xml:space="preserve"> </w:t>
      </w:r>
      <w:r w:rsidR="00903F19" w:rsidRPr="00C4141F">
        <w:rPr>
          <w:rFonts w:ascii="Times New Roman" w:hAnsi="Times New Roman" w:cs="Times New Roman"/>
        </w:rPr>
        <w:t>findings</w:t>
      </w:r>
      <w:r w:rsidR="00C70276" w:rsidRPr="00C4141F">
        <w:rPr>
          <w:rFonts w:ascii="Times New Roman" w:hAnsi="Times New Roman" w:cs="Times New Roman"/>
        </w:rPr>
        <w:t xml:space="preserve"> warrants more exploration.</w:t>
      </w:r>
      <w:r w:rsidR="00E21E0D" w:rsidRPr="00C4141F">
        <w:rPr>
          <w:rFonts w:ascii="Times New Roman" w:hAnsi="Times New Roman" w:cs="Times New Roman"/>
        </w:rPr>
        <w:t xml:space="preserve"> </w:t>
      </w:r>
    </w:p>
    <w:p w14:paraId="1D35FF8B" w14:textId="0C2E1D6F" w:rsidR="002D0A03" w:rsidRPr="00C4141F" w:rsidRDefault="00235865" w:rsidP="00194B2A">
      <w:pPr>
        <w:spacing w:after="100" w:afterAutospacing="1"/>
        <w:jc w:val="both"/>
        <w:rPr>
          <w:rFonts w:ascii="Times New Roman" w:hAnsi="Times New Roman" w:cs="Times New Roman"/>
        </w:rPr>
      </w:pPr>
      <w:r w:rsidRPr="00C4141F">
        <w:rPr>
          <w:rFonts w:ascii="Times New Roman" w:hAnsi="Times New Roman" w:cs="Times New Roman"/>
        </w:rPr>
        <w:t xml:space="preserve">Section I consists of a survey of the </w:t>
      </w:r>
      <w:r w:rsidR="00812973" w:rsidRPr="00C4141F">
        <w:rPr>
          <w:rFonts w:ascii="Times New Roman" w:hAnsi="Times New Roman" w:cs="Times New Roman"/>
        </w:rPr>
        <w:t>prior</w:t>
      </w:r>
      <w:r w:rsidRPr="00C4141F">
        <w:rPr>
          <w:rFonts w:ascii="Times New Roman" w:hAnsi="Times New Roman" w:cs="Times New Roman"/>
        </w:rPr>
        <w:t xml:space="preserve"> literature, both experimental and theoretical, to the experiment performed. Section II consists of a</w:t>
      </w:r>
      <w:r w:rsidR="004630ED" w:rsidRPr="00C4141F">
        <w:rPr>
          <w:rFonts w:ascii="Times New Roman" w:hAnsi="Times New Roman" w:cs="Times New Roman"/>
        </w:rPr>
        <w:t xml:space="preserve"> presentation of </w:t>
      </w:r>
      <w:r w:rsidR="00535881" w:rsidRPr="00C4141F">
        <w:rPr>
          <w:rFonts w:ascii="Times New Roman" w:hAnsi="Times New Roman" w:cs="Times New Roman"/>
        </w:rPr>
        <w:t>my own experimental design. Sections III and IV will report the results and discuss</w:t>
      </w:r>
      <w:r w:rsidR="00331B8D" w:rsidRPr="00C4141F">
        <w:rPr>
          <w:rFonts w:ascii="Times New Roman" w:hAnsi="Times New Roman" w:cs="Times New Roman"/>
        </w:rPr>
        <w:t xml:space="preserve"> applications of behavioral theory which have the possibility of explaining these findings</w:t>
      </w:r>
      <w:r w:rsidR="00535881" w:rsidRPr="00C4141F">
        <w:rPr>
          <w:rFonts w:ascii="Times New Roman" w:hAnsi="Times New Roman" w:cs="Times New Roman"/>
        </w:rPr>
        <w:t>, respectively.</w:t>
      </w:r>
      <w:r w:rsidR="00E3110E" w:rsidRPr="00C4141F">
        <w:rPr>
          <w:rFonts w:ascii="Times New Roman" w:hAnsi="Times New Roman" w:cs="Times New Roman"/>
        </w:rPr>
        <w:t xml:space="preserve"> </w:t>
      </w:r>
    </w:p>
    <w:p w14:paraId="1D306029" w14:textId="34A345FF" w:rsidR="00812AEF" w:rsidRPr="001B34DE" w:rsidRDefault="00530DA6" w:rsidP="00194B2A">
      <w:pPr>
        <w:spacing w:after="100" w:afterAutospacing="1"/>
        <w:jc w:val="both"/>
        <w:rPr>
          <w:rFonts w:ascii="Times New Roman" w:hAnsi="Times New Roman" w:cs="Times New Roman"/>
          <w:sz w:val="28"/>
          <w:szCs w:val="28"/>
        </w:rPr>
      </w:pPr>
      <w:r w:rsidRPr="001B34DE">
        <w:rPr>
          <w:rFonts w:ascii="Times New Roman" w:hAnsi="Times New Roman" w:cs="Times New Roman"/>
          <w:b/>
          <w:bCs/>
          <w:sz w:val="28"/>
          <w:szCs w:val="28"/>
        </w:rPr>
        <w:t xml:space="preserve">I. </w:t>
      </w:r>
      <w:r w:rsidR="00812973" w:rsidRPr="001B34DE">
        <w:rPr>
          <w:rFonts w:ascii="Times New Roman" w:hAnsi="Times New Roman" w:cs="Times New Roman"/>
          <w:b/>
          <w:bCs/>
          <w:sz w:val="28"/>
          <w:szCs w:val="28"/>
        </w:rPr>
        <w:t>Prior</w:t>
      </w:r>
      <w:r w:rsidR="00753AC4" w:rsidRPr="001B34DE">
        <w:rPr>
          <w:rFonts w:ascii="Times New Roman" w:hAnsi="Times New Roman" w:cs="Times New Roman"/>
          <w:b/>
          <w:bCs/>
          <w:sz w:val="28"/>
          <w:szCs w:val="28"/>
        </w:rPr>
        <w:t xml:space="preserve"> Literature</w:t>
      </w:r>
    </w:p>
    <w:p w14:paraId="6936E21D" w14:textId="73382AD0" w:rsidR="00805861" w:rsidRPr="00C4141F" w:rsidRDefault="00B63D10" w:rsidP="00194B2A">
      <w:pPr>
        <w:spacing w:after="100" w:afterAutospacing="1"/>
        <w:jc w:val="both"/>
        <w:rPr>
          <w:rFonts w:ascii="Times New Roman" w:hAnsi="Times New Roman" w:cs="Times New Roman"/>
        </w:rPr>
      </w:pPr>
      <w:r w:rsidRPr="00C4141F">
        <w:rPr>
          <w:rFonts w:ascii="Times New Roman" w:hAnsi="Times New Roman" w:cs="Times New Roman"/>
        </w:rPr>
        <w:t>The lab experiment conducted</w:t>
      </w:r>
      <w:r w:rsidR="00C11DFB" w:rsidRPr="00C4141F">
        <w:rPr>
          <w:rFonts w:ascii="Times New Roman" w:hAnsi="Times New Roman" w:cs="Times New Roman"/>
        </w:rPr>
        <w:t xml:space="preserve"> by</w:t>
      </w:r>
      <w:r w:rsidRPr="00C4141F">
        <w:rPr>
          <w:rFonts w:ascii="Times New Roman" w:hAnsi="Times New Roman" w:cs="Times New Roman"/>
        </w:rPr>
        <w:t xml:space="preserve"> Thaler et al. (1997) supports the hypothes</w:t>
      </w:r>
      <w:r w:rsidR="00477BEF" w:rsidRPr="00C4141F">
        <w:rPr>
          <w:rFonts w:ascii="Times New Roman" w:hAnsi="Times New Roman" w:cs="Times New Roman"/>
        </w:rPr>
        <w:t xml:space="preserve">is that Myopic Loss Aversion </w:t>
      </w:r>
      <w:r w:rsidRPr="00C4141F">
        <w:rPr>
          <w:rFonts w:ascii="Times New Roman" w:hAnsi="Times New Roman" w:cs="Times New Roman"/>
        </w:rPr>
        <w:t>is a possible explanation for the Equity Premium Puzzle</w:t>
      </w:r>
      <w:r w:rsidR="00180D37" w:rsidRPr="00C4141F">
        <w:rPr>
          <w:rFonts w:ascii="Times New Roman" w:hAnsi="Times New Roman" w:cs="Times New Roman"/>
        </w:rPr>
        <w:t>.</w:t>
      </w:r>
      <w:r w:rsidR="00477BEF" w:rsidRPr="00C4141F">
        <w:rPr>
          <w:rFonts w:ascii="Times New Roman" w:hAnsi="Times New Roman" w:cs="Times New Roman"/>
        </w:rPr>
        <w:t xml:space="preserve"> The Equity Premium puzzle, as discussed previously, was first identified by Mehra and Prescott (1985). Theory of Myopic Loss Aversion, as described by </w:t>
      </w:r>
      <w:proofErr w:type="spellStart"/>
      <w:r w:rsidR="00477BEF" w:rsidRPr="00C4141F">
        <w:rPr>
          <w:rFonts w:ascii="Times New Roman" w:hAnsi="Times New Roman" w:cs="Times New Roman"/>
        </w:rPr>
        <w:t>Bernatzi</w:t>
      </w:r>
      <w:proofErr w:type="spellEnd"/>
      <w:r w:rsidR="00477BEF" w:rsidRPr="00C4141F">
        <w:rPr>
          <w:rFonts w:ascii="Times New Roman" w:hAnsi="Times New Roman" w:cs="Times New Roman"/>
        </w:rPr>
        <w:t xml:space="preserve"> and Thaler (1995)</w:t>
      </w:r>
      <w:r w:rsidR="00004B41" w:rsidRPr="00C4141F">
        <w:rPr>
          <w:rFonts w:ascii="Times New Roman" w:hAnsi="Times New Roman" w:cs="Times New Roman"/>
        </w:rPr>
        <w:t>,</w:t>
      </w:r>
      <w:r w:rsidR="00477BEF" w:rsidRPr="00C4141F">
        <w:rPr>
          <w:rFonts w:ascii="Times New Roman" w:hAnsi="Times New Roman" w:cs="Times New Roman"/>
        </w:rPr>
        <w:t xml:space="preserve"> draws heavily on the concept of loss aversion and mental accounting</w:t>
      </w:r>
      <w:r w:rsidR="00004B41" w:rsidRPr="00C4141F">
        <w:rPr>
          <w:rFonts w:ascii="Times New Roman" w:hAnsi="Times New Roman" w:cs="Times New Roman"/>
        </w:rPr>
        <w:t xml:space="preserve">. The Theory of Myopic Loss Aversion proposes that when an agent </w:t>
      </w:r>
      <w:r w:rsidR="00004B41" w:rsidRPr="00C4141F">
        <w:rPr>
          <w:rFonts w:ascii="Times New Roman" w:hAnsi="Times New Roman" w:cs="Times New Roman"/>
        </w:rPr>
        <w:lastRenderedPageBreak/>
        <w:t xml:space="preserve">engages in multiple gambles or allocation decisions, the way in which that </w:t>
      </w:r>
      <w:r w:rsidR="00985B2F" w:rsidRPr="00C4141F">
        <w:rPr>
          <w:rFonts w:ascii="Times New Roman" w:hAnsi="Times New Roman" w:cs="Times New Roman"/>
        </w:rPr>
        <w:t xml:space="preserve">the </w:t>
      </w:r>
      <w:r w:rsidR="00004B41" w:rsidRPr="00C4141F">
        <w:rPr>
          <w:rFonts w:ascii="Times New Roman" w:hAnsi="Times New Roman" w:cs="Times New Roman"/>
        </w:rPr>
        <w:t>agent aggregates th</w:t>
      </w:r>
      <w:r w:rsidR="00985B2F" w:rsidRPr="00C4141F">
        <w:rPr>
          <w:rFonts w:ascii="Times New Roman" w:hAnsi="Times New Roman" w:cs="Times New Roman"/>
        </w:rPr>
        <w:t>e results from those decisions</w:t>
      </w:r>
      <w:r w:rsidR="00004B41" w:rsidRPr="00C4141F">
        <w:rPr>
          <w:rFonts w:ascii="Times New Roman" w:hAnsi="Times New Roman" w:cs="Times New Roman"/>
        </w:rPr>
        <w:t xml:space="preserve"> </w:t>
      </w:r>
      <w:r w:rsidR="00385893" w:rsidRPr="00C4141F">
        <w:rPr>
          <w:rFonts w:ascii="Times New Roman" w:hAnsi="Times New Roman" w:cs="Times New Roman"/>
        </w:rPr>
        <w:t xml:space="preserve">matters. </w:t>
      </w:r>
      <w:r w:rsidR="00EB20A4" w:rsidRPr="00C4141F">
        <w:rPr>
          <w:rFonts w:ascii="Times New Roman" w:hAnsi="Times New Roman" w:cs="Times New Roman"/>
        </w:rPr>
        <w:t>The mechanism through which this aggregation may affect how an agent perceives a gamble is loss aversion. Loss aversion is the tendency for people to weigh losses more heavily than they do gains</w:t>
      </w:r>
      <w:r w:rsidR="00B06B5C" w:rsidRPr="00C4141F">
        <w:rPr>
          <w:rFonts w:ascii="Times New Roman" w:hAnsi="Times New Roman" w:cs="Times New Roman"/>
        </w:rPr>
        <w:t xml:space="preserve">, and the </w:t>
      </w:r>
      <w:r w:rsidR="00004B41" w:rsidRPr="00C4141F">
        <w:rPr>
          <w:rFonts w:ascii="Times New Roman" w:hAnsi="Times New Roman" w:cs="Times New Roman"/>
        </w:rPr>
        <w:t xml:space="preserve">typical estimate of the coefficient of loss aversion is </w:t>
      </w:r>
      <w:r w:rsidR="00C06403" w:rsidRPr="00C4141F">
        <w:rPr>
          <w:rFonts w:ascii="Times New Roman" w:hAnsi="Times New Roman" w:cs="Times New Roman"/>
        </w:rPr>
        <w:t>2 to 2.5</w:t>
      </w:r>
      <w:r w:rsidR="00AF18EA" w:rsidRPr="00C4141F">
        <w:rPr>
          <w:rFonts w:ascii="Times New Roman" w:hAnsi="Times New Roman" w:cs="Times New Roman"/>
        </w:rPr>
        <w:t xml:space="preserve">, as noted in </w:t>
      </w:r>
      <w:r w:rsidR="004B6229" w:rsidRPr="00C4141F">
        <w:rPr>
          <w:rFonts w:ascii="Times New Roman" w:hAnsi="Times New Roman" w:cs="Times New Roman"/>
        </w:rPr>
        <w:t>Tversky and Kahneman (1992)</w:t>
      </w:r>
      <w:r w:rsidR="00004B41" w:rsidRPr="00C4141F">
        <w:rPr>
          <w:rFonts w:ascii="Times New Roman" w:hAnsi="Times New Roman" w:cs="Times New Roman"/>
        </w:rPr>
        <w:t>.</w:t>
      </w:r>
      <w:r w:rsidR="00C06403" w:rsidRPr="00C4141F">
        <w:rPr>
          <w:rFonts w:ascii="Times New Roman" w:hAnsi="Times New Roman" w:cs="Times New Roman"/>
        </w:rPr>
        <w:t xml:space="preserve"> I will use 2.5 as the coefficient of loss aversion for this discussion, as both </w:t>
      </w:r>
      <w:proofErr w:type="spellStart"/>
      <w:r w:rsidR="00C06403" w:rsidRPr="00C4141F">
        <w:rPr>
          <w:rFonts w:ascii="Times New Roman" w:hAnsi="Times New Roman" w:cs="Times New Roman"/>
        </w:rPr>
        <w:t>Bernatzi</w:t>
      </w:r>
      <w:proofErr w:type="spellEnd"/>
      <w:r w:rsidR="00C06403" w:rsidRPr="00C4141F">
        <w:rPr>
          <w:rFonts w:ascii="Times New Roman" w:hAnsi="Times New Roman" w:cs="Times New Roman"/>
        </w:rPr>
        <w:t xml:space="preserve"> </w:t>
      </w:r>
      <w:r w:rsidR="004C6572">
        <w:rPr>
          <w:rFonts w:ascii="Times New Roman" w:hAnsi="Times New Roman" w:cs="Times New Roman"/>
        </w:rPr>
        <w:t xml:space="preserve">and Thaler </w:t>
      </w:r>
      <w:r w:rsidR="00C06403" w:rsidRPr="00C4141F">
        <w:rPr>
          <w:rFonts w:ascii="Times New Roman" w:hAnsi="Times New Roman" w:cs="Times New Roman"/>
        </w:rPr>
        <w:t>(1999) and Thaler et al. (1997) did</w:t>
      </w:r>
      <w:r w:rsidR="000964A2" w:rsidRPr="00C4141F">
        <w:rPr>
          <w:rFonts w:ascii="Times New Roman" w:hAnsi="Times New Roman" w:cs="Times New Roman"/>
        </w:rPr>
        <w:t>.</w:t>
      </w:r>
      <w:r w:rsidR="00C06403" w:rsidRPr="00C4141F">
        <w:rPr>
          <w:rFonts w:ascii="Times New Roman" w:hAnsi="Times New Roman" w:cs="Times New Roman"/>
        </w:rPr>
        <w:t xml:space="preserve"> I</w:t>
      </w:r>
      <w:r w:rsidR="00B06B5C" w:rsidRPr="00C4141F">
        <w:rPr>
          <w:rFonts w:ascii="Times New Roman" w:hAnsi="Times New Roman" w:cs="Times New Roman"/>
        </w:rPr>
        <w:t xml:space="preserve">f an agent exhibits loss aversion, assuming linearity of utility, they </w:t>
      </w:r>
      <w:r w:rsidR="00C06403" w:rsidRPr="00C4141F">
        <w:rPr>
          <w:rFonts w:ascii="Times New Roman" w:hAnsi="Times New Roman" w:cs="Times New Roman"/>
        </w:rPr>
        <w:t>might</w:t>
      </w:r>
      <w:r w:rsidR="00B06B5C" w:rsidRPr="00C4141F">
        <w:rPr>
          <w:rFonts w:ascii="Times New Roman" w:hAnsi="Times New Roman" w:cs="Times New Roman"/>
        </w:rPr>
        <w:t xml:space="preserve"> have the following utility function:</w:t>
      </w:r>
    </w:p>
    <w:p w14:paraId="6AA8127F" w14:textId="3E05418C" w:rsidR="00B06B5C" w:rsidRPr="001B34DE" w:rsidRDefault="00805861" w:rsidP="00194B2A">
      <w:pPr>
        <w:spacing w:after="100" w:afterAutospacing="1"/>
        <w:jc w:val="both"/>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x        if x&gt;0</m:t>
                  </m:r>
                </m:e>
                <m:e>
                  <m:r>
                    <w:rPr>
                      <w:rFonts w:ascii="Cambria Math" w:hAnsi="Cambria Math" w:cs="Times New Roman"/>
                    </w:rPr>
                    <m:t xml:space="preserve">  -λx            ≤0</m:t>
                  </m:r>
                </m:e>
              </m:eqArr>
            </m:e>
          </m:d>
        </m:oMath>
      </m:oMathPara>
    </w:p>
    <w:p w14:paraId="2C6B5CD9" w14:textId="7129D1EB" w:rsidR="00004B41" w:rsidRPr="00C4141F" w:rsidRDefault="00805861" w:rsidP="00194B2A">
      <w:pPr>
        <w:spacing w:after="100" w:afterAutospacing="1"/>
        <w:jc w:val="both"/>
        <w:rPr>
          <w:rFonts w:ascii="Times New Roman" w:eastAsiaTheme="minorEastAsia" w:hAnsi="Times New Roman" w:cs="Times New Roman"/>
        </w:rPr>
      </w:pPr>
      <w:r w:rsidRPr="00C4141F">
        <w:rPr>
          <w:rFonts w:ascii="Times New Roman" w:hAnsi="Times New Roman" w:cs="Times New Roman"/>
        </w:rPr>
        <w:t xml:space="preserve">In the utility function shown above, </w:t>
      </w:r>
      <m:oMath>
        <m:r>
          <w:rPr>
            <w:rFonts w:ascii="Cambria Math" w:hAnsi="Cambria Math" w:cs="Times New Roman"/>
          </w:rPr>
          <m:t>λ</m:t>
        </m:r>
      </m:oMath>
      <w:r w:rsidRPr="00C4141F">
        <w:rPr>
          <w:rFonts w:ascii="Times New Roman" w:eastAsiaTheme="minorEastAsia" w:hAnsi="Times New Roman" w:cs="Times New Roman"/>
        </w:rPr>
        <w:t xml:space="preserve"> is the coefficient of loss aversion. With this utility function, an agent would </w:t>
      </w:r>
      <w:r w:rsidR="00C06403" w:rsidRPr="00C4141F">
        <w:rPr>
          <w:rFonts w:ascii="Times New Roman" w:eastAsiaTheme="minorEastAsia" w:hAnsi="Times New Roman" w:cs="Times New Roman"/>
        </w:rPr>
        <w:t xml:space="preserve">not take a </w:t>
      </w:r>
      <w:r w:rsidR="00A561A4" w:rsidRPr="00C4141F">
        <w:rPr>
          <w:rFonts w:ascii="Times New Roman" w:eastAsiaTheme="minorEastAsia" w:hAnsi="Times New Roman" w:cs="Times New Roman"/>
        </w:rPr>
        <w:t xml:space="preserve">single-shot </w:t>
      </w:r>
      <w:r w:rsidR="00C06403" w:rsidRPr="00C4141F">
        <w:rPr>
          <w:rFonts w:ascii="Times New Roman" w:eastAsiaTheme="minorEastAsia" w:hAnsi="Times New Roman" w:cs="Times New Roman"/>
        </w:rPr>
        <w:t xml:space="preserve">gamble consisting of </w:t>
      </w:r>
      <w:r w:rsidRPr="00C4141F">
        <w:rPr>
          <w:rFonts w:ascii="Times New Roman" w:eastAsiaTheme="minorEastAsia" w:hAnsi="Times New Roman" w:cs="Times New Roman"/>
        </w:rPr>
        <w:t xml:space="preserve">a </w:t>
      </w:r>
      <w:r w:rsidR="00985B2F" w:rsidRPr="00C4141F">
        <w:rPr>
          <w:rFonts w:ascii="Times New Roman" w:eastAsiaTheme="minorEastAsia" w:hAnsi="Times New Roman" w:cs="Times New Roman"/>
        </w:rPr>
        <w:t xml:space="preserve">50% chance of a </w:t>
      </w:r>
      <w:r w:rsidRPr="00C4141F">
        <w:rPr>
          <w:rFonts w:ascii="Times New Roman" w:eastAsiaTheme="minorEastAsia" w:hAnsi="Times New Roman" w:cs="Times New Roman"/>
        </w:rPr>
        <w:t xml:space="preserve">gain of $200 and a </w:t>
      </w:r>
      <w:r w:rsidR="00985B2F" w:rsidRPr="00C4141F">
        <w:rPr>
          <w:rFonts w:ascii="Times New Roman" w:eastAsiaTheme="minorEastAsia" w:hAnsi="Times New Roman" w:cs="Times New Roman"/>
        </w:rPr>
        <w:t xml:space="preserve">50% chance of a </w:t>
      </w:r>
      <w:r w:rsidRPr="00C4141F">
        <w:rPr>
          <w:rFonts w:ascii="Times New Roman" w:eastAsiaTheme="minorEastAsia" w:hAnsi="Times New Roman" w:cs="Times New Roman"/>
        </w:rPr>
        <w:t xml:space="preserve">loss of $100. </w:t>
      </w:r>
      <w:r w:rsidR="00C06403" w:rsidRPr="00C4141F">
        <w:rPr>
          <w:rFonts w:ascii="Times New Roman" w:eastAsiaTheme="minorEastAsia" w:hAnsi="Times New Roman" w:cs="Times New Roman"/>
        </w:rPr>
        <w:t xml:space="preserve">This is consistent with the reluctance of Samuelson’s colleague in Samuelson (1963) to engage in the gamble. However, as </w:t>
      </w:r>
      <w:proofErr w:type="spellStart"/>
      <w:r w:rsidR="00C06403" w:rsidRPr="00C4141F">
        <w:rPr>
          <w:rFonts w:ascii="Times New Roman" w:eastAsiaTheme="minorEastAsia" w:hAnsi="Times New Roman" w:cs="Times New Roman"/>
        </w:rPr>
        <w:t>Bernatzi</w:t>
      </w:r>
      <w:proofErr w:type="spellEnd"/>
      <w:r w:rsidR="00C06403" w:rsidRPr="00C4141F">
        <w:rPr>
          <w:rFonts w:ascii="Times New Roman" w:eastAsiaTheme="minorEastAsia" w:hAnsi="Times New Roman" w:cs="Times New Roman"/>
        </w:rPr>
        <w:t xml:space="preserve"> (1999)</w:t>
      </w:r>
      <w:r w:rsidR="00DD20D3" w:rsidRPr="00C4141F">
        <w:rPr>
          <w:rFonts w:ascii="Times New Roman" w:eastAsiaTheme="minorEastAsia" w:hAnsi="Times New Roman" w:cs="Times New Roman"/>
        </w:rPr>
        <w:t xml:space="preserve"> notes, if </w:t>
      </w:r>
      <w:r w:rsidR="00A3156A" w:rsidRPr="00C4141F">
        <w:rPr>
          <w:rFonts w:ascii="Times New Roman" w:eastAsiaTheme="minorEastAsia" w:hAnsi="Times New Roman" w:cs="Times New Roman"/>
        </w:rPr>
        <w:t xml:space="preserve">one </w:t>
      </w:r>
      <w:r w:rsidR="00DD20D3" w:rsidRPr="00C4141F">
        <w:rPr>
          <w:rFonts w:ascii="Times New Roman" w:eastAsiaTheme="minorEastAsia" w:hAnsi="Times New Roman" w:cs="Times New Roman"/>
        </w:rPr>
        <w:t xml:space="preserve">considers the second version of Samuelson’s gamble, the version where this gamble is played 100 times, the chance of a loss in this gamble is less than half a percent. </w:t>
      </w:r>
      <w:r w:rsidR="00755B64" w:rsidRPr="00C4141F">
        <w:rPr>
          <w:rFonts w:ascii="Times New Roman" w:eastAsiaTheme="minorEastAsia" w:hAnsi="Times New Roman" w:cs="Times New Roman"/>
        </w:rPr>
        <w:t xml:space="preserve">Even without computation, </w:t>
      </w:r>
      <w:r w:rsidR="00903314" w:rsidRPr="00C4141F">
        <w:rPr>
          <w:rFonts w:ascii="Times New Roman" w:eastAsiaTheme="minorEastAsia" w:hAnsi="Times New Roman" w:cs="Times New Roman"/>
        </w:rPr>
        <w:t>using</w:t>
      </w:r>
      <w:r w:rsidR="00755B64" w:rsidRPr="00C4141F">
        <w:rPr>
          <w:rFonts w:ascii="Times New Roman" w:eastAsiaTheme="minorEastAsia" w:hAnsi="Times New Roman" w:cs="Times New Roman"/>
        </w:rPr>
        <w:t xml:space="preserve"> the above utility function, </w:t>
      </w:r>
      <w:r w:rsidR="00A561A4" w:rsidRPr="00C4141F">
        <w:rPr>
          <w:rFonts w:ascii="Times New Roman" w:eastAsiaTheme="minorEastAsia" w:hAnsi="Times New Roman" w:cs="Times New Roman"/>
        </w:rPr>
        <w:t xml:space="preserve">one can see </w:t>
      </w:r>
      <w:r w:rsidR="00755B64" w:rsidRPr="00C4141F">
        <w:rPr>
          <w:rFonts w:ascii="Times New Roman" w:eastAsiaTheme="minorEastAsia" w:hAnsi="Times New Roman" w:cs="Times New Roman"/>
        </w:rPr>
        <w:t>the choice of playing 100 times is associated with a positive expected utility</w:t>
      </w:r>
      <w:r w:rsidR="000964A2" w:rsidRPr="00C4141F">
        <w:rPr>
          <w:rFonts w:ascii="Times New Roman" w:eastAsiaTheme="minorEastAsia" w:hAnsi="Times New Roman" w:cs="Times New Roman"/>
        </w:rPr>
        <w:t>. The theory of Myopic Loss Aversion proposes that investors exhibit similar behavior to that of Samuelson’s colleague, and that, when investors are restricted to evaluating an aggregation of lotteries, they will be more willing to take risks.</w:t>
      </w:r>
    </w:p>
    <w:p w14:paraId="163D78F6" w14:textId="47C3C3AD" w:rsidR="007C2397" w:rsidRPr="00C4141F" w:rsidRDefault="00477BEF" w:rsidP="00194B2A">
      <w:pPr>
        <w:spacing w:after="100" w:afterAutospacing="1"/>
        <w:jc w:val="both"/>
        <w:rPr>
          <w:rFonts w:ascii="Times New Roman" w:hAnsi="Times New Roman" w:cs="Times New Roman"/>
        </w:rPr>
      </w:pPr>
      <w:r w:rsidRPr="00C4141F">
        <w:rPr>
          <w:rFonts w:ascii="Times New Roman" w:hAnsi="Times New Roman" w:cs="Times New Roman"/>
        </w:rPr>
        <w:t xml:space="preserve"> </w:t>
      </w:r>
      <w:r w:rsidR="00B63D10" w:rsidRPr="00C4141F">
        <w:rPr>
          <w:rFonts w:ascii="Times New Roman" w:hAnsi="Times New Roman" w:cs="Times New Roman"/>
        </w:rPr>
        <w:t xml:space="preserve">In the lab experiment conducted by Thaler et al. (1997), it was found that when subjects are forced to make allocation decisions between two assets over a longer time horizon, subjects, on average, choose to allocate a higher percentage of their funds to riskier assets. </w:t>
      </w:r>
      <w:r w:rsidR="00174687" w:rsidRPr="00C4141F">
        <w:rPr>
          <w:rFonts w:ascii="Times New Roman" w:hAnsi="Times New Roman" w:cs="Times New Roman"/>
        </w:rPr>
        <w:t>In other words, subjects were forced to commit to a gamble which involved a sum of mu</w:t>
      </w:r>
      <w:r w:rsidR="00E945EF" w:rsidRPr="00C4141F">
        <w:rPr>
          <w:rFonts w:ascii="Times New Roman" w:hAnsi="Times New Roman" w:cs="Times New Roman"/>
        </w:rPr>
        <w:t xml:space="preserve">ltiple realizations of a gamble which, individually, had positive expected value. </w:t>
      </w:r>
      <w:r w:rsidR="000262D2" w:rsidRPr="00C4141F">
        <w:rPr>
          <w:rFonts w:ascii="Times New Roman" w:hAnsi="Times New Roman" w:cs="Times New Roman"/>
        </w:rPr>
        <w:t>Subjects who were</w:t>
      </w:r>
      <w:r w:rsidR="00E945EF" w:rsidRPr="00C4141F">
        <w:rPr>
          <w:rFonts w:ascii="Times New Roman" w:hAnsi="Times New Roman" w:cs="Times New Roman"/>
        </w:rPr>
        <w:t xml:space="preserve"> forced to commit to multiple periods</w:t>
      </w:r>
      <w:r w:rsidR="000262D2" w:rsidRPr="00C4141F">
        <w:rPr>
          <w:rFonts w:ascii="Times New Roman" w:hAnsi="Times New Roman" w:cs="Times New Roman"/>
        </w:rPr>
        <w:t xml:space="preserve"> allocated more to the riskier option</w:t>
      </w:r>
      <w:r w:rsidR="00E945EF" w:rsidRPr="00C4141F">
        <w:rPr>
          <w:rFonts w:ascii="Times New Roman" w:hAnsi="Times New Roman" w:cs="Times New Roman"/>
        </w:rPr>
        <w:t xml:space="preserve">. </w:t>
      </w:r>
      <w:r w:rsidR="00180D37" w:rsidRPr="00C4141F">
        <w:rPr>
          <w:rFonts w:ascii="Times New Roman" w:hAnsi="Times New Roman" w:cs="Times New Roman"/>
        </w:rPr>
        <w:t xml:space="preserve">This is exactly what </w:t>
      </w:r>
      <w:proofErr w:type="spellStart"/>
      <w:r w:rsidR="00180D37" w:rsidRPr="00C4141F">
        <w:rPr>
          <w:rFonts w:ascii="Times New Roman" w:hAnsi="Times New Roman" w:cs="Times New Roman"/>
        </w:rPr>
        <w:t>Bernatzi</w:t>
      </w:r>
      <w:proofErr w:type="spellEnd"/>
      <w:r w:rsidR="00180D37" w:rsidRPr="00C4141F">
        <w:rPr>
          <w:rFonts w:ascii="Times New Roman" w:hAnsi="Times New Roman" w:cs="Times New Roman"/>
        </w:rPr>
        <w:t xml:space="preserve"> and Thaler (1995) predicted with their Theo</w:t>
      </w:r>
      <w:r w:rsidR="008F5D0C" w:rsidRPr="00C4141F">
        <w:rPr>
          <w:rFonts w:ascii="Times New Roman" w:hAnsi="Times New Roman" w:cs="Times New Roman"/>
        </w:rPr>
        <w:t xml:space="preserve">ry of Myopic Loss Aversion. </w:t>
      </w:r>
      <w:r w:rsidR="00B63D10" w:rsidRPr="00C4141F">
        <w:rPr>
          <w:rFonts w:ascii="Times New Roman" w:hAnsi="Times New Roman" w:cs="Times New Roman"/>
        </w:rPr>
        <w:t xml:space="preserve">This finding was also confirmed in </w:t>
      </w:r>
      <w:r w:rsidR="002652BD" w:rsidRPr="00C4141F">
        <w:rPr>
          <w:rFonts w:ascii="Times New Roman" w:hAnsi="Times New Roman" w:cs="Times New Roman"/>
        </w:rPr>
        <w:t>a</w:t>
      </w:r>
      <w:r w:rsidR="00B63D10" w:rsidRPr="00C4141F">
        <w:rPr>
          <w:rFonts w:ascii="Times New Roman" w:hAnsi="Times New Roman" w:cs="Times New Roman"/>
        </w:rPr>
        <w:t xml:space="preserve"> lab experiment, conducted separately, by Gneezy and Potters (1997).</w:t>
      </w:r>
      <w:r w:rsidR="002652BD" w:rsidRPr="00C4141F">
        <w:rPr>
          <w:rFonts w:ascii="Times New Roman" w:hAnsi="Times New Roman" w:cs="Times New Roman"/>
        </w:rPr>
        <w:t xml:space="preserve"> Gneezy and Potters (1997) found that when subjects engaged in gambles in which they had to allocate resources to multiple plays of that gamble, they showed a preference for the riskier allocation option. </w:t>
      </w:r>
      <w:r w:rsidR="00B63D10" w:rsidRPr="00C4141F">
        <w:rPr>
          <w:rFonts w:ascii="Times New Roman" w:hAnsi="Times New Roman" w:cs="Times New Roman"/>
        </w:rPr>
        <w:t xml:space="preserve"> This </w:t>
      </w:r>
      <w:r w:rsidR="002652BD" w:rsidRPr="00C4141F">
        <w:rPr>
          <w:rFonts w:ascii="Times New Roman" w:hAnsi="Times New Roman" w:cs="Times New Roman"/>
        </w:rPr>
        <w:t>preference for risk when investing for multiple periods</w:t>
      </w:r>
      <w:r w:rsidR="00B63D10" w:rsidRPr="00C4141F">
        <w:rPr>
          <w:rFonts w:ascii="Times New Roman" w:hAnsi="Times New Roman" w:cs="Times New Roman"/>
        </w:rPr>
        <w:t xml:space="preserve"> was further confirmed with professional traders in a field experiment by Haigh and List (2005). In fact, the findings in Haigh and List (2005) show that professional traders experience myopic loss aversion to an even greater </w:t>
      </w:r>
      <w:r w:rsidR="00B63D10" w:rsidRPr="00C4141F">
        <w:rPr>
          <w:rFonts w:ascii="Times New Roman" w:hAnsi="Times New Roman" w:cs="Times New Roman"/>
        </w:rPr>
        <w:lastRenderedPageBreak/>
        <w:t xml:space="preserve">degree than the </w:t>
      </w:r>
      <w:r w:rsidR="002652BD" w:rsidRPr="00C4141F">
        <w:rPr>
          <w:rFonts w:ascii="Times New Roman" w:hAnsi="Times New Roman" w:cs="Times New Roman"/>
        </w:rPr>
        <w:t xml:space="preserve">undergraduate </w:t>
      </w:r>
      <w:r w:rsidR="00B63D10" w:rsidRPr="00C4141F">
        <w:rPr>
          <w:rFonts w:ascii="Times New Roman" w:hAnsi="Times New Roman" w:cs="Times New Roman"/>
        </w:rPr>
        <w:t>subjects in the experiments by Gneezy and Potters (1997) and Thaler et al. (1997)</w:t>
      </w:r>
      <w:r w:rsidR="002652BD" w:rsidRPr="00C4141F">
        <w:rPr>
          <w:rFonts w:ascii="Times New Roman" w:hAnsi="Times New Roman" w:cs="Times New Roman"/>
        </w:rPr>
        <w:t>. T</w:t>
      </w:r>
      <w:r w:rsidR="00A03CF2" w:rsidRPr="00C4141F">
        <w:rPr>
          <w:rFonts w:ascii="Times New Roman" w:hAnsi="Times New Roman" w:cs="Times New Roman"/>
        </w:rPr>
        <w:t xml:space="preserve">he </w:t>
      </w:r>
      <w:r w:rsidR="00EF52A4" w:rsidRPr="00C4141F">
        <w:rPr>
          <w:rFonts w:ascii="Times New Roman" w:hAnsi="Times New Roman" w:cs="Times New Roman"/>
        </w:rPr>
        <w:t>increase in risk seeking behavior for</w:t>
      </w:r>
      <w:r w:rsidR="00A03CF2" w:rsidRPr="00C4141F">
        <w:rPr>
          <w:rFonts w:ascii="Times New Roman" w:hAnsi="Times New Roman" w:cs="Times New Roman"/>
        </w:rPr>
        <w:t xml:space="preserve"> </w:t>
      </w:r>
      <w:r w:rsidR="00EF52A4" w:rsidRPr="00C4141F">
        <w:rPr>
          <w:rFonts w:ascii="Times New Roman" w:hAnsi="Times New Roman" w:cs="Times New Roman"/>
        </w:rPr>
        <w:t>subjects making allocation decisions which hold for multiple periods, or plays of a game, has been confirmed in other studies as well</w:t>
      </w:r>
      <w:r w:rsidR="00A03CF2" w:rsidRPr="00C4141F">
        <w:rPr>
          <w:rFonts w:ascii="Times New Roman" w:hAnsi="Times New Roman" w:cs="Times New Roman"/>
        </w:rPr>
        <w:t xml:space="preserve"> (</w:t>
      </w:r>
      <w:proofErr w:type="spellStart"/>
      <w:r w:rsidR="00EF52A4" w:rsidRPr="00C4141F">
        <w:rPr>
          <w:rFonts w:ascii="Times New Roman" w:hAnsi="Times New Roman" w:cs="Times New Roman"/>
        </w:rPr>
        <w:t>e.g</w:t>
      </w:r>
      <w:proofErr w:type="spellEnd"/>
      <w:r w:rsidR="00A03CF2" w:rsidRPr="00C4141F">
        <w:rPr>
          <w:rFonts w:ascii="Times New Roman" w:hAnsi="Times New Roman" w:cs="Times New Roman"/>
        </w:rPr>
        <w:t xml:space="preserve"> Bellemare et al.</w:t>
      </w:r>
      <w:r w:rsidR="00553A89" w:rsidRPr="00C4141F">
        <w:rPr>
          <w:rFonts w:ascii="Times New Roman" w:hAnsi="Times New Roman" w:cs="Times New Roman"/>
        </w:rPr>
        <w:t xml:space="preserve"> </w:t>
      </w:r>
      <w:proofErr w:type="gramStart"/>
      <w:r w:rsidR="00553A89" w:rsidRPr="00C4141F">
        <w:rPr>
          <w:rFonts w:ascii="Times New Roman" w:hAnsi="Times New Roman" w:cs="Times New Roman"/>
        </w:rPr>
        <w:t>(</w:t>
      </w:r>
      <w:r w:rsidR="00A03CF2" w:rsidRPr="00C4141F">
        <w:rPr>
          <w:rFonts w:ascii="Times New Roman" w:hAnsi="Times New Roman" w:cs="Times New Roman"/>
        </w:rPr>
        <w:t xml:space="preserve"> 2005</w:t>
      </w:r>
      <w:proofErr w:type="gramEnd"/>
      <w:r w:rsidR="00553A89" w:rsidRPr="00C4141F">
        <w:rPr>
          <w:rFonts w:ascii="Times New Roman" w:hAnsi="Times New Roman" w:cs="Times New Roman"/>
        </w:rPr>
        <w:t>)</w:t>
      </w:r>
      <w:r w:rsidR="00A03CF2" w:rsidRPr="00C4141F">
        <w:rPr>
          <w:rFonts w:ascii="Times New Roman" w:hAnsi="Times New Roman" w:cs="Times New Roman"/>
        </w:rPr>
        <w:t>)</w:t>
      </w:r>
      <w:r w:rsidR="00B63D10" w:rsidRPr="00C4141F">
        <w:rPr>
          <w:rFonts w:ascii="Times New Roman" w:hAnsi="Times New Roman" w:cs="Times New Roman"/>
        </w:rPr>
        <w:t xml:space="preserve">. </w:t>
      </w:r>
      <w:r w:rsidR="003117F9" w:rsidRPr="00C4141F">
        <w:rPr>
          <w:rFonts w:ascii="Times New Roman" w:hAnsi="Times New Roman" w:cs="Times New Roman"/>
        </w:rPr>
        <w:t xml:space="preserve">However, the focus of this research will be on the experiments conducted by Thaler et al. (1997) and Gneezy and Potters (1997). </w:t>
      </w:r>
      <w:r w:rsidR="00DA12D6" w:rsidRPr="00C4141F">
        <w:rPr>
          <w:rFonts w:ascii="Times New Roman" w:hAnsi="Times New Roman" w:cs="Times New Roman"/>
        </w:rPr>
        <w:t>I will firstly give a</w:t>
      </w:r>
      <w:r w:rsidR="007C2397" w:rsidRPr="00C4141F">
        <w:rPr>
          <w:rFonts w:ascii="Times New Roman" w:hAnsi="Times New Roman" w:cs="Times New Roman"/>
        </w:rPr>
        <w:t xml:space="preserve"> description of t</w:t>
      </w:r>
      <w:r w:rsidR="0004167A" w:rsidRPr="00C4141F">
        <w:rPr>
          <w:rFonts w:ascii="Times New Roman" w:hAnsi="Times New Roman" w:cs="Times New Roman"/>
        </w:rPr>
        <w:t>he experimental designs and procedures of the two experiments</w:t>
      </w:r>
      <w:r w:rsidR="007C2397" w:rsidRPr="00C4141F">
        <w:rPr>
          <w:rFonts w:ascii="Times New Roman" w:hAnsi="Times New Roman" w:cs="Times New Roman"/>
        </w:rPr>
        <w:t xml:space="preserve">. </w:t>
      </w:r>
      <w:r w:rsidR="0004167A" w:rsidRPr="00C4141F">
        <w:rPr>
          <w:rFonts w:ascii="Times New Roman" w:hAnsi="Times New Roman" w:cs="Times New Roman"/>
        </w:rPr>
        <w:t xml:space="preserve">I will </w:t>
      </w:r>
      <w:r w:rsidR="00A966A5" w:rsidRPr="00C4141F">
        <w:rPr>
          <w:rFonts w:ascii="Times New Roman" w:hAnsi="Times New Roman" w:cs="Times New Roman"/>
        </w:rPr>
        <w:t xml:space="preserve">then </w:t>
      </w:r>
      <w:r w:rsidR="0004167A" w:rsidRPr="00C4141F">
        <w:rPr>
          <w:rFonts w:ascii="Times New Roman" w:hAnsi="Times New Roman" w:cs="Times New Roman"/>
        </w:rPr>
        <w:t xml:space="preserve">highlight what I believe to be </w:t>
      </w:r>
      <w:r w:rsidR="00361050" w:rsidRPr="00C4141F">
        <w:rPr>
          <w:rFonts w:ascii="Times New Roman" w:hAnsi="Times New Roman" w:cs="Times New Roman"/>
        </w:rPr>
        <w:t xml:space="preserve">the most important difference between the two experiments. </w:t>
      </w:r>
    </w:p>
    <w:p w14:paraId="237A8B34" w14:textId="2D748063" w:rsidR="0004167A" w:rsidRPr="00C4141F" w:rsidRDefault="00361050"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 xml:space="preserve">Gneezy and Potters (1997) recruited approximately 80 </w:t>
      </w:r>
      <w:r w:rsidR="00EC5726" w:rsidRPr="00C4141F">
        <w:rPr>
          <w:rFonts w:ascii="Times New Roman" w:hAnsi="Times New Roman" w:cs="Times New Roman"/>
        </w:rPr>
        <w:t xml:space="preserve">undergraduate students for their experiment, </w:t>
      </w:r>
      <w:r w:rsidRPr="00C4141F">
        <w:rPr>
          <w:rFonts w:ascii="Times New Roman" w:hAnsi="Times New Roman" w:cs="Times New Roman"/>
        </w:rPr>
        <w:t xml:space="preserve">and the experiment was conducted on pen and paper in an in-person </w:t>
      </w:r>
      <w:proofErr w:type="gramStart"/>
      <w:r w:rsidRPr="00C4141F">
        <w:rPr>
          <w:rFonts w:ascii="Times New Roman" w:hAnsi="Times New Roman" w:cs="Times New Roman"/>
        </w:rPr>
        <w:t>environment..</w:t>
      </w:r>
      <w:proofErr w:type="gramEnd"/>
      <w:r w:rsidRPr="00C4141F">
        <w:rPr>
          <w:rFonts w:ascii="Times New Roman" w:hAnsi="Times New Roman" w:cs="Times New Roman"/>
        </w:rPr>
        <w:t xml:space="preserve"> </w:t>
      </w:r>
      <w:r w:rsidR="00871B69" w:rsidRPr="00C4141F">
        <w:rPr>
          <w:rFonts w:ascii="Times New Roman" w:hAnsi="Times New Roman" w:cs="Times New Roman"/>
        </w:rPr>
        <w:t>The problem that the subjects were tasked with was an allocation problem. In each decision that subjects made, they chose how much of their funds for that decision they would allocate to a gamble, and the remaining funds were saved. The number of decisions that subjects</w:t>
      </w:r>
      <w:r w:rsidR="00076AD3" w:rsidRPr="00C4141F">
        <w:rPr>
          <w:rFonts w:ascii="Times New Roman" w:hAnsi="Times New Roman" w:cs="Times New Roman"/>
        </w:rPr>
        <w:t xml:space="preserve"> made varied, but the number of realizations of a lottery were the same. Specifically, subjects made decisions that held over a total of 9 periods; however, some subjects made only 3 decisions while others made 9 decisions</w:t>
      </w:r>
      <w:r w:rsidR="00154BBA" w:rsidRPr="00C4141F">
        <w:rPr>
          <w:rFonts w:ascii="Times New Roman" w:hAnsi="Times New Roman" w:cs="Times New Roman"/>
        </w:rPr>
        <w:t xml:space="preserve">. Subjects were split into two groups, each group’s size being approximately 40 individuals, and assigned two different treatments. </w:t>
      </w:r>
      <w:r w:rsidRPr="00C4141F">
        <w:rPr>
          <w:rFonts w:ascii="Times New Roman" w:hAnsi="Times New Roman" w:cs="Times New Roman"/>
        </w:rPr>
        <w:t>The subjects in the first group</w:t>
      </w:r>
      <w:r w:rsidR="00194659" w:rsidRPr="00C4141F">
        <w:rPr>
          <w:rFonts w:ascii="Times New Roman" w:hAnsi="Times New Roman" w:cs="Times New Roman"/>
        </w:rPr>
        <w:t>, as will be called Treatment H,</w:t>
      </w:r>
      <w:r w:rsidRPr="00C4141F">
        <w:rPr>
          <w:rFonts w:ascii="Times New Roman" w:hAnsi="Times New Roman" w:cs="Times New Roman"/>
        </w:rPr>
        <w:t xml:space="preserve"> were told that </w:t>
      </w:r>
      <w:r w:rsidR="00194659" w:rsidRPr="00C4141F">
        <w:rPr>
          <w:rFonts w:ascii="Times New Roman" w:hAnsi="Times New Roman" w:cs="Times New Roman"/>
        </w:rPr>
        <w:t xml:space="preserve">they were participating in a game with lotteries. A subject was tasked with deciding how much of their endowment, which was the same for each round at 200 cents, they would risk in a lottery. Subjects had a 1/3 chance of winning the lottery, and if they won, they would receive </w:t>
      </w:r>
      <w:r w:rsidR="006A0E67" w:rsidRPr="00C4141F">
        <w:rPr>
          <w:rFonts w:ascii="Times New Roman" w:hAnsi="Times New Roman" w:cs="Times New Roman"/>
        </w:rPr>
        <w:t>two and a half times</w:t>
      </w:r>
      <w:r w:rsidR="00194659" w:rsidRPr="00C4141F">
        <w:rPr>
          <w:rFonts w:ascii="Times New Roman" w:hAnsi="Times New Roman" w:cs="Times New Roman"/>
        </w:rPr>
        <w:t xml:space="preserve"> the amount of money that they had risked in the gamble, if, on the other hand, subjects did not win the lottery, as happened 2/3rds of the time, they would lose all the money that they had gambled.</w:t>
      </w:r>
      <w:r w:rsidR="00476FD0" w:rsidRPr="00C4141F">
        <w:rPr>
          <w:rFonts w:ascii="Times New Roman" w:hAnsi="Times New Roman" w:cs="Times New Roman"/>
        </w:rPr>
        <w:t xml:space="preserve"> </w:t>
      </w:r>
      <w:r w:rsidR="00353692" w:rsidRPr="00C4141F">
        <w:rPr>
          <w:rFonts w:ascii="Times New Roman" w:hAnsi="Times New Roman" w:cs="Times New Roman"/>
        </w:rPr>
        <w:t xml:space="preserve">Subjects in the second group, as will be called Treatment L, participated in a process very similar to Treatment H, however, subjects were given 600 cents, </w:t>
      </w:r>
      <w:r w:rsidR="006A0E67" w:rsidRPr="00C4141F">
        <w:rPr>
          <w:rFonts w:ascii="Times New Roman" w:hAnsi="Times New Roman" w:cs="Times New Roman"/>
        </w:rPr>
        <w:t xml:space="preserve">triple the amount in Treatment H, and </w:t>
      </w:r>
      <w:r w:rsidR="00C52575" w:rsidRPr="00C4141F">
        <w:rPr>
          <w:rFonts w:ascii="Times New Roman" w:hAnsi="Times New Roman" w:cs="Times New Roman"/>
        </w:rPr>
        <w:t xml:space="preserve">they </w:t>
      </w:r>
      <w:r w:rsidR="006A0E67" w:rsidRPr="00C4141F">
        <w:rPr>
          <w:rFonts w:ascii="Times New Roman" w:hAnsi="Times New Roman" w:cs="Times New Roman"/>
        </w:rPr>
        <w:t xml:space="preserve">were told </w:t>
      </w:r>
      <w:r w:rsidR="00447ACD" w:rsidRPr="00C4141F">
        <w:rPr>
          <w:rFonts w:ascii="Times New Roman" w:hAnsi="Times New Roman" w:cs="Times New Roman"/>
        </w:rPr>
        <w:t>that they could bet any amount up to 600 cents</w:t>
      </w:r>
      <w:r w:rsidR="00E11F27" w:rsidRPr="00C4141F">
        <w:rPr>
          <w:rFonts w:ascii="Times New Roman" w:hAnsi="Times New Roman" w:cs="Times New Roman"/>
        </w:rPr>
        <w:t xml:space="preserve">. This amount of money was split equally between 3 realizations of the lottery. </w:t>
      </w:r>
      <w:r w:rsidR="00447ACD" w:rsidRPr="00C4141F">
        <w:rPr>
          <w:rFonts w:ascii="Times New Roman" w:hAnsi="Times New Roman" w:cs="Times New Roman"/>
        </w:rPr>
        <w:t xml:space="preserve">In other words, </w:t>
      </w:r>
      <w:r w:rsidR="00E11F27" w:rsidRPr="00C4141F">
        <w:rPr>
          <w:rFonts w:ascii="Times New Roman" w:hAnsi="Times New Roman" w:cs="Times New Roman"/>
        </w:rPr>
        <w:t xml:space="preserve">each time a subject </w:t>
      </w:r>
      <w:proofErr w:type="gramStart"/>
      <w:r w:rsidR="00E11F27" w:rsidRPr="00C4141F">
        <w:rPr>
          <w:rFonts w:ascii="Times New Roman" w:hAnsi="Times New Roman" w:cs="Times New Roman"/>
        </w:rPr>
        <w:t>made a decision</w:t>
      </w:r>
      <w:proofErr w:type="gramEnd"/>
      <w:r w:rsidR="00E11F27" w:rsidRPr="00C4141F">
        <w:rPr>
          <w:rFonts w:ascii="Times New Roman" w:hAnsi="Times New Roman" w:cs="Times New Roman"/>
        </w:rPr>
        <w:t>, they committed to the same allocation to a lottery for 3 lotteries</w:t>
      </w:r>
      <w:r w:rsidR="00447ACD" w:rsidRPr="00C4141F">
        <w:rPr>
          <w:rFonts w:ascii="Times New Roman" w:hAnsi="Times New Roman" w:cs="Times New Roman"/>
        </w:rPr>
        <w:t xml:space="preserve">. Subjects in Treatment H made 3 decisions, and since each of those decisions held for 3 rounds, they experienced 9 realizations from the lottery. </w:t>
      </w:r>
      <w:r w:rsidR="00A864C3" w:rsidRPr="00C4141F">
        <w:rPr>
          <w:rFonts w:ascii="Times New Roman" w:hAnsi="Times New Roman" w:cs="Times New Roman"/>
        </w:rPr>
        <w:t xml:space="preserve">It is important to note that subjects were informed of the probabilities of winning the lottery. </w:t>
      </w:r>
      <w:r w:rsidR="008210CD" w:rsidRPr="00C4141F">
        <w:rPr>
          <w:rFonts w:ascii="Times New Roman" w:hAnsi="Times New Roman" w:cs="Times New Roman"/>
        </w:rPr>
        <w:t xml:space="preserve">Finally, subjects were compensated based on their </w:t>
      </w:r>
      <w:r w:rsidR="00636DA6" w:rsidRPr="00C4141F">
        <w:rPr>
          <w:rFonts w:ascii="Times New Roman" w:hAnsi="Times New Roman" w:cs="Times New Roman"/>
        </w:rPr>
        <w:t>winnings</w:t>
      </w:r>
      <w:r w:rsidR="008210CD" w:rsidRPr="00C4141F">
        <w:rPr>
          <w:rFonts w:ascii="Times New Roman" w:hAnsi="Times New Roman" w:cs="Times New Roman"/>
        </w:rPr>
        <w:t xml:space="preserve"> held at the end of the experiment. </w:t>
      </w:r>
    </w:p>
    <w:p w14:paraId="07EB303C" w14:textId="4696C11E" w:rsidR="0004167A" w:rsidRPr="00C4141F" w:rsidRDefault="00447ACD" w:rsidP="00194B2A">
      <w:pPr>
        <w:spacing w:after="100" w:afterAutospacing="1"/>
        <w:jc w:val="both"/>
        <w:rPr>
          <w:rFonts w:ascii="Times New Roman" w:hAnsi="Times New Roman" w:cs="Times New Roman"/>
        </w:rPr>
      </w:pPr>
      <w:r w:rsidRPr="00C4141F">
        <w:rPr>
          <w:rFonts w:ascii="Times New Roman" w:hAnsi="Times New Roman" w:cs="Times New Roman"/>
        </w:rPr>
        <w:tab/>
        <w:t xml:space="preserve">I </w:t>
      </w:r>
      <w:r w:rsidR="00C41BD0" w:rsidRPr="00C4141F">
        <w:rPr>
          <w:rFonts w:ascii="Times New Roman" w:hAnsi="Times New Roman" w:cs="Times New Roman"/>
        </w:rPr>
        <w:t xml:space="preserve">will now </w:t>
      </w:r>
      <w:r w:rsidRPr="00C4141F">
        <w:rPr>
          <w:rFonts w:ascii="Times New Roman" w:hAnsi="Times New Roman" w:cs="Times New Roman"/>
        </w:rPr>
        <w:t xml:space="preserve">summarize the experimental design of the experiment conducted by Thaler et al. (1997) which will later serve as the template for the experiment I conduct. The experiment recruited </w:t>
      </w:r>
      <w:r w:rsidR="00781FCC" w:rsidRPr="00C4141F">
        <w:rPr>
          <w:rFonts w:ascii="Times New Roman" w:hAnsi="Times New Roman" w:cs="Times New Roman"/>
        </w:rPr>
        <w:t xml:space="preserve">80 </w:t>
      </w:r>
      <w:r w:rsidR="00A864C3" w:rsidRPr="00C4141F">
        <w:rPr>
          <w:rFonts w:ascii="Times New Roman" w:hAnsi="Times New Roman" w:cs="Times New Roman"/>
        </w:rPr>
        <w:t xml:space="preserve">subjects from a university student population and used a digital format. Subjects were told that they were to act as the manager </w:t>
      </w:r>
      <w:r w:rsidR="00A864C3" w:rsidRPr="00C4141F">
        <w:rPr>
          <w:rFonts w:ascii="Times New Roman" w:hAnsi="Times New Roman" w:cs="Times New Roman"/>
        </w:rPr>
        <w:lastRenderedPageBreak/>
        <w:t xml:space="preserve">of a university endowment, and they were tasked with maximizing the returns of this endowment. Subjects were told to allocate a percentage of the endowment’s resources between two funds, Funds A and B. </w:t>
      </w:r>
      <w:r w:rsidR="0017279F" w:rsidRPr="00C4141F">
        <w:rPr>
          <w:rFonts w:ascii="Times New Roman" w:hAnsi="Times New Roman" w:cs="Times New Roman"/>
        </w:rPr>
        <w:t>The returns for Fund A were drawn from a distribution with a mean of .25% and a standard deviation of .177%</w:t>
      </w:r>
      <w:r w:rsidR="00F712DB" w:rsidRPr="00C4141F">
        <w:rPr>
          <w:rFonts w:ascii="Times New Roman" w:hAnsi="Times New Roman" w:cs="Times New Roman"/>
        </w:rPr>
        <w:t>, with a lower bound of 0. This lower bound of 0, as I will explain later, is the starting for the motivations of my research.</w:t>
      </w:r>
      <w:r w:rsidR="0017279F" w:rsidRPr="00C4141F">
        <w:rPr>
          <w:rFonts w:ascii="Times New Roman" w:hAnsi="Times New Roman" w:cs="Times New Roman"/>
        </w:rPr>
        <w:t xml:space="preserve"> The returns for Fund B were drawn from a distribution with a mean of 1% and standard deviation of 3.54%. These distributions, respectively, were generated by analyzing the actual returns of 5-year bonds and a value-weighted stock index over 6.5 weeks. Subjects were assigned to one of four treatment groups with varying lengths for which their allocations held. More specifically, subjects were assigned to treatment groups where their allocations between the two funds held for 1 period, 25 periods, or 40 periods. </w:t>
      </w:r>
      <w:r w:rsidR="00F712DB" w:rsidRPr="00C4141F">
        <w:rPr>
          <w:rFonts w:ascii="Times New Roman" w:hAnsi="Times New Roman" w:cs="Times New Roman"/>
        </w:rPr>
        <w:t>Additionally, half of subjects who were assigned to the monthly treatment group were assigned to a sub-treatment which I will call the “inflated monthly” treatment. This treatment took the returns from Fund A and Fund B and translated them upwards by 10 percentage points. This had the effect of nearly eliminating the possibility that either of the funds would have a negative return.</w:t>
      </w:r>
      <w:r w:rsidR="008210CD" w:rsidRPr="00C4141F">
        <w:rPr>
          <w:rFonts w:ascii="Times New Roman" w:hAnsi="Times New Roman" w:cs="Times New Roman"/>
        </w:rPr>
        <w:t xml:space="preserve"> </w:t>
      </w:r>
    </w:p>
    <w:p w14:paraId="49B2C1EF" w14:textId="7F058CE2" w:rsidR="00A351DD" w:rsidRPr="00C4141F" w:rsidRDefault="008210CD" w:rsidP="00194B2A">
      <w:pPr>
        <w:spacing w:after="100" w:afterAutospacing="1"/>
        <w:jc w:val="both"/>
        <w:rPr>
          <w:rFonts w:ascii="Times New Roman" w:hAnsi="Times New Roman" w:cs="Times New Roman"/>
        </w:rPr>
      </w:pPr>
      <w:r w:rsidRPr="00C4141F">
        <w:rPr>
          <w:rFonts w:ascii="Times New Roman" w:hAnsi="Times New Roman" w:cs="Times New Roman"/>
        </w:rPr>
        <w:t xml:space="preserve"> </w:t>
      </w:r>
      <w:r w:rsidRPr="00C4141F">
        <w:rPr>
          <w:rFonts w:ascii="Times New Roman" w:hAnsi="Times New Roman" w:cs="Times New Roman"/>
        </w:rPr>
        <w:tab/>
        <w:t xml:space="preserve">In both </w:t>
      </w:r>
      <w:r w:rsidR="00C41AA0" w:rsidRPr="00C4141F">
        <w:rPr>
          <w:rFonts w:ascii="Times New Roman" w:hAnsi="Times New Roman" w:cs="Times New Roman"/>
        </w:rPr>
        <w:t>experiments</w:t>
      </w:r>
      <w:r w:rsidRPr="00C4141F">
        <w:rPr>
          <w:rFonts w:ascii="Times New Roman" w:hAnsi="Times New Roman" w:cs="Times New Roman"/>
        </w:rPr>
        <w:t xml:space="preserve">, regardless of the degree to which the risky and less risky options differed in their rewards and levels of risk, subjects in treatments whose decisions held for more periods had a greater appetite for allocating resources to the risky asset. </w:t>
      </w:r>
      <w:r w:rsidR="00C41AA0" w:rsidRPr="00C4141F">
        <w:rPr>
          <w:rFonts w:ascii="Times New Roman" w:hAnsi="Times New Roman" w:cs="Times New Roman"/>
        </w:rPr>
        <w:t>This can be seen in t</w:t>
      </w:r>
      <w:r w:rsidR="003D3C53" w:rsidRPr="00C4141F">
        <w:rPr>
          <w:rFonts w:ascii="Times New Roman" w:hAnsi="Times New Roman" w:cs="Times New Roman"/>
        </w:rPr>
        <w:t>he results of Thaler et al. (1997) and Gneezy and Potters (1997</w:t>
      </w:r>
      <w:r w:rsidR="00E0265D" w:rsidRPr="00C4141F">
        <w:rPr>
          <w:rFonts w:ascii="Times New Roman" w:hAnsi="Times New Roman" w:cs="Times New Roman"/>
        </w:rPr>
        <w:t xml:space="preserve"> </w:t>
      </w:r>
      <w:r w:rsidR="00C41AA0" w:rsidRPr="00C4141F">
        <w:rPr>
          <w:rFonts w:ascii="Times New Roman" w:hAnsi="Times New Roman" w:cs="Times New Roman"/>
        </w:rPr>
        <w:t xml:space="preserve">as </w:t>
      </w:r>
      <w:r w:rsidR="003D3C53" w:rsidRPr="00C4141F">
        <w:rPr>
          <w:rFonts w:ascii="Times New Roman" w:hAnsi="Times New Roman" w:cs="Times New Roman"/>
        </w:rPr>
        <w:t xml:space="preserve">both provide strongly suggestive evidence that the frequency at which investors evaluate the portfolios has a negative association with </w:t>
      </w:r>
      <w:r w:rsidRPr="00C4141F">
        <w:rPr>
          <w:rFonts w:ascii="Times New Roman" w:hAnsi="Times New Roman" w:cs="Times New Roman"/>
        </w:rPr>
        <w:t>an investor’s</w:t>
      </w:r>
      <w:r w:rsidR="003D3C53" w:rsidRPr="00C4141F">
        <w:rPr>
          <w:rFonts w:ascii="Times New Roman" w:hAnsi="Times New Roman" w:cs="Times New Roman"/>
        </w:rPr>
        <w:t xml:space="preserve"> appetite for risk. </w:t>
      </w:r>
      <w:r w:rsidR="00B63D10" w:rsidRPr="00C4141F">
        <w:rPr>
          <w:rFonts w:ascii="Times New Roman" w:hAnsi="Times New Roman" w:cs="Times New Roman"/>
        </w:rPr>
        <w:t>However,</w:t>
      </w:r>
      <w:r w:rsidR="0018052E" w:rsidRPr="00C4141F">
        <w:rPr>
          <w:rFonts w:ascii="Times New Roman" w:hAnsi="Times New Roman" w:cs="Times New Roman"/>
        </w:rPr>
        <w:t xml:space="preserve"> the behavior of subjects over the course of </w:t>
      </w:r>
      <w:r w:rsidR="00C41AA0" w:rsidRPr="00C4141F">
        <w:rPr>
          <w:rFonts w:ascii="Times New Roman" w:hAnsi="Times New Roman" w:cs="Times New Roman"/>
        </w:rPr>
        <w:t>the experiments</w:t>
      </w:r>
      <w:r w:rsidR="0018052E" w:rsidRPr="00C4141F">
        <w:rPr>
          <w:rFonts w:ascii="Times New Roman" w:hAnsi="Times New Roman" w:cs="Times New Roman"/>
        </w:rPr>
        <w:t xml:space="preserve"> differs between the two experiments</w:t>
      </w:r>
      <w:r w:rsidR="003D3C53" w:rsidRPr="00C4141F">
        <w:rPr>
          <w:rFonts w:ascii="Times New Roman" w:hAnsi="Times New Roman" w:cs="Times New Roman"/>
        </w:rPr>
        <w:t xml:space="preserve"> and within the </w:t>
      </w:r>
      <w:r w:rsidRPr="00C4141F">
        <w:rPr>
          <w:rFonts w:ascii="Times New Roman" w:hAnsi="Times New Roman" w:cs="Times New Roman"/>
        </w:rPr>
        <w:t xml:space="preserve">treatment groups of the </w:t>
      </w:r>
      <w:r w:rsidR="003D3C53" w:rsidRPr="00C4141F">
        <w:rPr>
          <w:rFonts w:ascii="Times New Roman" w:hAnsi="Times New Roman" w:cs="Times New Roman"/>
        </w:rPr>
        <w:t>experiment</w:t>
      </w:r>
      <w:r w:rsidR="00C41AA0" w:rsidRPr="00C4141F">
        <w:rPr>
          <w:rFonts w:ascii="Times New Roman" w:hAnsi="Times New Roman" w:cs="Times New Roman"/>
        </w:rPr>
        <w:t xml:space="preserve"> performed by Thaler et al. (1997)</w:t>
      </w:r>
      <w:r w:rsidR="00B63D10" w:rsidRPr="00C4141F">
        <w:rPr>
          <w:rFonts w:ascii="Times New Roman" w:hAnsi="Times New Roman" w:cs="Times New Roman"/>
        </w:rPr>
        <w:t xml:space="preserve">. </w:t>
      </w:r>
      <w:r w:rsidRPr="00C4141F">
        <w:rPr>
          <w:rFonts w:ascii="Times New Roman" w:hAnsi="Times New Roman" w:cs="Times New Roman"/>
        </w:rPr>
        <w:t>As one can see</w:t>
      </w:r>
      <w:r w:rsidR="00586D7B" w:rsidRPr="00C4141F">
        <w:rPr>
          <w:rFonts w:ascii="Times New Roman" w:hAnsi="Times New Roman" w:cs="Times New Roman"/>
        </w:rPr>
        <w:t xml:space="preserve"> from </w:t>
      </w:r>
      <w:r w:rsidR="00780CAB">
        <w:rPr>
          <w:rFonts w:ascii="Times New Roman" w:hAnsi="Times New Roman" w:cs="Times New Roman"/>
        </w:rPr>
        <w:t>Thaler et al. (1997)’s</w:t>
      </w:r>
      <w:r w:rsidR="00586D7B" w:rsidRPr="00C4141F">
        <w:rPr>
          <w:rFonts w:ascii="Times New Roman" w:hAnsi="Times New Roman" w:cs="Times New Roman"/>
        </w:rPr>
        <w:t xml:space="preserve"> results</w:t>
      </w:r>
      <w:r w:rsidRPr="00C4141F">
        <w:rPr>
          <w:rFonts w:ascii="Times New Roman" w:hAnsi="Times New Roman" w:cs="Times New Roman"/>
        </w:rPr>
        <w:t>,</w:t>
      </w:r>
      <w:r w:rsidR="00780CAB">
        <w:rPr>
          <w:rFonts w:ascii="Times New Roman" w:hAnsi="Times New Roman" w:cs="Times New Roman"/>
        </w:rPr>
        <w:t xml:space="preserve"> as shown in Table 1, </w:t>
      </w:r>
      <w:r w:rsidRPr="00C4141F">
        <w:rPr>
          <w:rFonts w:ascii="Times New Roman" w:hAnsi="Times New Roman" w:cs="Times New Roman"/>
        </w:rPr>
        <w:t>subjects in all treatment groups besides the monthly condition allocated more of their resources to the lower risk as they progressed through their allocation decisions</w:t>
      </w:r>
      <w:r w:rsidR="00385601" w:rsidRPr="00C4141F">
        <w:rPr>
          <w:rFonts w:ascii="Times New Roman" w:hAnsi="Times New Roman" w:cs="Times New Roman"/>
        </w:rPr>
        <w:t>.</w:t>
      </w:r>
      <w:r w:rsidRPr="00C4141F">
        <w:rPr>
          <w:rFonts w:ascii="Times New Roman" w:hAnsi="Times New Roman" w:cs="Times New Roman"/>
        </w:rPr>
        <w:t xml:space="preserve"> This updating behavior, as it will be called, did not occur at a significant level in the experiment conducted by Gneezy and Potters (1997),</w:t>
      </w:r>
      <w:r w:rsidR="005B1808" w:rsidRPr="00C4141F">
        <w:rPr>
          <w:rFonts w:ascii="Times New Roman" w:hAnsi="Times New Roman" w:cs="Times New Roman"/>
        </w:rPr>
        <w:t xml:space="preserve"> and this absence</w:t>
      </w:r>
      <w:r w:rsidRPr="00C4141F">
        <w:rPr>
          <w:rFonts w:ascii="Times New Roman" w:hAnsi="Times New Roman" w:cs="Times New Roman"/>
        </w:rPr>
        <w:t xml:space="preserve"> was noted by the authors.</w:t>
      </w:r>
    </w:p>
    <w:p w14:paraId="26B0CD30" w14:textId="77777777" w:rsidR="00180A16" w:rsidRPr="00C4141F" w:rsidRDefault="00180A16"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 xml:space="preserve">The question that this paper aims to help answer is why updating behavior occurred in the experiment conducted by Thaler et al. (1997) but not in the experiment conducted by Gneezy and Potters (1997). To begin the discussion of the hypothesized mechanism for the difference in results, I will describe the returns experienced by the subject in Thaler et al (1997) in more detail. The following statistics are informed by simulations run using the distributions specified by the authors. In the monthly condition in the experiment conducted by Thaler et al. (1997), subjects observed a 0% return on the safe asset approximately 7.5% of the </w:t>
      </w:r>
      <w:r w:rsidRPr="00C4141F">
        <w:rPr>
          <w:rFonts w:ascii="Times New Roman" w:hAnsi="Times New Roman" w:cs="Times New Roman"/>
        </w:rPr>
        <w:lastRenderedPageBreak/>
        <w:t>time. Additionally, subjects would, on average, observe this 0% return on the safe asset on their 12</w:t>
      </w:r>
      <w:r w:rsidRPr="00C4141F">
        <w:rPr>
          <w:rFonts w:ascii="Times New Roman" w:hAnsi="Times New Roman" w:cs="Times New Roman"/>
          <w:vertAlign w:val="superscript"/>
        </w:rPr>
        <w:t>th</w:t>
      </w:r>
      <w:r w:rsidRPr="00C4141F">
        <w:rPr>
          <w:rFonts w:ascii="Times New Roman" w:hAnsi="Times New Roman" w:cs="Times New Roman"/>
        </w:rPr>
        <w:t xml:space="preserve"> decision. Since returns were displayed in percentage terms out to 2 decimal places, a “0.00” would be a strong signal that the safe fund’s return was bounded below by zero. Importantly, in the pre-randomized returns that were used for the “yearly” conditions, no subject experienced a return of 0 on the low-risk fund. </w:t>
      </w:r>
    </w:p>
    <w:p w14:paraId="67BC75D0" w14:textId="68F5FDB6" w:rsidR="00180A16" w:rsidRPr="00C4141F" w:rsidRDefault="00180A16"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Although an explicit model will not be developed</w:t>
      </w:r>
      <w:r w:rsidR="000601B7" w:rsidRPr="00C4141F">
        <w:rPr>
          <w:rFonts w:ascii="Times New Roman" w:hAnsi="Times New Roman" w:cs="Times New Roman"/>
        </w:rPr>
        <w:t xml:space="preserve"> here</w:t>
      </w:r>
      <w:r w:rsidRPr="00C4141F">
        <w:rPr>
          <w:rFonts w:ascii="Times New Roman" w:hAnsi="Times New Roman" w:cs="Times New Roman"/>
        </w:rPr>
        <w:t xml:space="preserve">, a general intuition is necessary to understand the motivations for this research. The naïve motivation for the experiment I conduct will be described hereafter. Subjects in the experiment conducted by Gneezy and Potters (1997), on the treatment level, did not change their allocations to the gamble over time; importantly, every subject had complete knowledge of the distributions of both </w:t>
      </w:r>
      <w:r w:rsidR="00673B24" w:rsidRPr="00C4141F">
        <w:rPr>
          <w:rFonts w:ascii="Times New Roman" w:hAnsi="Times New Roman" w:cs="Times New Roman"/>
        </w:rPr>
        <w:t>“</w:t>
      </w:r>
      <w:r w:rsidRPr="00C4141F">
        <w:rPr>
          <w:rFonts w:ascii="Times New Roman" w:hAnsi="Times New Roman" w:cs="Times New Roman"/>
        </w:rPr>
        <w:t>funds</w:t>
      </w:r>
      <w:r w:rsidR="00550B41" w:rsidRPr="00C4141F">
        <w:rPr>
          <w:rFonts w:ascii="Times New Roman" w:hAnsi="Times New Roman" w:cs="Times New Roman"/>
        </w:rPr>
        <w:t>”</w:t>
      </w:r>
      <w:r w:rsidRPr="00C4141F">
        <w:rPr>
          <w:rFonts w:ascii="Times New Roman" w:hAnsi="Times New Roman" w:cs="Times New Roman"/>
        </w:rPr>
        <w:t>, and specifically, they knew that any resource that they did not commit to the gamble had, in essence a return of 0. On the other hand, in the experiment conducted by Thaler et al. (1997) none of the subjects were provided any explicit information about the funds that they were allocating between. However, as noted previously, the subjects in the monthly condition frequently experienced returns that would indicate that there was a lower bound on the returns on Fund A. If a subject were to observe a “0%” return out to an arbitrary precision, that would be a strong signal, close to complete information, that the returns of Fund A were bounded below by zero.</w:t>
      </w:r>
    </w:p>
    <w:p w14:paraId="40A9B216" w14:textId="79E6C433" w:rsidR="007359F3" w:rsidRPr="00C4141F" w:rsidRDefault="008A28CD"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To once again summarize, t</w:t>
      </w:r>
      <w:r w:rsidR="00180A16" w:rsidRPr="00C4141F">
        <w:rPr>
          <w:rFonts w:ascii="Times New Roman" w:hAnsi="Times New Roman" w:cs="Times New Roman"/>
        </w:rPr>
        <w:t xml:space="preserve">he </w:t>
      </w:r>
      <w:r w:rsidR="00EB5EAE" w:rsidRPr="00C4141F">
        <w:rPr>
          <w:rFonts w:ascii="Times New Roman" w:hAnsi="Times New Roman" w:cs="Times New Roman"/>
        </w:rPr>
        <w:t>theory</w:t>
      </w:r>
      <w:r w:rsidR="00180A16" w:rsidRPr="00C4141F">
        <w:rPr>
          <w:rFonts w:ascii="Times New Roman" w:hAnsi="Times New Roman" w:cs="Times New Roman"/>
        </w:rPr>
        <w:t xml:space="preserve"> here is relatively simple. In the experiment conducted by Gneezy and Potters (1997), where subjects knew that they could not lose on the funds they did not allocate to the risky option, updating behavior was not observed.  As was mentioned before, every treatment group besides the monthly condition in Thaler et al. (1997) displayed updating behavior and likely were not aware of the lower bound on the returns from Fund A.  My hypothesized causal mechanism for the lack of updating in Gneezy and Potters (1997) and the monthly condition of Thaler et al. (1997) is the shared knowledge of a loss-free option.</w:t>
      </w:r>
      <w:r w:rsidR="000601B7" w:rsidRPr="00C4141F">
        <w:rPr>
          <w:rFonts w:ascii="Times New Roman" w:hAnsi="Times New Roman" w:cs="Times New Roman"/>
        </w:rPr>
        <w:t xml:space="preserve"> </w:t>
      </w:r>
      <w:r w:rsidR="00C70276" w:rsidRPr="00C4141F">
        <w:rPr>
          <w:rFonts w:ascii="Times New Roman" w:hAnsi="Times New Roman" w:cs="Times New Roman"/>
        </w:rPr>
        <w:t xml:space="preserve">The hypothesis implies that when the knowledge of a loss-free option is provided to subjects who make their allocation decisions monthly, there will be no change in the learning behavior. However, the hypothesis also implies that the provision of information to subjects who make </w:t>
      </w:r>
      <w:r w:rsidR="009E4171" w:rsidRPr="00C4141F">
        <w:rPr>
          <w:rFonts w:ascii="Times New Roman" w:hAnsi="Times New Roman" w:cs="Times New Roman"/>
        </w:rPr>
        <w:t xml:space="preserve">decisions that hold for a high number of periods will not change their allocations over the course of the experiment. </w:t>
      </w:r>
    </w:p>
    <w:p w14:paraId="6A90592D" w14:textId="7F6E58F8" w:rsidR="00550870" w:rsidRPr="00C4141F" w:rsidRDefault="009A404E" w:rsidP="00194B2A">
      <w:pPr>
        <w:spacing w:after="100" w:afterAutospacing="1"/>
        <w:jc w:val="both"/>
        <w:rPr>
          <w:rFonts w:ascii="Times New Roman" w:hAnsi="Times New Roman" w:cs="Times New Roman"/>
          <w:b/>
          <w:bCs/>
        </w:rPr>
      </w:pPr>
      <w:r w:rsidRPr="00C4141F">
        <w:rPr>
          <w:rFonts w:ascii="Times New Roman" w:hAnsi="Times New Roman" w:cs="Times New Roman"/>
          <w:b/>
          <w:bCs/>
        </w:rPr>
        <w:t xml:space="preserve">II. </w:t>
      </w:r>
      <w:r w:rsidR="000A7FE3" w:rsidRPr="00C4141F">
        <w:rPr>
          <w:rFonts w:ascii="Times New Roman" w:hAnsi="Times New Roman" w:cs="Times New Roman"/>
          <w:b/>
          <w:bCs/>
        </w:rPr>
        <w:t>Experimental Design</w:t>
      </w:r>
    </w:p>
    <w:p w14:paraId="6BE7F29D" w14:textId="1EB3384F" w:rsidR="008A1DFE" w:rsidRPr="00C4141F" w:rsidRDefault="00EE6214"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t>
      </w:r>
      <w:r w:rsidR="008A28CD" w:rsidRPr="00C4141F">
        <w:rPr>
          <w:rFonts w:ascii="Times New Roman" w:hAnsi="Times New Roman" w:cs="Times New Roman"/>
        </w:rPr>
        <w:t>conduct</w:t>
      </w:r>
      <w:r w:rsidR="00303F0F" w:rsidRPr="00C4141F">
        <w:rPr>
          <w:rFonts w:ascii="Times New Roman" w:hAnsi="Times New Roman" w:cs="Times New Roman"/>
        </w:rPr>
        <w:t xml:space="preserve"> an experiment using the experimental design of </w:t>
      </w:r>
      <w:r w:rsidR="00275912" w:rsidRPr="00C4141F">
        <w:rPr>
          <w:rFonts w:ascii="Times New Roman" w:hAnsi="Times New Roman" w:cs="Times New Roman"/>
        </w:rPr>
        <w:t>Thaler et al. (1997) as a guide</w:t>
      </w:r>
      <w:r w:rsidRPr="00C4141F">
        <w:rPr>
          <w:rFonts w:ascii="Times New Roman" w:hAnsi="Times New Roman" w:cs="Times New Roman"/>
        </w:rPr>
        <w:t xml:space="preserve">. </w:t>
      </w:r>
      <w:r w:rsidR="008A28CD" w:rsidRPr="00C4141F">
        <w:rPr>
          <w:rFonts w:ascii="Times New Roman" w:hAnsi="Times New Roman" w:cs="Times New Roman"/>
        </w:rPr>
        <w:t>Seventy</w:t>
      </w:r>
      <w:r w:rsidR="00275912" w:rsidRPr="00C4141F">
        <w:rPr>
          <w:rFonts w:ascii="Times New Roman" w:hAnsi="Times New Roman" w:cs="Times New Roman"/>
        </w:rPr>
        <w:t xml:space="preserve"> </w:t>
      </w:r>
      <w:r w:rsidR="008A28CD" w:rsidRPr="00C4141F">
        <w:rPr>
          <w:rFonts w:ascii="Times New Roman" w:hAnsi="Times New Roman" w:cs="Times New Roman"/>
        </w:rPr>
        <w:t>s</w:t>
      </w:r>
      <w:r w:rsidR="00550870" w:rsidRPr="00C4141F">
        <w:rPr>
          <w:rFonts w:ascii="Times New Roman" w:hAnsi="Times New Roman" w:cs="Times New Roman"/>
        </w:rPr>
        <w:t>ubjects were selected from Cornell University</w:t>
      </w:r>
      <w:r w:rsidR="00E722C3" w:rsidRPr="00C4141F">
        <w:rPr>
          <w:rFonts w:ascii="Times New Roman" w:hAnsi="Times New Roman" w:cs="Times New Roman"/>
        </w:rPr>
        <w:t>’s</w:t>
      </w:r>
      <w:r w:rsidR="00550870" w:rsidRPr="00C4141F">
        <w:rPr>
          <w:rFonts w:ascii="Times New Roman" w:hAnsi="Times New Roman" w:cs="Times New Roman"/>
        </w:rPr>
        <w:t xml:space="preserve"> </w:t>
      </w:r>
      <w:r w:rsidR="00E23034" w:rsidRPr="00C4141F">
        <w:rPr>
          <w:rFonts w:ascii="Times New Roman" w:hAnsi="Times New Roman" w:cs="Times New Roman"/>
        </w:rPr>
        <w:t xml:space="preserve">undergraduate </w:t>
      </w:r>
      <w:r w:rsidR="00550870" w:rsidRPr="00C4141F">
        <w:rPr>
          <w:rFonts w:ascii="Times New Roman" w:hAnsi="Times New Roman" w:cs="Times New Roman"/>
        </w:rPr>
        <w:lastRenderedPageBreak/>
        <w:t>student population</w:t>
      </w:r>
      <w:r w:rsidR="00275912" w:rsidRPr="00C4141F">
        <w:rPr>
          <w:rFonts w:ascii="Times New Roman" w:hAnsi="Times New Roman" w:cs="Times New Roman"/>
        </w:rPr>
        <w:t xml:space="preserve"> and </w:t>
      </w:r>
      <w:r w:rsidRPr="00C4141F">
        <w:rPr>
          <w:rFonts w:ascii="Times New Roman" w:hAnsi="Times New Roman" w:cs="Times New Roman"/>
        </w:rPr>
        <w:t xml:space="preserve">were randomly assigned to one of four treatment groups, with approximately the same number of subjects in each treatment. </w:t>
      </w:r>
      <w:r w:rsidR="00E658C2" w:rsidRPr="00C4141F">
        <w:rPr>
          <w:rFonts w:ascii="Times New Roman" w:hAnsi="Times New Roman" w:cs="Times New Roman"/>
        </w:rPr>
        <w:t>Subjects were asked to imagine that they were the portfolio manager for a college, and that they would be tasked with allocating a percentage of the college’s funds between two assets</w:t>
      </w:r>
      <w:r w:rsidR="008A1DFE" w:rsidRPr="00C4141F">
        <w:rPr>
          <w:rFonts w:ascii="Times New Roman" w:hAnsi="Times New Roman" w:cs="Times New Roman"/>
        </w:rPr>
        <w:t>, Fund A and Fund B. The</w:t>
      </w:r>
      <w:r w:rsidR="00E658C2" w:rsidRPr="00C4141F">
        <w:rPr>
          <w:rFonts w:ascii="Times New Roman" w:hAnsi="Times New Roman" w:cs="Times New Roman"/>
        </w:rPr>
        <w:t xml:space="preserve"> choice would involve entering a number 0-100 </w:t>
      </w:r>
      <w:r w:rsidR="008A1DFE" w:rsidRPr="00C4141F">
        <w:rPr>
          <w:rFonts w:ascii="Times New Roman" w:hAnsi="Times New Roman" w:cs="Times New Roman"/>
        </w:rPr>
        <w:t>that would correspond to the percentage of the college’s funds allocated to one asset, Fund A, and whatever was not allocated to the first fund was allocated to the second fund, Fund B. Subjects were paid for their participation in the experiment. As part of the recruitment process, subjects were informed that they would be paid between $5 and $15 depending on their performance in the experiment. What payment a subject received was determined by comparing their average total return</w:t>
      </w:r>
      <w:r w:rsidR="006C1485" w:rsidRPr="00C4141F">
        <w:rPr>
          <w:rFonts w:ascii="Times New Roman" w:hAnsi="Times New Roman" w:cs="Times New Roman"/>
        </w:rPr>
        <w:t xml:space="preserve"> to their treatment group.</w:t>
      </w:r>
      <w:r w:rsidR="008A1DFE" w:rsidRPr="00C4141F">
        <w:rPr>
          <w:rFonts w:ascii="Times New Roman" w:hAnsi="Times New Roman" w:cs="Times New Roman"/>
        </w:rPr>
        <w:t xml:space="preserve">, with total returns being calculated by an average weighted by the allocation between Funds A and B. </w:t>
      </w:r>
      <w:r w:rsidR="006C1485" w:rsidRPr="00C4141F">
        <w:rPr>
          <w:rFonts w:ascii="Times New Roman" w:hAnsi="Times New Roman" w:cs="Times New Roman"/>
        </w:rPr>
        <w:t>Specifically, if a subject was in the top half of average total returns for their treatment</w:t>
      </w:r>
      <w:r w:rsidR="00342883" w:rsidRPr="00C4141F">
        <w:rPr>
          <w:rFonts w:ascii="Times New Roman" w:hAnsi="Times New Roman" w:cs="Times New Roman"/>
        </w:rPr>
        <w:t xml:space="preserve"> group</w:t>
      </w:r>
      <w:r w:rsidR="006C1485" w:rsidRPr="00C4141F">
        <w:rPr>
          <w:rFonts w:ascii="Times New Roman" w:hAnsi="Times New Roman" w:cs="Times New Roman"/>
        </w:rPr>
        <w:t xml:space="preserve">, they would receive $15, and if they were in the bottom </w:t>
      </w:r>
      <w:r w:rsidR="00342883" w:rsidRPr="00C4141F">
        <w:rPr>
          <w:rFonts w:ascii="Times New Roman" w:hAnsi="Times New Roman" w:cs="Times New Roman"/>
        </w:rPr>
        <w:t>half</w:t>
      </w:r>
      <w:r w:rsidR="006C1485" w:rsidRPr="00C4141F">
        <w:rPr>
          <w:rFonts w:ascii="Times New Roman" w:hAnsi="Times New Roman" w:cs="Times New Roman"/>
        </w:rPr>
        <w:t>, they would receive only $5. This payment structure is similar t</w:t>
      </w:r>
      <w:r w:rsidR="00FF00D5" w:rsidRPr="00C4141F">
        <w:rPr>
          <w:rFonts w:ascii="Times New Roman" w:hAnsi="Times New Roman" w:cs="Times New Roman"/>
        </w:rPr>
        <w:t xml:space="preserve">hat </w:t>
      </w:r>
      <w:r w:rsidR="006C1485" w:rsidRPr="00C4141F">
        <w:rPr>
          <w:rFonts w:ascii="Times New Roman" w:hAnsi="Times New Roman" w:cs="Times New Roman"/>
        </w:rPr>
        <w:t xml:space="preserve">used by Thaler et al. (1997), so the incentives for participants to perform well should not be of any meaningful difference between my replication and the original experiment. </w:t>
      </w:r>
    </w:p>
    <w:p w14:paraId="2F685DB1" w14:textId="7E0ECE5D" w:rsidR="00C46480" w:rsidRPr="00C4141F" w:rsidRDefault="00130D22" w:rsidP="00194B2A">
      <w:pPr>
        <w:spacing w:after="100" w:afterAutospacing="1"/>
        <w:jc w:val="both"/>
        <w:rPr>
          <w:rFonts w:ascii="Times New Roman" w:hAnsi="Times New Roman" w:cs="Times New Roman"/>
        </w:rPr>
      </w:pPr>
      <w:r w:rsidRPr="00C4141F">
        <w:rPr>
          <w:rFonts w:ascii="Times New Roman" w:hAnsi="Times New Roman" w:cs="Times New Roman"/>
        </w:rPr>
        <w:t xml:space="preserve">Once again, </w:t>
      </w:r>
      <w:r w:rsidR="008D4919" w:rsidRPr="00C4141F">
        <w:rPr>
          <w:rFonts w:ascii="Times New Roman" w:hAnsi="Times New Roman" w:cs="Times New Roman"/>
        </w:rPr>
        <w:t xml:space="preserve">subjects were asked to imagine that they were the portfolio manager of a college’s funds, and that they would have to allocate a percentage of their </w:t>
      </w:r>
      <w:r w:rsidRPr="00C4141F">
        <w:rPr>
          <w:rFonts w:ascii="Times New Roman" w:hAnsi="Times New Roman" w:cs="Times New Roman"/>
        </w:rPr>
        <w:t xml:space="preserve">funds </w:t>
      </w:r>
      <w:r w:rsidR="008D4919" w:rsidRPr="00C4141F">
        <w:rPr>
          <w:rFonts w:ascii="Times New Roman" w:hAnsi="Times New Roman" w:cs="Times New Roman"/>
        </w:rPr>
        <w:t>between Funds A and B</w:t>
      </w:r>
      <w:r w:rsidRPr="00C4141F">
        <w:rPr>
          <w:rFonts w:ascii="Times New Roman" w:hAnsi="Times New Roman" w:cs="Times New Roman"/>
        </w:rPr>
        <w:t xml:space="preserve"> multiple times</w:t>
      </w:r>
      <w:r w:rsidR="008D4919" w:rsidRPr="00C4141F">
        <w:rPr>
          <w:rFonts w:ascii="Times New Roman" w:hAnsi="Times New Roman" w:cs="Times New Roman"/>
        </w:rPr>
        <w:t>.</w:t>
      </w:r>
      <w:r w:rsidRPr="00C4141F">
        <w:rPr>
          <w:rFonts w:ascii="Times New Roman" w:hAnsi="Times New Roman" w:cs="Times New Roman"/>
        </w:rPr>
        <w:t xml:space="preserve"> Importantly, subjects were not told how many decisions they would have to make, but they were informed, in all treatments, of the number of financial periods that their decisions </w:t>
      </w:r>
      <w:r w:rsidR="00855D62" w:rsidRPr="00C4141F">
        <w:rPr>
          <w:rFonts w:ascii="Times New Roman" w:hAnsi="Times New Roman" w:cs="Times New Roman"/>
        </w:rPr>
        <w:t>would hold</w:t>
      </w:r>
      <w:r w:rsidRPr="00C4141F">
        <w:rPr>
          <w:rFonts w:ascii="Times New Roman" w:hAnsi="Times New Roman" w:cs="Times New Roman"/>
        </w:rPr>
        <w:t xml:space="preserve"> for. Subjects in two of the treatment groups were told that their allocations would hold for 40 financial periods, while subjects in the other two treatment groups were told their allocations would hold for only a single period. </w:t>
      </w:r>
      <w:r w:rsidR="00642819" w:rsidRPr="00C4141F">
        <w:rPr>
          <w:rFonts w:ascii="Times New Roman" w:hAnsi="Times New Roman" w:cs="Times New Roman"/>
        </w:rPr>
        <w:t xml:space="preserve">Subjects in all treatments experienced 200 periods, but </w:t>
      </w:r>
      <w:r w:rsidR="00EE44C1" w:rsidRPr="00C4141F">
        <w:rPr>
          <w:rFonts w:ascii="Times New Roman" w:hAnsi="Times New Roman" w:cs="Times New Roman"/>
        </w:rPr>
        <w:t>since</w:t>
      </w:r>
      <w:r w:rsidR="00642819" w:rsidRPr="00C4141F">
        <w:rPr>
          <w:rFonts w:ascii="Times New Roman" w:hAnsi="Times New Roman" w:cs="Times New Roman"/>
        </w:rPr>
        <w:t xml:space="preserve"> half of all subjects made decisions that held for 40 periods, those subjects only made 5 decisions while subjects whose decisions held for only one period made 200 decisions. </w:t>
      </w:r>
      <w:r w:rsidRPr="00C4141F">
        <w:rPr>
          <w:rFonts w:ascii="Times New Roman" w:hAnsi="Times New Roman" w:cs="Times New Roman"/>
        </w:rPr>
        <w:t xml:space="preserve">After making an allocation to Fund A, the remaining funds were automatically allocated to Fund B. Subjects were then shown a bar graph which depicted the </w:t>
      </w:r>
      <w:r w:rsidR="00C46480" w:rsidRPr="00C4141F">
        <w:rPr>
          <w:rFonts w:ascii="Times New Roman" w:hAnsi="Times New Roman" w:cs="Times New Roman"/>
        </w:rPr>
        <w:t xml:space="preserve">percentage return for Fund A and Fund B over the periods to which their previous allocation held. They were also shown the return of their overall portfolio, with the return of the overall portfolio being a weighted average of the returns of Funds A and B, the weight on each fund being determined by the subject’s percentage allocation to the funds. </w:t>
      </w:r>
      <w:r w:rsidR="005107DA" w:rsidRPr="00C4141F">
        <w:rPr>
          <w:rFonts w:ascii="Times New Roman" w:hAnsi="Times New Roman" w:cs="Times New Roman"/>
        </w:rPr>
        <w:t>Along with the bars indicating the returns, the return out to 2 decimal places was presented for each of the funds and the return of the overall portfolio.</w:t>
      </w:r>
    </w:p>
    <w:p w14:paraId="2C51B970" w14:textId="0E8C77E5" w:rsidR="00595568" w:rsidRPr="00C4141F" w:rsidRDefault="00B56A25"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percentage returns on the assets or funds that subjects allocated their resources between were both drawn from normal distributions. The returns for Fund A were </w:t>
      </w:r>
      <w:r w:rsidRPr="00C4141F">
        <w:rPr>
          <w:rFonts w:ascii="Times New Roman" w:hAnsi="Times New Roman" w:cs="Times New Roman"/>
        </w:rPr>
        <w:lastRenderedPageBreak/>
        <w:t xml:space="preserve">drawn from a normal distribution with a </w:t>
      </w:r>
      <w:r w:rsidR="00BF617E" w:rsidRPr="00C4141F">
        <w:rPr>
          <w:rFonts w:ascii="Times New Roman" w:hAnsi="Times New Roman" w:cs="Times New Roman"/>
        </w:rPr>
        <w:t>mean of .25 percent and a standard deviation of .177 percent</w:t>
      </w:r>
      <w:r w:rsidR="005953A6">
        <w:rPr>
          <w:rFonts w:ascii="Times New Roman" w:hAnsi="Times New Roman" w:cs="Times New Roman"/>
        </w:rPr>
        <w:t>, with an important caveat</w:t>
      </w:r>
      <w:r w:rsidR="00BF617E" w:rsidRPr="00C4141F">
        <w:rPr>
          <w:rFonts w:ascii="Times New Roman" w:hAnsi="Times New Roman" w:cs="Times New Roman"/>
        </w:rPr>
        <w:t>.</w:t>
      </w:r>
      <w:r w:rsidR="00FA4D69">
        <w:rPr>
          <w:rFonts w:ascii="Times New Roman" w:hAnsi="Times New Roman" w:cs="Times New Roman"/>
        </w:rPr>
        <w:t xml:space="preserve"> I</w:t>
      </w:r>
      <w:r w:rsidR="00BF617E" w:rsidRPr="00C4141F">
        <w:rPr>
          <w:rFonts w:ascii="Times New Roman" w:hAnsi="Times New Roman" w:cs="Times New Roman"/>
        </w:rPr>
        <w:t xml:space="preserve">f a realization from this distribution was negative, it was transformed to a 0. </w:t>
      </w:r>
      <w:r w:rsidR="00FA4D69">
        <w:rPr>
          <w:rFonts w:ascii="Times New Roman" w:hAnsi="Times New Roman" w:cs="Times New Roman"/>
        </w:rPr>
        <w:t>This means that the mean was greater than .25 while the st</w:t>
      </w:r>
      <w:r w:rsidR="00780CAB">
        <w:rPr>
          <w:rFonts w:ascii="Times New Roman" w:hAnsi="Times New Roman" w:cs="Times New Roman"/>
        </w:rPr>
        <w:t xml:space="preserve">andard deviation was less than .177. </w:t>
      </w:r>
      <w:r w:rsidR="00BF617E" w:rsidRPr="00C4141F">
        <w:rPr>
          <w:rFonts w:ascii="Times New Roman" w:hAnsi="Times New Roman" w:cs="Times New Roman"/>
        </w:rPr>
        <w:t>The returns for Fund B were drawn from a normal distribution with a mean of 1 percent and a standard deviation of 3.54 percent. There was no elimination or transformation of negative returns for Fund B. The distributions from which returns were drawn are the same as the distributions from which returns were drawn in Thaler et al. (1997).</w:t>
      </w:r>
      <w:r w:rsidR="000454E1" w:rsidRPr="00C4141F">
        <w:rPr>
          <w:rFonts w:ascii="Times New Roman" w:hAnsi="Times New Roman" w:cs="Times New Roman"/>
        </w:rPr>
        <w:t xml:space="preserve"> Importantly, this includes the transformation of negative returns to 0 for Fund A.</w:t>
      </w:r>
      <w:r w:rsidR="00BF617E" w:rsidRPr="00C4141F">
        <w:rPr>
          <w:rFonts w:ascii="Times New Roman" w:hAnsi="Times New Roman" w:cs="Times New Roman"/>
        </w:rPr>
        <w:t xml:space="preserve"> For the subjects whose returns held for 40 financial periods, the return shown to the subject was the result of compounding of the returns for those 40 periods.</w:t>
      </w:r>
      <w:r w:rsidR="00595568" w:rsidRPr="00C4141F">
        <w:rPr>
          <w:rFonts w:ascii="Times New Roman" w:hAnsi="Times New Roman" w:cs="Times New Roman"/>
        </w:rPr>
        <w:t xml:space="preserve"> </w:t>
      </w:r>
    </w:p>
    <w:p w14:paraId="6B5FF35B" w14:textId="2B904B6E" w:rsidR="00A63447" w:rsidRPr="00C4141F" w:rsidRDefault="005107DA"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will now describe the nature of the treatments to which the participants were assigned. Approximately half of subjects were assigned to a “Monthly” condition where their allocations between the funds would only hold for one period. The other half of subjects were assigned to a “Five-Yearly” condition where their allocations held and returns compounded over 40 periods. The subjects in the “Monthly” and the “Five Yearly” conditions were each divided into two groups, for a total of four separate groups. </w:t>
      </w:r>
      <w:r w:rsidR="00372690" w:rsidRPr="00C4141F">
        <w:rPr>
          <w:rFonts w:ascii="Times New Roman" w:hAnsi="Times New Roman" w:cs="Times New Roman"/>
        </w:rPr>
        <w:t>Half of the subjects in the Monthly condition</w:t>
      </w:r>
      <w:r w:rsidR="005953A6">
        <w:rPr>
          <w:rFonts w:ascii="Times New Roman" w:hAnsi="Times New Roman" w:cs="Times New Roman"/>
        </w:rPr>
        <w:t>s</w:t>
      </w:r>
      <w:r w:rsidR="00372690" w:rsidRPr="00C4141F">
        <w:rPr>
          <w:rFonts w:ascii="Times New Roman" w:hAnsi="Times New Roman" w:cs="Times New Roman"/>
        </w:rPr>
        <w:t xml:space="preserve"> were informed of the lower bound on the returns of Fund A, and half of the subjects in the Five Yearly condition were informed of the lower bound on the returns of Fund A. The condition where subjects’ allocations held for only one period and were provided information will be referred to as the </w:t>
      </w:r>
      <w:r w:rsidR="00FA3F80" w:rsidRPr="00C4141F">
        <w:rPr>
          <w:rFonts w:ascii="Times New Roman" w:hAnsi="Times New Roman" w:cs="Times New Roman"/>
          <w:i/>
          <w:iCs/>
        </w:rPr>
        <w:t xml:space="preserve">Monthly Information </w:t>
      </w:r>
      <w:r w:rsidR="00FA3F80" w:rsidRPr="00C4141F">
        <w:rPr>
          <w:rFonts w:ascii="Times New Roman" w:hAnsi="Times New Roman" w:cs="Times New Roman"/>
        </w:rPr>
        <w:t>condition</w:t>
      </w:r>
      <w:r w:rsidR="00372690" w:rsidRPr="00C4141F">
        <w:rPr>
          <w:rFonts w:ascii="Times New Roman" w:hAnsi="Times New Roman" w:cs="Times New Roman"/>
        </w:rPr>
        <w:t>, the condition where subjects’ allocations held for 40 periods and were not provided information will be referred to as the</w:t>
      </w:r>
      <w:r w:rsidR="00FA3F80" w:rsidRPr="00C4141F">
        <w:rPr>
          <w:rFonts w:ascii="Times New Roman" w:hAnsi="Times New Roman" w:cs="Times New Roman"/>
        </w:rPr>
        <w:t xml:space="preserve"> </w:t>
      </w:r>
      <w:r w:rsidR="00FA3F80" w:rsidRPr="00C4141F">
        <w:rPr>
          <w:rFonts w:ascii="Times New Roman" w:hAnsi="Times New Roman" w:cs="Times New Roman"/>
          <w:i/>
          <w:iCs/>
        </w:rPr>
        <w:t>Five-Yearly Without Information</w:t>
      </w:r>
      <w:r w:rsidR="00372690" w:rsidRPr="00C4141F">
        <w:rPr>
          <w:rFonts w:ascii="Times New Roman" w:hAnsi="Times New Roman" w:cs="Times New Roman"/>
        </w:rPr>
        <w:t xml:space="preserve"> </w:t>
      </w:r>
      <w:r w:rsidR="00FA3F80" w:rsidRPr="00C4141F">
        <w:rPr>
          <w:rFonts w:ascii="Times New Roman" w:hAnsi="Times New Roman" w:cs="Times New Roman"/>
        </w:rPr>
        <w:t>condition</w:t>
      </w:r>
      <w:r w:rsidR="00372690" w:rsidRPr="00C4141F">
        <w:rPr>
          <w:rFonts w:ascii="Times New Roman" w:hAnsi="Times New Roman" w:cs="Times New Roman"/>
        </w:rPr>
        <w:t xml:space="preserve">, and so on. </w:t>
      </w:r>
    </w:p>
    <w:p w14:paraId="4FC0D481" w14:textId="372C3A8E" w:rsidR="007359F3" w:rsidRPr="00B72E83" w:rsidRDefault="009A404E" w:rsidP="00194B2A">
      <w:pPr>
        <w:spacing w:after="100" w:afterAutospacing="1"/>
        <w:jc w:val="both"/>
        <w:rPr>
          <w:rFonts w:ascii="Times New Roman" w:hAnsi="Times New Roman" w:cs="Times New Roman"/>
          <w:b/>
          <w:bCs/>
          <w:sz w:val="28"/>
          <w:szCs w:val="28"/>
        </w:rPr>
      </w:pPr>
      <w:r w:rsidRPr="00B72E83">
        <w:rPr>
          <w:rFonts w:ascii="Times New Roman" w:hAnsi="Times New Roman" w:cs="Times New Roman"/>
          <w:b/>
          <w:bCs/>
          <w:sz w:val="28"/>
          <w:szCs w:val="28"/>
        </w:rPr>
        <w:t xml:space="preserve">III. </w:t>
      </w:r>
      <w:r w:rsidR="00E77ADC" w:rsidRPr="00B72E83">
        <w:rPr>
          <w:rFonts w:ascii="Times New Roman" w:hAnsi="Times New Roman" w:cs="Times New Roman"/>
          <w:b/>
          <w:bCs/>
          <w:sz w:val="28"/>
          <w:szCs w:val="28"/>
        </w:rPr>
        <w:t>Results</w:t>
      </w:r>
    </w:p>
    <w:p w14:paraId="5085221C" w14:textId="30CB6124" w:rsidR="00234FF4" w:rsidRPr="00C4141F" w:rsidRDefault="00247892"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w:t>
      </w:r>
      <w:r w:rsidR="007359F3" w:rsidRPr="00C4141F">
        <w:rPr>
          <w:rFonts w:ascii="Times New Roman" w:hAnsi="Times New Roman" w:cs="Times New Roman"/>
        </w:rPr>
        <w:t xml:space="preserve">primary </w:t>
      </w:r>
      <w:r w:rsidRPr="00C4141F">
        <w:rPr>
          <w:rFonts w:ascii="Times New Roman" w:hAnsi="Times New Roman" w:cs="Times New Roman"/>
        </w:rPr>
        <w:t xml:space="preserve">regression specification </w:t>
      </w:r>
      <w:r w:rsidR="007359F3" w:rsidRPr="00C4141F">
        <w:rPr>
          <w:rFonts w:ascii="Times New Roman" w:hAnsi="Times New Roman" w:cs="Times New Roman"/>
        </w:rPr>
        <w:t xml:space="preserve">I use is </w:t>
      </w:r>
      <w:r w:rsidR="004A60F2" w:rsidRPr="00C4141F">
        <w:rPr>
          <w:rFonts w:ascii="Times New Roman" w:hAnsi="Times New Roman" w:cs="Times New Roman"/>
        </w:rPr>
        <w:t>the same specification as</w:t>
      </w:r>
      <w:r w:rsidRPr="00C4141F">
        <w:rPr>
          <w:rFonts w:ascii="Times New Roman" w:hAnsi="Times New Roman" w:cs="Times New Roman"/>
        </w:rPr>
        <w:t xml:space="preserve"> </w:t>
      </w:r>
      <w:r w:rsidR="007359F3" w:rsidRPr="00C4141F">
        <w:rPr>
          <w:rFonts w:ascii="Times New Roman" w:hAnsi="Times New Roman" w:cs="Times New Roman"/>
        </w:rPr>
        <w:t>used by T</w:t>
      </w:r>
      <w:r w:rsidRPr="00C4141F">
        <w:rPr>
          <w:rFonts w:ascii="Times New Roman" w:hAnsi="Times New Roman" w:cs="Times New Roman"/>
        </w:rPr>
        <w:t>haler et al. (1997)</w:t>
      </w:r>
      <w:r w:rsidR="007359F3" w:rsidRPr="00C4141F">
        <w:rPr>
          <w:rFonts w:ascii="Times New Roman" w:hAnsi="Times New Roman" w:cs="Times New Roman"/>
        </w:rPr>
        <w:t xml:space="preserve">. </w:t>
      </w:r>
      <w:r w:rsidR="007F0817" w:rsidRPr="00C4141F">
        <w:rPr>
          <w:rFonts w:ascii="Times New Roman" w:hAnsi="Times New Roman" w:cs="Times New Roman"/>
        </w:rPr>
        <w:t>This regression allows the analysis of the existence and magnitude of changes in subject allocations over tim</w:t>
      </w:r>
      <w:r w:rsidR="00803295" w:rsidRPr="00C4141F">
        <w:rPr>
          <w:rFonts w:ascii="Times New Roman" w:hAnsi="Times New Roman" w:cs="Times New Roman"/>
        </w:rPr>
        <w:t>e.</w:t>
      </w:r>
      <w:r w:rsidR="007F0817" w:rsidRPr="00C4141F">
        <w:rPr>
          <w:rFonts w:ascii="Times New Roman" w:hAnsi="Times New Roman" w:cs="Times New Roman"/>
        </w:rPr>
        <w:t xml:space="preserve"> </w:t>
      </w:r>
      <w:r w:rsidR="007359F3" w:rsidRPr="00C4141F">
        <w:rPr>
          <w:rFonts w:ascii="Times New Roman" w:hAnsi="Times New Roman" w:cs="Times New Roman"/>
        </w:rPr>
        <w:t>It</w:t>
      </w:r>
      <w:r w:rsidRPr="00C4141F">
        <w:rPr>
          <w:rFonts w:ascii="Times New Roman" w:hAnsi="Times New Roman" w:cs="Times New Roman"/>
        </w:rPr>
        <w:t xml:space="preserve"> is</w:t>
      </w:r>
      <w:r w:rsidR="00234FF4" w:rsidRPr="00C4141F">
        <w:rPr>
          <w:rFonts w:ascii="Times New Roman" w:hAnsi="Times New Roman" w:cs="Times New Roman"/>
        </w:rPr>
        <w:t xml:space="preserve"> a simple OLS regression framework</w:t>
      </w:r>
      <w:r w:rsidR="008A7DA6" w:rsidRPr="00C4141F">
        <w:rPr>
          <w:rFonts w:ascii="Times New Roman" w:hAnsi="Times New Roman" w:cs="Times New Roman"/>
        </w:rPr>
        <w:t xml:space="preserve">, as shown below, and </w:t>
      </w:r>
      <w:r w:rsidR="00A972A8" w:rsidRPr="00C4141F">
        <w:rPr>
          <w:rFonts w:ascii="Times New Roman" w:hAnsi="Times New Roman" w:cs="Times New Roman"/>
        </w:rPr>
        <w:t>estimates</w:t>
      </w:r>
      <w:r w:rsidR="00234FF4" w:rsidRPr="00C4141F">
        <w:rPr>
          <w:rFonts w:ascii="Times New Roman" w:hAnsi="Times New Roman" w:cs="Times New Roman"/>
        </w:rPr>
        <w:t xml:space="preserve"> on the four treatment groups separately:</w:t>
      </w:r>
    </w:p>
    <w:p w14:paraId="1E7A77D9" w14:textId="1E541704" w:rsidR="00234FF4" w:rsidRPr="00C4141F" w:rsidRDefault="00000000" w:rsidP="00194B2A">
      <w:pPr>
        <w:spacing w:after="100" w:afterAutospacing="1"/>
        <w:jc w:val="both"/>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51F24E35" w14:textId="69AE8EFB" w:rsidR="00234FF4" w:rsidRPr="00C4141F" w:rsidRDefault="003C6090" w:rsidP="00194B2A">
      <w:pPr>
        <w:pStyle w:val="ListParagraph"/>
        <w:numPr>
          <w:ilvl w:val="0"/>
          <w:numId w:val="6"/>
        </w:numPr>
        <w:spacing w:after="100" w:afterAutospacing="1"/>
        <w:jc w:val="both"/>
        <w:rPr>
          <w:rFonts w:ascii="Times New Roman" w:hAnsi="Times New Roman" w:cs="Times New Roman"/>
        </w:rPr>
      </w:pPr>
      <w:r w:rsidRPr="00C4141F">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00234FF4" w:rsidRPr="00C4141F">
        <w:rPr>
          <w:rFonts w:ascii="Times New Roman" w:eastAsiaTheme="minorEastAsia" w:hAnsi="Times New Roman" w:cs="Times New Roman"/>
        </w:rPr>
        <w:t xml:space="preserve"> is the allocation for subject </w:t>
      </w:r>
      <w:proofErr w:type="spellStart"/>
      <w:r w:rsidR="001A5498" w:rsidRPr="00C4141F">
        <w:rPr>
          <w:rFonts w:ascii="Times New Roman" w:eastAsiaTheme="minorEastAsia" w:hAnsi="Times New Roman" w:cs="Times New Roman"/>
        </w:rPr>
        <w:t>i</w:t>
      </w:r>
      <w:proofErr w:type="spellEnd"/>
      <w:r w:rsidR="00234FF4" w:rsidRPr="00C4141F">
        <w:rPr>
          <w:rFonts w:ascii="Times New Roman" w:eastAsiaTheme="minorEastAsia" w:hAnsi="Times New Roman" w:cs="Times New Roman"/>
        </w:rPr>
        <w:t xml:space="preserve"> to Fund A in period </w:t>
      </w:r>
      <w:proofErr w:type="gramStart"/>
      <w:r w:rsidR="00234FF4" w:rsidRPr="00C4141F">
        <w:rPr>
          <w:rFonts w:ascii="Times New Roman" w:eastAsiaTheme="minorEastAsia" w:hAnsi="Times New Roman" w:cs="Times New Roman"/>
        </w:rPr>
        <w:t>t</w:t>
      </w:r>
      <w:proofErr w:type="gramEnd"/>
    </w:p>
    <w:p w14:paraId="68B02BD1" w14:textId="5A3BB761" w:rsidR="00A25235" w:rsidRPr="00C4141F" w:rsidRDefault="00000000" w:rsidP="00194B2A">
      <w:pPr>
        <w:pStyle w:val="ListParagraph"/>
        <w:numPr>
          <w:ilvl w:val="0"/>
          <w:numId w:val="6"/>
        </w:numPr>
        <w:spacing w:after="100" w:afterAutospacing="1"/>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A25235" w:rsidRPr="00C4141F">
        <w:rPr>
          <w:rFonts w:ascii="Times New Roman" w:eastAsiaTheme="minorEastAsia" w:hAnsi="Times New Roman" w:cs="Times New Roman"/>
        </w:rPr>
        <w:t xml:space="preserve"> is the trial number for subject i for trial </w:t>
      </w:r>
      <w:proofErr w:type="gramStart"/>
      <w:r w:rsidR="00A25235" w:rsidRPr="00C4141F">
        <w:rPr>
          <w:rFonts w:ascii="Times New Roman" w:eastAsiaTheme="minorEastAsia" w:hAnsi="Times New Roman" w:cs="Times New Roman"/>
        </w:rPr>
        <w:t>t</w:t>
      </w:r>
      <w:proofErr w:type="gramEnd"/>
    </w:p>
    <w:p w14:paraId="57AF21EB" w14:textId="7F416EFE" w:rsidR="00234FF4" w:rsidRPr="00C4141F" w:rsidRDefault="00000000" w:rsidP="00194B2A">
      <w:pPr>
        <w:pStyle w:val="ListParagraph"/>
        <w:numPr>
          <w:ilvl w:val="0"/>
          <w:numId w:val="6"/>
        </w:numPr>
        <w:spacing w:after="100" w:afterAutospacing="1"/>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34FF4" w:rsidRPr="00C4141F">
        <w:rPr>
          <w:rFonts w:ascii="Times New Roman" w:eastAsiaTheme="minorEastAsia" w:hAnsi="Times New Roman" w:cs="Times New Roman"/>
        </w:rPr>
        <w:t xml:space="preserve"> is the coefficient on the trial number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3C6090" w:rsidRPr="00C4141F">
        <w:rPr>
          <w:rFonts w:ascii="Times New Roman" w:eastAsiaTheme="minorEastAsia" w:hAnsi="Times New Roman" w:cs="Times New Roman"/>
        </w:rPr>
        <w:t>;</w:t>
      </w:r>
      <w:r w:rsidR="00234FF4" w:rsidRPr="00C414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34FF4" w:rsidRPr="00C4141F">
        <w:rPr>
          <w:rFonts w:ascii="Times New Roman" w:eastAsiaTheme="minorEastAsia" w:hAnsi="Times New Roman" w:cs="Times New Roman"/>
        </w:rPr>
        <w:t xml:space="preserve"> will measure the average change in allocation to Fund A in percentage </w:t>
      </w:r>
      <w:proofErr w:type="gramStart"/>
      <w:r w:rsidR="00234FF4" w:rsidRPr="00C4141F">
        <w:rPr>
          <w:rFonts w:ascii="Times New Roman" w:eastAsiaTheme="minorEastAsia" w:hAnsi="Times New Roman" w:cs="Times New Roman"/>
        </w:rPr>
        <w:t>points</w:t>
      </w:r>
      <w:proofErr w:type="gramEnd"/>
    </w:p>
    <w:p w14:paraId="3DECB165" w14:textId="39079480" w:rsidR="00E31B81" w:rsidRPr="00C4141F" w:rsidRDefault="003F3DA7" w:rsidP="00194B2A">
      <w:pPr>
        <w:spacing w:after="100" w:afterAutospacing="1"/>
        <w:jc w:val="both"/>
        <w:rPr>
          <w:rFonts w:ascii="Times New Roman" w:hAnsi="Times New Roman" w:cs="Times New Roman"/>
        </w:rPr>
      </w:pPr>
      <w:r w:rsidRPr="00C4141F">
        <w:rPr>
          <w:rFonts w:ascii="Times New Roman" w:hAnsi="Times New Roman" w:cs="Times New Roman"/>
        </w:rPr>
        <w:lastRenderedPageBreak/>
        <w:t xml:space="preserve">There are several assumptions that are made in (1) that I will now discuss. First, </w:t>
      </w:r>
      <w:r w:rsidR="00BB3AB4" w:rsidRPr="00C4141F">
        <w:rPr>
          <w:rFonts w:ascii="Times New Roman" w:hAnsi="Times New Roman" w:cs="Times New Roman"/>
        </w:rPr>
        <w:t>I assume</w:t>
      </w:r>
      <w:r w:rsidRPr="00C4141F">
        <w:rPr>
          <w:rFonts w:ascii="Times New Roman" w:hAnsi="Times New Roman" w:cs="Times New Roman"/>
        </w:rPr>
        <w:t xml:space="preserve"> that there are no important differences between the types of subjects that participated in each treatment group. </w:t>
      </w:r>
      <w:r w:rsidR="00BB3AB4" w:rsidRPr="00C4141F">
        <w:rPr>
          <w:rFonts w:ascii="Times New Roman" w:hAnsi="Times New Roman" w:cs="Times New Roman"/>
        </w:rPr>
        <w:t xml:space="preserve">This assumption is likely to be valid </w:t>
      </w:r>
      <w:r w:rsidR="005523DA" w:rsidRPr="00C4141F">
        <w:rPr>
          <w:rFonts w:ascii="Times New Roman" w:hAnsi="Times New Roman" w:cs="Times New Roman"/>
        </w:rPr>
        <w:t>because of the random assignment to treatment groups.</w:t>
      </w:r>
      <w:r w:rsidR="00E31B81" w:rsidRPr="00C4141F">
        <w:rPr>
          <w:rFonts w:ascii="Times New Roman" w:hAnsi="Times New Roman" w:cs="Times New Roman"/>
        </w:rPr>
        <w:t xml:space="preserve"> Additionally, since all participants were drawn from the same pool, an undergraduate student population, I do not expect there to be meaningful differences between the types of participants in any of the treatment groups. Another assumption made is that the </w:t>
      </w:r>
      <w:r w:rsidR="00437336" w:rsidRPr="00C4141F">
        <w:rPr>
          <w:rFonts w:ascii="Times New Roman" w:hAnsi="Times New Roman" w:cs="Times New Roman"/>
        </w:rPr>
        <w:t xml:space="preserve">realized returns on Fund A and Fund </w:t>
      </w:r>
      <w:proofErr w:type="spellStart"/>
      <w:r w:rsidR="00437336" w:rsidRPr="00C4141F">
        <w:rPr>
          <w:rFonts w:ascii="Times New Roman" w:hAnsi="Times New Roman" w:cs="Times New Roman"/>
        </w:rPr>
        <w:t>B are</w:t>
      </w:r>
      <w:proofErr w:type="spellEnd"/>
      <w:r w:rsidR="00437336" w:rsidRPr="00C4141F">
        <w:rPr>
          <w:rFonts w:ascii="Times New Roman" w:hAnsi="Times New Roman" w:cs="Times New Roman"/>
        </w:rPr>
        <w:t xml:space="preserve">, on average, </w:t>
      </w:r>
      <w:r w:rsidR="00A26CD4" w:rsidRPr="00C4141F">
        <w:rPr>
          <w:rFonts w:ascii="Times New Roman" w:hAnsi="Times New Roman" w:cs="Times New Roman"/>
        </w:rPr>
        <w:t>the same</w:t>
      </w:r>
      <w:r w:rsidR="00437336" w:rsidRPr="00C4141F">
        <w:rPr>
          <w:rFonts w:ascii="Times New Roman" w:hAnsi="Times New Roman" w:cs="Times New Roman"/>
        </w:rPr>
        <w:t xml:space="preserve"> across periods. Because the returns from Fund A and Fund B were drawn from </w:t>
      </w:r>
      <w:r w:rsidR="00740734" w:rsidRPr="00C4141F">
        <w:rPr>
          <w:rFonts w:ascii="Times New Roman" w:hAnsi="Times New Roman" w:cs="Times New Roman"/>
        </w:rPr>
        <w:t xml:space="preserve">the same </w:t>
      </w:r>
      <w:r w:rsidR="00437336" w:rsidRPr="00C4141F">
        <w:rPr>
          <w:rFonts w:ascii="Times New Roman" w:hAnsi="Times New Roman" w:cs="Times New Roman"/>
        </w:rPr>
        <w:t xml:space="preserve">distributions, subjects </w:t>
      </w:r>
      <w:r w:rsidR="008F3EB7" w:rsidRPr="00C4141F">
        <w:rPr>
          <w:rFonts w:ascii="Times New Roman" w:hAnsi="Times New Roman" w:cs="Times New Roman"/>
        </w:rPr>
        <w:t>did not experience</w:t>
      </w:r>
      <w:r w:rsidR="00437336" w:rsidRPr="00C4141F">
        <w:rPr>
          <w:rFonts w:ascii="Times New Roman" w:hAnsi="Times New Roman" w:cs="Times New Roman"/>
        </w:rPr>
        <w:t xml:space="preserve"> </w:t>
      </w:r>
      <w:r w:rsidR="008F3EB7" w:rsidRPr="00C4141F">
        <w:rPr>
          <w:rFonts w:ascii="Times New Roman" w:hAnsi="Times New Roman" w:cs="Times New Roman"/>
        </w:rPr>
        <w:t>meaningful</w:t>
      </w:r>
      <w:r w:rsidR="00570ED8">
        <w:rPr>
          <w:rFonts w:ascii="Times New Roman" w:hAnsi="Times New Roman" w:cs="Times New Roman"/>
        </w:rPr>
        <w:t xml:space="preserve"> differences </w:t>
      </w:r>
      <w:r w:rsidR="00437336" w:rsidRPr="00C4141F">
        <w:rPr>
          <w:rFonts w:ascii="Times New Roman" w:hAnsi="Times New Roman" w:cs="Times New Roman"/>
        </w:rPr>
        <w:t xml:space="preserve">in </w:t>
      </w:r>
      <w:r w:rsidR="00642819" w:rsidRPr="00C4141F">
        <w:rPr>
          <w:rFonts w:ascii="Times New Roman" w:hAnsi="Times New Roman" w:cs="Times New Roman"/>
        </w:rPr>
        <w:t xml:space="preserve">terms of </w:t>
      </w:r>
      <w:r w:rsidR="00437336" w:rsidRPr="00C4141F">
        <w:rPr>
          <w:rFonts w:ascii="Times New Roman" w:hAnsi="Times New Roman" w:cs="Times New Roman"/>
        </w:rPr>
        <w:t xml:space="preserve">either the order they experienced </w:t>
      </w:r>
      <w:r w:rsidR="00642819" w:rsidRPr="00C4141F">
        <w:rPr>
          <w:rFonts w:ascii="Times New Roman" w:hAnsi="Times New Roman" w:cs="Times New Roman"/>
        </w:rPr>
        <w:t>returns</w:t>
      </w:r>
      <w:r w:rsidR="00F653C7" w:rsidRPr="00C4141F">
        <w:rPr>
          <w:rFonts w:ascii="Times New Roman" w:hAnsi="Times New Roman" w:cs="Times New Roman"/>
        </w:rPr>
        <w:t xml:space="preserve"> </w:t>
      </w:r>
      <w:r w:rsidR="00437336" w:rsidRPr="00C4141F">
        <w:rPr>
          <w:rFonts w:ascii="Times New Roman" w:hAnsi="Times New Roman" w:cs="Times New Roman"/>
        </w:rPr>
        <w:t>or</w:t>
      </w:r>
      <w:r w:rsidR="00F653C7" w:rsidRPr="00C4141F">
        <w:rPr>
          <w:rFonts w:ascii="Times New Roman" w:hAnsi="Times New Roman" w:cs="Times New Roman"/>
        </w:rPr>
        <w:t xml:space="preserve"> </w:t>
      </w:r>
      <w:r w:rsidR="00437336" w:rsidRPr="00C4141F">
        <w:rPr>
          <w:rFonts w:ascii="Times New Roman" w:hAnsi="Times New Roman" w:cs="Times New Roman"/>
        </w:rPr>
        <w:t xml:space="preserve">in </w:t>
      </w:r>
      <w:r w:rsidR="00F653C7" w:rsidRPr="00C4141F">
        <w:rPr>
          <w:rFonts w:ascii="Times New Roman" w:hAnsi="Times New Roman" w:cs="Times New Roman"/>
        </w:rPr>
        <w:t xml:space="preserve">the </w:t>
      </w:r>
      <w:r w:rsidR="00437336" w:rsidRPr="00C4141F">
        <w:rPr>
          <w:rFonts w:ascii="Times New Roman" w:hAnsi="Times New Roman" w:cs="Times New Roman"/>
        </w:rPr>
        <w:t>average return</w:t>
      </w:r>
      <w:r w:rsidR="00F653C7" w:rsidRPr="00C4141F">
        <w:rPr>
          <w:rFonts w:ascii="Times New Roman" w:hAnsi="Times New Roman" w:cs="Times New Roman"/>
        </w:rPr>
        <w:t>s from the funds. The final important assumption made is that</w:t>
      </w:r>
      <w:r w:rsidR="00B67363" w:rsidRPr="00C4141F">
        <w:rPr>
          <w:rFonts w:ascii="Times New Roman" w:hAnsi="Times New Roman" w:cs="Times New Roman"/>
        </w:rPr>
        <w:t xml:space="preserve"> learning behavior, if it is observed, will be constant across the subjects’ decisions. This is </w:t>
      </w:r>
      <w:r w:rsidR="0060712C" w:rsidRPr="00C4141F">
        <w:rPr>
          <w:rFonts w:ascii="Times New Roman" w:hAnsi="Times New Roman" w:cs="Times New Roman"/>
        </w:rPr>
        <w:t xml:space="preserve">a </w:t>
      </w:r>
      <w:r w:rsidR="00B67363" w:rsidRPr="00C4141F">
        <w:rPr>
          <w:rFonts w:ascii="Times New Roman" w:hAnsi="Times New Roman" w:cs="Times New Roman"/>
        </w:rPr>
        <w:t xml:space="preserve">somewhat tenuous assumption as, if subjects are assumed to be Bayesians, they will asymptotically approach what is their utility maximizing allocation. </w:t>
      </w:r>
      <w:r w:rsidR="00542ECA" w:rsidRPr="00C4141F">
        <w:rPr>
          <w:rFonts w:ascii="Times New Roman" w:hAnsi="Times New Roman" w:cs="Times New Roman"/>
        </w:rPr>
        <w:t xml:space="preserve">In other words, it is likely that subjects learned more about the distributions in their first decision than their last decision. In a later section, I </w:t>
      </w:r>
      <w:r w:rsidR="00642819" w:rsidRPr="00C4141F">
        <w:rPr>
          <w:rFonts w:ascii="Times New Roman" w:hAnsi="Times New Roman" w:cs="Times New Roman"/>
        </w:rPr>
        <w:t xml:space="preserve">will </w:t>
      </w:r>
      <w:r w:rsidR="00542ECA" w:rsidRPr="00C4141F">
        <w:rPr>
          <w:rFonts w:ascii="Times New Roman" w:hAnsi="Times New Roman" w:cs="Times New Roman"/>
        </w:rPr>
        <w:t xml:space="preserve">address this </w:t>
      </w:r>
      <w:r w:rsidR="00642819" w:rsidRPr="00C4141F">
        <w:rPr>
          <w:rFonts w:ascii="Times New Roman" w:hAnsi="Times New Roman" w:cs="Times New Roman"/>
        </w:rPr>
        <w:t>issue with an alternate specification</w:t>
      </w:r>
      <w:r w:rsidR="00542ECA" w:rsidRPr="00C4141F">
        <w:rPr>
          <w:rFonts w:ascii="Times New Roman" w:hAnsi="Times New Roman" w:cs="Times New Roman"/>
        </w:rPr>
        <w:t>.</w:t>
      </w:r>
    </w:p>
    <w:p w14:paraId="2F996A22" w14:textId="2D03F0F2" w:rsidR="00715623" w:rsidRPr="00C4141F" w:rsidRDefault="00577205" w:rsidP="00194B2A">
      <w:pPr>
        <w:spacing w:after="100" w:afterAutospacing="1"/>
        <w:jc w:val="both"/>
        <w:rPr>
          <w:rFonts w:ascii="Times New Roman" w:hAnsi="Times New Roman" w:cs="Times New Roman"/>
        </w:rPr>
      </w:pPr>
      <w:r w:rsidRPr="00C4141F">
        <w:rPr>
          <w:rFonts w:ascii="Times New Roman" w:hAnsi="Times New Roman" w:cs="Times New Roman"/>
        </w:rPr>
        <w:t xml:space="preserve">For the first part of the discussion of results, the </w:t>
      </w:r>
      <w:r w:rsidR="00E25B83" w:rsidRPr="00C4141F">
        <w:rPr>
          <w:rFonts w:ascii="Times New Roman" w:hAnsi="Times New Roman" w:cs="Times New Roman"/>
        </w:rPr>
        <w:t>data</w:t>
      </w:r>
      <w:r w:rsidRPr="00C4141F">
        <w:rPr>
          <w:rFonts w:ascii="Times New Roman" w:hAnsi="Times New Roman" w:cs="Times New Roman"/>
        </w:rPr>
        <w:t xml:space="preserve"> will be examined using</w:t>
      </w:r>
      <w:r w:rsidR="00E25B83" w:rsidRPr="00C4141F">
        <w:rPr>
          <w:rFonts w:ascii="Times New Roman" w:hAnsi="Times New Roman" w:cs="Times New Roman"/>
        </w:rPr>
        <w:t xml:space="preserve"> (1),</w:t>
      </w:r>
      <w:r w:rsidRPr="00C4141F">
        <w:rPr>
          <w:rFonts w:ascii="Times New Roman" w:hAnsi="Times New Roman" w:cs="Times New Roman"/>
        </w:rPr>
        <w:t xml:space="preserve"> the </w:t>
      </w:r>
      <w:r w:rsidR="00E25B83" w:rsidRPr="00C4141F">
        <w:rPr>
          <w:rFonts w:ascii="Times New Roman" w:hAnsi="Times New Roman" w:cs="Times New Roman"/>
        </w:rPr>
        <w:t xml:space="preserve">regression </w:t>
      </w:r>
      <w:r w:rsidR="00234FF4" w:rsidRPr="00C4141F">
        <w:rPr>
          <w:rFonts w:ascii="Times New Roman" w:hAnsi="Times New Roman" w:cs="Times New Roman"/>
        </w:rPr>
        <w:t>used</w:t>
      </w:r>
      <w:r w:rsidR="004A1E60" w:rsidRPr="00C4141F">
        <w:rPr>
          <w:rFonts w:ascii="Times New Roman" w:hAnsi="Times New Roman" w:cs="Times New Roman"/>
        </w:rPr>
        <w:t xml:space="preserve"> by Thaler et al. (1997)</w:t>
      </w:r>
      <w:r w:rsidR="00D01211" w:rsidRPr="00C4141F">
        <w:rPr>
          <w:rFonts w:ascii="Times New Roman" w:hAnsi="Times New Roman" w:cs="Times New Roman"/>
        </w:rPr>
        <w:t xml:space="preserve"> in their experiment.</w:t>
      </w:r>
      <w:r w:rsidR="0004646B" w:rsidRPr="00C4141F">
        <w:rPr>
          <w:rFonts w:ascii="Times New Roman" w:hAnsi="Times New Roman" w:cs="Times New Roman"/>
        </w:rPr>
        <w:t xml:space="preserve"> </w:t>
      </w:r>
      <w:r w:rsidR="008C073D" w:rsidRPr="00C4141F">
        <w:rPr>
          <w:rFonts w:ascii="Times New Roman" w:hAnsi="Times New Roman" w:cs="Times New Roman"/>
        </w:rPr>
        <w:t xml:space="preserve">The results from </w:t>
      </w:r>
      <w:r w:rsidR="00E25B83" w:rsidRPr="00C4141F">
        <w:rPr>
          <w:rFonts w:ascii="Times New Roman" w:hAnsi="Times New Roman" w:cs="Times New Roman"/>
        </w:rPr>
        <w:t xml:space="preserve">this regression </w:t>
      </w:r>
      <w:r w:rsidR="008C073D" w:rsidRPr="00C4141F">
        <w:rPr>
          <w:rFonts w:ascii="Times New Roman" w:hAnsi="Times New Roman" w:cs="Times New Roman"/>
        </w:rPr>
        <w:t xml:space="preserve">are reported in Table </w:t>
      </w:r>
      <w:r w:rsidR="00780CAB">
        <w:rPr>
          <w:rFonts w:ascii="Times New Roman" w:hAnsi="Times New Roman" w:cs="Times New Roman"/>
        </w:rPr>
        <w:t>2</w:t>
      </w:r>
      <w:r w:rsidR="00E25B83" w:rsidRPr="00C4141F">
        <w:rPr>
          <w:rFonts w:ascii="Times New Roman" w:hAnsi="Times New Roman" w:cs="Times New Roman"/>
        </w:rPr>
        <w:t xml:space="preserve">. </w:t>
      </w:r>
      <w:r w:rsidR="00D01211" w:rsidRPr="00C4141F">
        <w:rPr>
          <w:rFonts w:ascii="Times New Roman" w:hAnsi="Times New Roman" w:cs="Times New Roman"/>
        </w:rPr>
        <w:t xml:space="preserve">In comparing Table </w:t>
      </w:r>
      <w:r w:rsidR="00780CAB">
        <w:rPr>
          <w:rFonts w:ascii="Times New Roman" w:hAnsi="Times New Roman" w:cs="Times New Roman"/>
        </w:rPr>
        <w:t>2</w:t>
      </w:r>
      <w:r w:rsidR="00D01211" w:rsidRPr="00C4141F">
        <w:rPr>
          <w:rFonts w:ascii="Times New Roman" w:hAnsi="Times New Roman" w:cs="Times New Roman"/>
        </w:rPr>
        <w:t xml:space="preserve"> and</w:t>
      </w:r>
      <w:r w:rsidR="00E25B83" w:rsidRPr="00C4141F">
        <w:rPr>
          <w:rFonts w:ascii="Times New Roman" w:hAnsi="Times New Roman" w:cs="Times New Roman"/>
        </w:rPr>
        <w:t xml:space="preserve"> </w:t>
      </w:r>
      <w:r w:rsidR="00780CAB">
        <w:rPr>
          <w:rFonts w:ascii="Times New Roman" w:hAnsi="Times New Roman" w:cs="Times New Roman"/>
        </w:rPr>
        <w:t xml:space="preserve">Table 1, </w:t>
      </w:r>
      <w:r w:rsidR="00D01211" w:rsidRPr="00C4141F">
        <w:rPr>
          <w:rFonts w:ascii="Times New Roman" w:hAnsi="Times New Roman" w:cs="Times New Roman"/>
        </w:rPr>
        <w:t xml:space="preserve">the </w:t>
      </w:r>
      <w:r w:rsidR="00E25B83" w:rsidRPr="00C4141F">
        <w:rPr>
          <w:rFonts w:ascii="Times New Roman" w:hAnsi="Times New Roman" w:cs="Times New Roman"/>
        </w:rPr>
        <w:t xml:space="preserve">results of the replication </w:t>
      </w:r>
      <w:r w:rsidR="00D01211" w:rsidRPr="00C4141F">
        <w:rPr>
          <w:rFonts w:ascii="Times New Roman" w:hAnsi="Times New Roman" w:cs="Times New Roman"/>
        </w:rPr>
        <w:t>seem</w:t>
      </w:r>
      <w:r w:rsidR="004A60F2" w:rsidRPr="00C4141F">
        <w:rPr>
          <w:rFonts w:ascii="Times New Roman" w:hAnsi="Times New Roman" w:cs="Times New Roman"/>
        </w:rPr>
        <w:t xml:space="preserve"> t</w:t>
      </w:r>
      <w:r w:rsidR="00D01211" w:rsidRPr="00C4141F">
        <w:rPr>
          <w:rFonts w:ascii="Times New Roman" w:hAnsi="Times New Roman" w:cs="Times New Roman"/>
        </w:rPr>
        <w:t xml:space="preserve">o be remarkably </w:t>
      </w:r>
      <w:proofErr w:type="gramStart"/>
      <w:r w:rsidR="00D01211" w:rsidRPr="00C4141F">
        <w:rPr>
          <w:rFonts w:ascii="Times New Roman" w:hAnsi="Times New Roman" w:cs="Times New Roman"/>
        </w:rPr>
        <w:t>similar to</w:t>
      </w:r>
      <w:proofErr w:type="gramEnd"/>
      <w:r w:rsidR="00D01211" w:rsidRPr="00C4141F">
        <w:rPr>
          <w:rFonts w:ascii="Times New Roman" w:hAnsi="Times New Roman" w:cs="Times New Roman"/>
        </w:rPr>
        <w:t xml:space="preserve"> the results of Thaler et al. (1997). </w:t>
      </w:r>
      <w:r w:rsidRPr="00C4141F">
        <w:rPr>
          <w:rFonts w:ascii="Times New Roman" w:hAnsi="Times New Roman" w:cs="Times New Roman"/>
        </w:rPr>
        <w:t xml:space="preserve">Subjects in the </w:t>
      </w:r>
      <w:r w:rsidRPr="00C4141F">
        <w:rPr>
          <w:rFonts w:ascii="Times New Roman" w:hAnsi="Times New Roman" w:cs="Times New Roman"/>
          <w:i/>
          <w:iCs/>
        </w:rPr>
        <w:t>Monthly</w:t>
      </w:r>
      <w:r w:rsidRPr="00C4141F">
        <w:rPr>
          <w:rFonts w:ascii="Times New Roman" w:hAnsi="Times New Roman" w:cs="Times New Roman"/>
        </w:rPr>
        <w:t xml:space="preserve"> </w:t>
      </w:r>
      <w:r w:rsidR="004A60F2" w:rsidRPr="00C4141F">
        <w:rPr>
          <w:rFonts w:ascii="Times New Roman" w:hAnsi="Times New Roman" w:cs="Times New Roman"/>
          <w:i/>
          <w:iCs/>
        </w:rPr>
        <w:t xml:space="preserve">Without Information </w:t>
      </w:r>
      <w:r w:rsidRPr="00C4141F">
        <w:rPr>
          <w:rFonts w:ascii="Times New Roman" w:hAnsi="Times New Roman" w:cs="Times New Roman"/>
        </w:rPr>
        <w:t>condition, as in the original experiment conducted by Thaler et al. (1997)</w:t>
      </w:r>
      <w:r w:rsidR="00E25B83" w:rsidRPr="00C4141F">
        <w:rPr>
          <w:rFonts w:ascii="Times New Roman" w:hAnsi="Times New Roman" w:cs="Times New Roman"/>
        </w:rPr>
        <w:t>,</w:t>
      </w:r>
      <w:r w:rsidRPr="00C4141F">
        <w:rPr>
          <w:rFonts w:ascii="Times New Roman" w:hAnsi="Times New Roman" w:cs="Times New Roman"/>
        </w:rPr>
        <w:t xml:space="preserve"> did not</w:t>
      </w:r>
      <w:r w:rsidR="00E25B83" w:rsidRPr="00C4141F">
        <w:rPr>
          <w:rFonts w:ascii="Times New Roman" w:hAnsi="Times New Roman" w:cs="Times New Roman"/>
        </w:rPr>
        <w:t xml:space="preserve"> change their allocations over the course of the experiment at a statistically significant level</w:t>
      </w:r>
      <w:r w:rsidR="004A1E60" w:rsidRPr="00C4141F">
        <w:rPr>
          <w:rFonts w:ascii="Times New Roman" w:hAnsi="Times New Roman" w:cs="Times New Roman"/>
        </w:rPr>
        <w:t xml:space="preserve">. </w:t>
      </w:r>
      <w:r w:rsidR="00D56C6A" w:rsidRPr="00C4141F">
        <w:rPr>
          <w:rFonts w:ascii="Times New Roman" w:hAnsi="Times New Roman" w:cs="Times New Roman"/>
        </w:rPr>
        <w:t xml:space="preserve">This lack of a trend in allocations over time can be seen in Figure 1. </w:t>
      </w:r>
      <w:r w:rsidR="00086FA2" w:rsidRPr="00C4141F">
        <w:rPr>
          <w:rFonts w:ascii="Times New Roman" w:hAnsi="Times New Roman" w:cs="Times New Roman"/>
        </w:rPr>
        <w:t xml:space="preserve">The replication of the </w:t>
      </w:r>
      <w:r w:rsidR="00086FA2" w:rsidRPr="00C4141F">
        <w:rPr>
          <w:rFonts w:ascii="Times New Roman" w:hAnsi="Times New Roman" w:cs="Times New Roman"/>
          <w:i/>
          <w:iCs/>
        </w:rPr>
        <w:t>Five-</w:t>
      </w:r>
      <w:r w:rsidR="00C344D2" w:rsidRPr="00C4141F">
        <w:rPr>
          <w:rFonts w:ascii="Times New Roman" w:hAnsi="Times New Roman" w:cs="Times New Roman"/>
          <w:i/>
          <w:iCs/>
        </w:rPr>
        <w:t>Y</w:t>
      </w:r>
      <w:r w:rsidR="00086FA2" w:rsidRPr="00C4141F">
        <w:rPr>
          <w:rFonts w:ascii="Times New Roman" w:hAnsi="Times New Roman" w:cs="Times New Roman"/>
          <w:i/>
          <w:iCs/>
        </w:rPr>
        <w:t>early</w:t>
      </w:r>
      <w:r w:rsidR="00086FA2" w:rsidRPr="00C4141F">
        <w:rPr>
          <w:rFonts w:ascii="Times New Roman" w:hAnsi="Times New Roman" w:cs="Times New Roman"/>
        </w:rPr>
        <w:t xml:space="preserve"> condition showed that there was updating behavior over the course of the experiment</w:t>
      </w:r>
      <w:r w:rsidR="00D01211" w:rsidRPr="00C4141F">
        <w:rPr>
          <w:rFonts w:ascii="Times New Roman" w:hAnsi="Times New Roman" w:cs="Times New Roman"/>
        </w:rPr>
        <w:t xml:space="preserve"> as can be seen </w:t>
      </w:r>
      <w:r w:rsidR="004F7D68" w:rsidRPr="00C4141F">
        <w:rPr>
          <w:rFonts w:ascii="Times New Roman" w:hAnsi="Times New Roman" w:cs="Times New Roman"/>
        </w:rPr>
        <w:t>in</w:t>
      </w:r>
      <w:r w:rsidR="00D01211" w:rsidRPr="00C4141F">
        <w:rPr>
          <w:rFonts w:ascii="Times New Roman" w:hAnsi="Times New Roman" w:cs="Times New Roman"/>
        </w:rPr>
        <w:t xml:space="preserve"> Table </w:t>
      </w:r>
      <w:r w:rsidR="00780CAB">
        <w:rPr>
          <w:rFonts w:ascii="Times New Roman" w:hAnsi="Times New Roman" w:cs="Times New Roman"/>
        </w:rPr>
        <w:t>2</w:t>
      </w:r>
      <w:r w:rsidR="00E13E39" w:rsidRPr="00C4141F">
        <w:rPr>
          <w:rFonts w:ascii="Times New Roman" w:hAnsi="Times New Roman" w:cs="Times New Roman"/>
        </w:rPr>
        <w:t xml:space="preserve">, and this trend in allocations to Fund </w:t>
      </w:r>
      <w:proofErr w:type="spellStart"/>
      <w:r w:rsidR="00E13E39" w:rsidRPr="00C4141F">
        <w:rPr>
          <w:rFonts w:ascii="Times New Roman" w:hAnsi="Times New Roman" w:cs="Times New Roman"/>
        </w:rPr>
        <w:t>A</w:t>
      </w:r>
      <w:proofErr w:type="spellEnd"/>
      <w:r w:rsidR="00E13E39" w:rsidRPr="00C4141F">
        <w:rPr>
          <w:rFonts w:ascii="Times New Roman" w:hAnsi="Times New Roman" w:cs="Times New Roman"/>
        </w:rPr>
        <w:t xml:space="preserve"> </w:t>
      </w:r>
      <w:proofErr w:type="spellStart"/>
      <w:r w:rsidR="00E13E39" w:rsidRPr="00C4141F">
        <w:rPr>
          <w:rFonts w:ascii="Times New Roman" w:hAnsi="Times New Roman" w:cs="Times New Roman"/>
        </w:rPr>
        <w:t>over time</w:t>
      </w:r>
      <w:proofErr w:type="spellEnd"/>
      <w:r w:rsidR="00E13E39" w:rsidRPr="00C4141F">
        <w:rPr>
          <w:rFonts w:ascii="Times New Roman" w:hAnsi="Times New Roman" w:cs="Times New Roman"/>
        </w:rPr>
        <w:t xml:space="preserve"> can be seen </w:t>
      </w:r>
      <w:r w:rsidR="00626908">
        <w:rPr>
          <w:rFonts w:ascii="Times New Roman" w:hAnsi="Times New Roman" w:cs="Times New Roman"/>
        </w:rPr>
        <w:t xml:space="preserve">visually </w:t>
      </w:r>
      <w:r w:rsidR="00E13E39" w:rsidRPr="00C4141F">
        <w:rPr>
          <w:rFonts w:ascii="Times New Roman" w:hAnsi="Times New Roman" w:cs="Times New Roman"/>
        </w:rPr>
        <w:t xml:space="preserve">in Figure 1. </w:t>
      </w:r>
      <w:r w:rsidR="00E25B83" w:rsidRPr="00C4141F">
        <w:rPr>
          <w:rFonts w:ascii="Times New Roman" w:hAnsi="Times New Roman" w:cs="Times New Roman"/>
        </w:rPr>
        <w:t>Once again</w:t>
      </w:r>
      <w:r w:rsidR="006A2F8A">
        <w:rPr>
          <w:rFonts w:ascii="Times New Roman" w:hAnsi="Times New Roman" w:cs="Times New Roman"/>
        </w:rPr>
        <w:t xml:space="preserve">, </w:t>
      </w:r>
      <w:r w:rsidR="00E25B83" w:rsidRPr="00C4141F">
        <w:rPr>
          <w:rFonts w:ascii="Times New Roman" w:hAnsi="Times New Roman" w:cs="Times New Roman"/>
        </w:rPr>
        <w:t xml:space="preserve">these results are consistent with the experiment </w:t>
      </w:r>
      <w:r w:rsidR="00BF4ACC" w:rsidRPr="00C4141F">
        <w:rPr>
          <w:rFonts w:ascii="Times New Roman" w:hAnsi="Times New Roman" w:cs="Times New Roman"/>
        </w:rPr>
        <w:t xml:space="preserve">conducted by Thaler et al. (1997). </w:t>
      </w:r>
      <w:r w:rsidR="00E77ADC" w:rsidRPr="00C4141F">
        <w:rPr>
          <w:rFonts w:ascii="Times New Roman" w:hAnsi="Times New Roman" w:cs="Times New Roman"/>
        </w:rPr>
        <w:t>When a test of equality is performed,</w:t>
      </w:r>
      <w:r w:rsidR="004453E2" w:rsidRPr="00C4141F">
        <w:rPr>
          <w:rFonts w:ascii="Times New Roman" w:hAnsi="Times New Roman" w:cs="Times New Roman"/>
        </w:rPr>
        <w:t xml:space="preserve"> </w:t>
      </w:r>
      <w:r w:rsidR="0045663E" w:rsidRPr="00C4141F">
        <w:rPr>
          <w:rFonts w:ascii="Times New Roman" w:hAnsi="Times New Roman" w:cs="Times New Roman"/>
        </w:rPr>
        <w:t xml:space="preserve">the coefficients on “Trial Number’ </w:t>
      </w:r>
      <w:r w:rsidR="00BF4ACC" w:rsidRPr="00C4141F">
        <w:rPr>
          <w:rFonts w:ascii="Times New Roman" w:hAnsi="Times New Roman" w:cs="Times New Roman"/>
        </w:rPr>
        <w:t xml:space="preserve">for the </w:t>
      </w:r>
      <w:r w:rsidR="00BF4ACC" w:rsidRPr="00C4141F">
        <w:rPr>
          <w:rFonts w:ascii="Times New Roman" w:hAnsi="Times New Roman" w:cs="Times New Roman"/>
          <w:i/>
          <w:iCs/>
        </w:rPr>
        <w:t>Monthly Without Information</w:t>
      </w:r>
      <w:r w:rsidR="00BF4ACC" w:rsidRPr="00C4141F">
        <w:rPr>
          <w:rFonts w:ascii="Times New Roman" w:hAnsi="Times New Roman" w:cs="Times New Roman"/>
        </w:rPr>
        <w:t xml:space="preserve"> and </w:t>
      </w:r>
      <w:r w:rsidR="00BF4ACC" w:rsidRPr="00C4141F">
        <w:rPr>
          <w:rFonts w:ascii="Times New Roman" w:hAnsi="Times New Roman" w:cs="Times New Roman"/>
          <w:i/>
          <w:iCs/>
        </w:rPr>
        <w:t>Five-Yearly Without Information</w:t>
      </w:r>
      <w:r w:rsidR="00BF4ACC" w:rsidRPr="00C4141F">
        <w:rPr>
          <w:rFonts w:ascii="Times New Roman" w:hAnsi="Times New Roman" w:cs="Times New Roman"/>
        </w:rPr>
        <w:t xml:space="preserve"> conditions </w:t>
      </w:r>
      <w:r w:rsidR="0045663E" w:rsidRPr="00C4141F">
        <w:rPr>
          <w:rFonts w:ascii="Times New Roman" w:hAnsi="Times New Roman" w:cs="Times New Roman"/>
        </w:rPr>
        <w:t xml:space="preserve">are not significantly different than their counterparts in </w:t>
      </w:r>
      <w:r w:rsidR="00A14AD7" w:rsidRPr="00C4141F">
        <w:rPr>
          <w:rFonts w:ascii="Times New Roman" w:hAnsi="Times New Roman" w:cs="Times New Roman"/>
        </w:rPr>
        <w:t>my</w:t>
      </w:r>
      <w:r w:rsidR="0045663E" w:rsidRPr="00C4141F">
        <w:rPr>
          <w:rFonts w:ascii="Times New Roman" w:hAnsi="Times New Roman" w:cs="Times New Roman"/>
        </w:rPr>
        <w:t xml:space="preserve"> </w:t>
      </w:r>
      <w:r w:rsidR="00A14AD7" w:rsidRPr="00C4141F">
        <w:rPr>
          <w:rFonts w:ascii="Times New Roman" w:hAnsi="Times New Roman" w:cs="Times New Roman"/>
        </w:rPr>
        <w:t>replication</w:t>
      </w:r>
      <w:r w:rsidR="0045663E" w:rsidRPr="00C4141F">
        <w:rPr>
          <w:rFonts w:ascii="Times New Roman" w:hAnsi="Times New Roman" w:cs="Times New Roman"/>
        </w:rPr>
        <w:t xml:space="preserve"> </w:t>
      </w:r>
      <w:r w:rsidR="00A14AD7" w:rsidRPr="00C4141F">
        <w:rPr>
          <w:rFonts w:ascii="Times New Roman" w:hAnsi="Times New Roman" w:cs="Times New Roman"/>
        </w:rPr>
        <w:t>of</w:t>
      </w:r>
      <w:r w:rsidR="0045663E" w:rsidRPr="00C4141F">
        <w:rPr>
          <w:rFonts w:ascii="Times New Roman" w:hAnsi="Times New Roman" w:cs="Times New Roman"/>
        </w:rPr>
        <w:t xml:space="preserve"> Thaler et al. (1997). </w:t>
      </w:r>
      <w:r w:rsidR="00A14AD7" w:rsidRPr="00C4141F">
        <w:rPr>
          <w:rFonts w:ascii="Times New Roman" w:hAnsi="Times New Roman" w:cs="Times New Roman"/>
        </w:rPr>
        <w:t>These tests are reported</w:t>
      </w:r>
      <w:r w:rsidR="002D3E4C" w:rsidRPr="00C4141F">
        <w:rPr>
          <w:rFonts w:ascii="Times New Roman" w:hAnsi="Times New Roman" w:cs="Times New Roman"/>
        </w:rPr>
        <w:t xml:space="preserve"> </w:t>
      </w:r>
      <w:r w:rsidR="00A14AD7" w:rsidRPr="00C4141F">
        <w:rPr>
          <w:rFonts w:ascii="Times New Roman" w:hAnsi="Times New Roman" w:cs="Times New Roman"/>
        </w:rPr>
        <w:t xml:space="preserve">in Table </w:t>
      </w:r>
      <w:r w:rsidR="00780CAB">
        <w:rPr>
          <w:rFonts w:ascii="Times New Roman" w:hAnsi="Times New Roman" w:cs="Times New Roman"/>
        </w:rPr>
        <w:t>3</w:t>
      </w:r>
      <w:r w:rsidR="00A14AD7" w:rsidRPr="00C4141F">
        <w:rPr>
          <w:rFonts w:ascii="Times New Roman" w:hAnsi="Times New Roman" w:cs="Times New Roman"/>
        </w:rPr>
        <w:t xml:space="preserve">. </w:t>
      </w:r>
    </w:p>
    <w:p w14:paraId="67E3DCF4" w14:textId="420E6228" w:rsidR="00711B01" w:rsidRPr="00C4141F" w:rsidRDefault="00E77ADC" w:rsidP="00194B2A">
      <w:pPr>
        <w:spacing w:after="100" w:afterAutospacing="1"/>
        <w:jc w:val="both"/>
        <w:rPr>
          <w:rFonts w:ascii="Times New Roman" w:hAnsi="Times New Roman" w:cs="Times New Roman"/>
        </w:rPr>
      </w:pPr>
      <w:r w:rsidRPr="00C4141F">
        <w:rPr>
          <w:rFonts w:ascii="Times New Roman" w:hAnsi="Times New Roman" w:cs="Times New Roman"/>
        </w:rPr>
        <w:t>I also p</w:t>
      </w:r>
      <w:r w:rsidR="00295513" w:rsidRPr="00C4141F">
        <w:rPr>
          <w:rFonts w:ascii="Times New Roman" w:hAnsi="Times New Roman" w:cs="Times New Roman"/>
        </w:rPr>
        <w:t xml:space="preserve">erform a statistical analysis </w:t>
      </w:r>
      <w:r w:rsidRPr="00C4141F">
        <w:rPr>
          <w:rFonts w:ascii="Times New Roman" w:hAnsi="Times New Roman" w:cs="Times New Roman"/>
        </w:rPr>
        <w:t xml:space="preserve">of the results from the </w:t>
      </w:r>
      <w:r w:rsidRPr="00C4141F">
        <w:rPr>
          <w:rFonts w:ascii="Times New Roman" w:hAnsi="Times New Roman" w:cs="Times New Roman"/>
          <w:i/>
          <w:iCs/>
        </w:rPr>
        <w:t>Information</w:t>
      </w:r>
      <w:r w:rsidRPr="00C4141F">
        <w:rPr>
          <w:rFonts w:ascii="Times New Roman" w:hAnsi="Times New Roman" w:cs="Times New Roman"/>
        </w:rPr>
        <w:t xml:space="preserve"> treatments using</w:t>
      </w:r>
      <w:r w:rsidR="00BF4ACC" w:rsidRPr="00C4141F">
        <w:rPr>
          <w:rFonts w:ascii="Times New Roman" w:hAnsi="Times New Roman" w:cs="Times New Roman"/>
        </w:rPr>
        <w:t xml:space="preserve"> (1)</w:t>
      </w:r>
      <w:r w:rsidR="006507E7" w:rsidRPr="00C4141F">
        <w:rPr>
          <w:rFonts w:ascii="Times New Roman" w:hAnsi="Times New Roman" w:cs="Times New Roman"/>
        </w:rPr>
        <w:t xml:space="preserve">, as can be seen in Table </w:t>
      </w:r>
      <w:r w:rsidR="00780CAB">
        <w:rPr>
          <w:rFonts w:ascii="Times New Roman" w:hAnsi="Times New Roman" w:cs="Times New Roman"/>
        </w:rPr>
        <w:t>2</w:t>
      </w:r>
      <w:r w:rsidR="004A60F2" w:rsidRPr="00C4141F">
        <w:rPr>
          <w:rFonts w:ascii="Times New Roman" w:hAnsi="Times New Roman" w:cs="Times New Roman"/>
        </w:rPr>
        <w:t>.</w:t>
      </w:r>
      <w:r w:rsidR="00E13E39" w:rsidRPr="00C4141F">
        <w:rPr>
          <w:rFonts w:ascii="Times New Roman" w:hAnsi="Times New Roman" w:cs="Times New Roman"/>
        </w:rPr>
        <w:t xml:space="preserve"> A visualization of the average allocations to Fund </w:t>
      </w:r>
      <w:proofErr w:type="spellStart"/>
      <w:r w:rsidR="00E13E39" w:rsidRPr="00C4141F">
        <w:rPr>
          <w:rFonts w:ascii="Times New Roman" w:hAnsi="Times New Roman" w:cs="Times New Roman"/>
        </w:rPr>
        <w:t>A</w:t>
      </w:r>
      <w:proofErr w:type="spellEnd"/>
      <w:r w:rsidR="00E13E39" w:rsidRPr="00C4141F">
        <w:rPr>
          <w:rFonts w:ascii="Times New Roman" w:hAnsi="Times New Roman" w:cs="Times New Roman"/>
        </w:rPr>
        <w:t xml:space="preserve"> over time for subjects in the information conditions is reported in Figure 2. </w:t>
      </w:r>
      <w:r w:rsidR="00DB135A" w:rsidRPr="00C4141F">
        <w:rPr>
          <w:rFonts w:ascii="Times New Roman" w:hAnsi="Times New Roman" w:cs="Times New Roman"/>
        </w:rPr>
        <w:t>For the</w:t>
      </w:r>
      <w:r w:rsidR="00C344D2" w:rsidRPr="00C4141F">
        <w:rPr>
          <w:rFonts w:ascii="Times New Roman" w:hAnsi="Times New Roman" w:cs="Times New Roman"/>
        </w:rPr>
        <w:t xml:space="preserve"> subjects in the Monthly</w:t>
      </w:r>
      <w:r w:rsidR="00F41883" w:rsidRPr="00C4141F">
        <w:rPr>
          <w:rFonts w:ascii="Times New Roman" w:hAnsi="Times New Roman" w:cs="Times New Roman"/>
        </w:rPr>
        <w:t xml:space="preserve"> </w:t>
      </w:r>
      <w:r w:rsidR="00F41883" w:rsidRPr="00C4141F">
        <w:rPr>
          <w:rFonts w:ascii="Times New Roman" w:hAnsi="Times New Roman" w:cs="Times New Roman"/>
          <w:i/>
          <w:iCs/>
        </w:rPr>
        <w:t>Information</w:t>
      </w:r>
      <w:r w:rsidR="00F41883" w:rsidRPr="00C4141F">
        <w:rPr>
          <w:rFonts w:ascii="Times New Roman" w:hAnsi="Times New Roman" w:cs="Times New Roman"/>
        </w:rPr>
        <w:t xml:space="preserve"> condition</w:t>
      </w:r>
      <w:r w:rsidR="000F505E" w:rsidRPr="00C4141F">
        <w:rPr>
          <w:rFonts w:ascii="Times New Roman" w:hAnsi="Times New Roman" w:cs="Times New Roman"/>
        </w:rPr>
        <w:t>, t</w:t>
      </w:r>
      <w:r w:rsidR="00C344D2" w:rsidRPr="00C4141F">
        <w:rPr>
          <w:rFonts w:ascii="Times New Roman" w:hAnsi="Times New Roman" w:cs="Times New Roman"/>
        </w:rPr>
        <w:t xml:space="preserve">he coefficient on the “Trial Number” variable is negative indicating that over the course of the experiment, subjects increased the percentage </w:t>
      </w:r>
      <w:r w:rsidR="000F505E" w:rsidRPr="00C4141F">
        <w:rPr>
          <w:rFonts w:ascii="Times New Roman" w:hAnsi="Times New Roman" w:cs="Times New Roman"/>
        </w:rPr>
        <w:t xml:space="preserve">of their resources </w:t>
      </w:r>
      <w:r w:rsidR="00C344D2" w:rsidRPr="00C4141F">
        <w:rPr>
          <w:rFonts w:ascii="Times New Roman" w:hAnsi="Times New Roman" w:cs="Times New Roman"/>
        </w:rPr>
        <w:t xml:space="preserve">allocated to Fund B. </w:t>
      </w:r>
      <w:r w:rsidR="00711B01" w:rsidRPr="00C4141F">
        <w:rPr>
          <w:rFonts w:ascii="Times New Roman" w:hAnsi="Times New Roman" w:cs="Times New Roman"/>
        </w:rPr>
        <w:t xml:space="preserve">This is an </w:t>
      </w:r>
      <w:r w:rsidR="00711B01" w:rsidRPr="00C4141F">
        <w:rPr>
          <w:rFonts w:ascii="Times New Roman" w:hAnsi="Times New Roman" w:cs="Times New Roman"/>
        </w:rPr>
        <w:lastRenderedPageBreak/>
        <w:t>unexpected result,</w:t>
      </w:r>
      <w:r w:rsidR="00F41883" w:rsidRPr="00C4141F">
        <w:rPr>
          <w:rFonts w:ascii="Times New Roman" w:hAnsi="Times New Roman" w:cs="Times New Roman"/>
        </w:rPr>
        <w:t xml:space="preserve"> and </w:t>
      </w:r>
      <w:r w:rsidR="00711B01" w:rsidRPr="00C4141F">
        <w:rPr>
          <w:rFonts w:ascii="Times New Roman" w:hAnsi="Times New Roman" w:cs="Times New Roman"/>
        </w:rPr>
        <w:t>I will dis</w:t>
      </w:r>
      <w:r w:rsidR="00855D62" w:rsidRPr="00C4141F">
        <w:rPr>
          <w:rFonts w:ascii="Times New Roman" w:hAnsi="Times New Roman" w:cs="Times New Roman"/>
        </w:rPr>
        <w:t>c</w:t>
      </w:r>
      <w:r w:rsidR="00711B01" w:rsidRPr="00C4141F">
        <w:rPr>
          <w:rFonts w:ascii="Times New Roman" w:hAnsi="Times New Roman" w:cs="Times New Roman"/>
        </w:rPr>
        <w:t>uss</w:t>
      </w:r>
      <w:r w:rsidR="00F41883" w:rsidRPr="00C4141F">
        <w:rPr>
          <w:rFonts w:ascii="Times New Roman" w:hAnsi="Times New Roman" w:cs="Times New Roman"/>
        </w:rPr>
        <w:t xml:space="preserve"> this result</w:t>
      </w:r>
      <w:r w:rsidR="00711B01" w:rsidRPr="00C4141F">
        <w:rPr>
          <w:rFonts w:ascii="Times New Roman" w:hAnsi="Times New Roman" w:cs="Times New Roman"/>
        </w:rPr>
        <w:t xml:space="preserve"> further in later sections of this paper. </w:t>
      </w:r>
      <w:r w:rsidR="006D70F4" w:rsidRPr="00C4141F">
        <w:rPr>
          <w:rFonts w:ascii="Times New Roman" w:hAnsi="Times New Roman" w:cs="Times New Roman"/>
        </w:rPr>
        <w:t>I report statistics on the average initial and final allocations for subjects in the various conditions in Table</w:t>
      </w:r>
      <w:r w:rsidR="00946BDD">
        <w:rPr>
          <w:rFonts w:ascii="Times New Roman" w:hAnsi="Times New Roman" w:cs="Times New Roman"/>
        </w:rPr>
        <w:t xml:space="preserve"> 4</w:t>
      </w:r>
      <w:r w:rsidR="00626908">
        <w:rPr>
          <w:rFonts w:ascii="Times New Roman" w:hAnsi="Times New Roman" w:cs="Times New Roman"/>
        </w:rPr>
        <w:t>. The</w:t>
      </w:r>
      <w:r w:rsidR="00C344D2" w:rsidRPr="00C4141F">
        <w:rPr>
          <w:rFonts w:ascii="Times New Roman" w:hAnsi="Times New Roman" w:cs="Times New Roman"/>
        </w:rPr>
        <w:t xml:space="preserve"> </w:t>
      </w:r>
      <w:r w:rsidR="000F505E" w:rsidRPr="00C4141F">
        <w:rPr>
          <w:rFonts w:ascii="Times New Roman" w:hAnsi="Times New Roman" w:cs="Times New Roman"/>
        </w:rPr>
        <w:t xml:space="preserve">initial allocation for </w:t>
      </w:r>
      <w:r w:rsidR="00626908">
        <w:rPr>
          <w:rFonts w:ascii="Times New Roman" w:hAnsi="Times New Roman" w:cs="Times New Roman"/>
          <w:i/>
          <w:iCs/>
        </w:rPr>
        <w:t xml:space="preserve">Monthly Without Information </w:t>
      </w:r>
      <w:r w:rsidR="00C344D2" w:rsidRPr="00C4141F">
        <w:rPr>
          <w:rFonts w:ascii="Times New Roman" w:hAnsi="Times New Roman" w:cs="Times New Roman"/>
        </w:rPr>
        <w:t xml:space="preserve">condition is </w:t>
      </w:r>
      <w:r w:rsidR="00626908">
        <w:rPr>
          <w:rFonts w:ascii="Times New Roman" w:hAnsi="Times New Roman" w:cs="Times New Roman"/>
        </w:rPr>
        <w:t xml:space="preserve">around </w:t>
      </w:r>
      <w:r w:rsidR="000F505E" w:rsidRPr="00C4141F">
        <w:rPr>
          <w:rFonts w:ascii="Times New Roman" w:hAnsi="Times New Roman" w:cs="Times New Roman"/>
        </w:rPr>
        <w:t>49</w:t>
      </w:r>
      <w:r w:rsidR="00C344D2" w:rsidRPr="00C4141F">
        <w:rPr>
          <w:rFonts w:ascii="Times New Roman" w:hAnsi="Times New Roman" w:cs="Times New Roman"/>
        </w:rPr>
        <w:t xml:space="preserve"> while the </w:t>
      </w:r>
      <w:r w:rsidR="000F505E" w:rsidRPr="00C4141F">
        <w:rPr>
          <w:rFonts w:ascii="Times New Roman" w:hAnsi="Times New Roman" w:cs="Times New Roman"/>
        </w:rPr>
        <w:t>initial allocation</w:t>
      </w:r>
      <w:r w:rsidR="00C344D2" w:rsidRPr="00C4141F">
        <w:rPr>
          <w:rFonts w:ascii="Times New Roman" w:hAnsi="Times New Roman" w:cs="Times New Roman"/>
        </w:rPr>
        <w:t xml:space="preserve"> of the regression for subjects in the </w:t>
      </w:r>
      <w:r w:rsidR="00626908">
        <w:rPr>
          <w:rFonts w:ascii="Times New Roman" w:hAnsi="Times New Roman" w:cs="Times New Roman"/>
          <w:i/>
          <w:iCs/>
        </w:rPr>
        <w:t xml:space="preserve">Monthly </w:t>
      </w:r>
      <w:r w:rsidR="00626908" w:rsidRPr="00626908">
        <w:rPr>
          <w:rFonts w:ascii="Times New Roman" w:hAnsi="Times New Roman" w:cs="Times New Roman"/>
        </w:rPr>
        <w:t>Information</w:t>
      </w:r>
      <w:r w:rsidR="00626908">
        <w:rPr>
          <w:rFonts w:ascii="Times New Roman" w:hAnsi="Times New Roman" w:cs="Times New Roman"/>
        </w:rPr>
        <w:t xml:space="preserve"> </w:t>
      </w:r>
      <w:r w:rsidR="00C344D2" w:rsidRPr="00626908">
        <w:rPr>
          <w:rFonts w:ascii="Times New Roman" w:hAnsi="Times New Roman" w:cs="Times New Roman"/>
        </w:rPr>
        <w:t>condition</w:t>
      </w:r>
      <w:r w:rsidR="00C344D2" w:rsidRPr="00C4141F">
        <w:rPr>
          <w:rFonts w:ascii="Times New Roman" w:hAnsi="Times New Roman" w:cs="Times New Roman"/>
        </w:rPr>
        <w:t xml:space="preserve"> is </w:t>
      </w:r>
      <w:r w:rsidR="00626908">
        <w:rPr>
          <w:rFonts w:ascii="Times New Roman" w:hAnsi="Times New Roman" w:cs="Times New Roman"/>
        </w:rPr>
        <w:t xml:space="preserve">around </w:t>
      </w:r>
      <w:r w:rsidR="000F505E" w:rsidRPr="00C4141F">
        <w:rPr>
          <w:rFonts w:ascii="Times New Roman" w:hAnsi="Times New Roman" w:cs="Times New Roman"/>
        </w:rPr>
        <w:t>70</w:t>
      </w:r>
      <w:r w:rsidR="00C344D2" w:rsidRPr="00C4141F">
        <w:rPr>
          <w:rFonts w:ascii="Times New Roman" w:hAnsi="Times New Roman" w:cs="Times New Roman"/>
        </w:rPr>
        <w:t xml:space="preserve">. </w:t>
      </w:r>
      <w:r w:rsidR="00913205" w:rsidRPr="00C4141F">
        <w:rPr>
          <w:rFonts w:ascii="Times New Roman" w:hAnsi="Times New Roman" w:cs="Times New Roman"/>
        </w:rPr>
        <w:t xml:space="preserve">This indicates that on the first decision the subject made, the provision of information about Fund A induced them to </w:t>
      </w:r>
      <w:r w:rsidR="00FE4531" w:rsidRPr="00C4141F">
        <w:rPr>
          <w:rFonts w:ascii="Times New Roman" w:hAnsi="Times New Roman" w:cs="Times New Roman"/>
        </w:rPr>
        <w:t>allocate</w:t>
      </w:r>
      <w:r w:rsidR="00913205" w:rsidRPr="00C4141F">
        <w:rPr>
          <w:rFonts w:ascii="Times New Roman" w:hAnsi="Times New Roman" w:cs="Times New Roman"/>
        </w:rPr>
        <w:t xml:space="preserve"> more to Fund A</w:t>
      </w:r>
      <w:r w:rsidR="00FE4531" w:rsidRPr="00C4141F">
        <w:rPr>
          <w:rFonts w:ascii="Times New Roman" w:hAnsi="Times New Roman" w:cs="Times New Roman"/>
        </w:rPr>
        <w:t>. This change in behavior is consistent with the phenomenon of ambig</w:t>
      </w:r>
      <w:r w:rsidR="00170631" w:rsidRPr="00C4141F">
        <w:rPr>
          <w:rFonts w:ascii="Times New Roman" w:hAnsi="Times New Roman" w:cs="Times New Roman"/>
        </w:rPr>
        <w:t>uity aversion (Ellsberg 1961)</w:t>
      </w:r>
      <w:r w:rsidR="005D039F" w:rsidRPr="00C4141F">
        <w:rPr>
          <w:rFonts w:ascii="Times New Roman" w:hAnsi="Times New Roman" w:cs="Times New Roman"/>
        </w:rPr>
        <w:t xml:space="preserve">, as I will address later. </w:t>
      </w:r>
      <w:r w:rsidR="00711B01" w:rsidRPr="00C4141F">
        <w:rPr>
          <w:rFonts w:ascii="Times New Roman" w:hAnsi="Times New Roman" w:cs="Times New Roman"/>
        </w:rPr>
        <w:t xml:space="preserve">For the </w:t>
      </w:r>
      <w:r w:rsidR="00711B01" w:rsidRPr="00C4141F">
        <w:rPr>
          <w:rFonts w:ascii="Times New Roman" w:hAnsi="Times New Roman" w:cs="Times New Roman"/>
          <w:i/>
          <w:iCs/>
        </w:rPr>
        <w:t xml:space="preserve">Five-Yearly </w:t>
      </w:r>
      <w:r w:rsidR="00F41883" w:rsidRPr="00C4141F">
        <w:rPr>
          <w:rFonts w:ascii="Times New Roman" w:hAnsi="Times New Roman" w:cs="Times New Roman"/>
          <w:i/>
          <w:iCs/>
        </w:rPr>
        <w:t>I</w:t>
      </w:r>
      <w:r w:rsidR="00711B01" w:rsidRPr="00C4141F">
        <w:rPr>
          <w:rFonts w:ascii="Times New Roman" w:hAnsi="Times New Roman" w:cs="Times New Roman"/>
          <w:i/>
          <w:iCs/>
        </w:rPr>
        <w:t>nformation</w:t>
      </w:r>
      <w:r w:rsidR="00711B01" w:rsidRPr="00C4141F">
        <w:rPr>
          <w:rFonts w:ascii="Times New Roman" w:hAnsi="Times New Roman" w:cs="Times New Roman"/>
        </w:rPr>
        <w:t xml:space="preserve"> condition, the point-estimate of the coefficient on Trial Number is negative, but I do not find statistical significance at </w:t>
      </w:r>
      <w:r w:rsidR="00542ECA" w:rsidRPr="00C4141F">
        <w:rPr>
          <w:rFonts w:ascii="Times New Roman" w:hAnsi="Times New Roman" w:cs="Times New Roman"/>
        </w:rPr>
        <w:t xml:space="preserve">any </w:t>
      </w:r>
      <w:r w:rsidR="00616C90">
        <w:rPr>
          <w:rFonts w:ascii="Times New Roman" w:hAnsi="Times New Roman" w:cs="Times New Roman"/>
        </w:rPr>
        <w:t xml:space="preserve">conventional </w:t>
      </w:r>
      <w:r w:rsidR="00542ECA" w:rsidRPr="00C4141F">
        <w:rPr>
          <w:rFonts w:ascii="Times New Roman" w:hAnsi="Times New Roman" w:cs="Times New Roman"/>
        </w:rPr>
        <w:t>level.</w:t>
      </w:r>
      <w:r w:rsidR="001F0C50" w:rsidRPr="00C4141F">
        <w:rPr>
          <w:rFonts w:ascii="Times New Roman" w:hAnsi="Times New Roman" w:cs="Times New Roman"/>
        </w:rPr>
        <w:t xml:space="preserve"> </w:t>
      </w:r>
    </w:p>
    <w:p w14:paraId="6383CF36" w14:textId="75D73ADA" w:rsidR="00D546A4" w:rsidRPr="00C4141F" w:rsidRDefault="00D546A4" w:rsidP="00194B2A">
      <w:pPr>
        <w:spacing w:after="100" w:afterAutospacing="1"/>
        <w:jc w:val="both"/>
        <w:rPr>
          <w:rFonts w:ascii="Times New Roman" w:hAnsi="Times New Roman" w:cs="Times New Roman"/>
          <w:b/>
          <w:bCs/>
          <w:i/>
          <w:iCs/>
        </w:rPr>
      </w:pPr>
      <w:r w:rsidRPr="00C4141F">
        <w:rPr>
          <w:rFonts w:ascii="Times New Roman" w:hAnsi="Times New Roman" w:cs="Times New Roman"/>
          <w:b/>
          <w:bCs/>
          <w:i/>
          <w:iCs/>
        </w:rPr>
        <w:t>Clustering</w:t>
      </w:r>
    </w:p>
    <w:p w14:paraId="1F9A3319" w14:textId="24E9E65C" w:rsidR="00401E72" w:rsidRDefault="00E31B81" w:rsidP="00194B2A">
      <w:pPr>
        <w:spacing w:after="100" w:afterAutospacing="1"/>
        <w:jc w:val="both"/>
        <w:rPr>
          <w:rFonts w:ascii="Times New Roman" w:hAnsi="Times New Roman" w:cs="Times New Roman"/>
        </w:rPr>
      </w:pPr>
      <w:r w:rsidRPr="00C4141F">
        <w:rPr>
          <w:rFonts w:ascii="Times New Roman" w:hAnsi="Times New Roman" w:cs="Times New Roman"/>
        </w:rPr>
        <w:t xml:space="preserve">One assumption that I did not mention above that applies to (1) is that of the robustness of the standard errors. </w:t>
      </w:r>
      <w:r w:rsidR="00247892" w:rsidRPr="00C4141F">
        <w:rPr>
          <w:rFonts w:ascii="Times New Roman" w:hAnsi="Times New Roman" w:cs="Times New Roman"/>
        </w:rPr>
        <w:t xml:space="preserve">The experiments conducted by Thaler et al. (1997) and Gneezy and Potters (1997) conducted regressions </w:t>
      </w:r>
      <w:r w:rsidR="004A60F2" w:rsidRPr="00C4141F">
        <w:rPr>
          <w:rFonts w:ascii="Times New Roman" w:hAnsi="Times New Roman" w:cs="Times New Roman"/>
        </w:rPr>
        <w:t xml:space="preserve">which did not account for the </w:t>
      </w:r>
      <w:r w:rsidR="00704B41" w:rsidRPr="00C4141F">
        <w:rPr>
          <w:rFonts w:ascii="Times New Roman" w:hAnsi="Times New Roman" w:cs="Times New Roman"/>
        </w:rPr>
        <w:t xml:space="preserve">possible </w:t>
      </w:r>
      <w:r w:rsidR="004A60F2" w:rsidRPr="00C4141F">
        <w:rPr>
          <w:rFonts w:ascii="Times New Roman" w:hAnsi="Times New Roman" w:cs="Times New Roman"/>
        </w:rPr>
        <w:t>correlation of the errors between a subject’s decision</w:t>
      </w:r>
      <w:r w:rsidR="00704B41" w:rsidRPr="00C4141F">
        <w:rPr>
          <w:rFonts w:ascii="Times New Roman" w:hAnsi="Times New Roman" w:cs="Times New Roman"/>
        </w:rPr>
        <w:t xml:space="preserve">s. As </w:t>
      </w:r>
      <w:r w:rsidR="008F39F9" w:rsidRPr="00C4141F">
        <w:rPr>
          <w:rFonts w:ascii="Times New Roman" w:hAnsi="Times New Roman" w:cs="Times New Roman"/>
        </w:rPr>
        <w:t xml:space="preserve">the use of clustered standard errors was not common at the time of publication, this is to be expected. </w:t>
      </w:r>
      <w:r w:rsidR="00DB135A" w:rsidRPr="00C4141F">
        <w:rPr>
          <w:rFonts w:ascii="Times New Roman" w:hAnsi="Times New Roman" w:cs="Times New Roman"/>
        </w:rPr>
        <w:t>However, it has been shown that if a subject is asked to make multiple decisions in the same experimental environment, it is necessary to cluster the standard errors at the subject level</w:t>
      </w:r>
      <w:r w:rsidR="009645DD" w:rsidRPr="00C4141F">
        <w:rPr>
          <w:rFonts w:ascii="Times New Roman" w:hAnsi="Times New Roman" w:cs="Times New Roman"/>
        </w:rPr>
        <w:t xml:space="preserve"> (Kim 2020)</w:t>
      </w:r>
      <w:r w:rsidR="00DB135A" w:rsidRPr="00C4141F">
        <w:rPr>
          <w:rFonts w:ascii="Times New Roman" w:hAnsi="Times New Roman" w:cs="Times New Roman"/>
        </w:rPr>
        <w:t xml:space="preserve">. Intuitively, the reason for this is that the decision of a subject made in period (t+1) is likely heavily determined by the decision that the subject made in period (t). </w:t>
      </w:r>
      <w:r w:rsidR="00F41883" w:rsidRPr="00C4141F">
        <w:rPr>
          <w:rFonts w:ascii="Times New Roman" w:hAnsi="Times New Roman" w:cs="Times New Roman"/>
        </w:rPr>
        <w:t xml:space="preserve">Therefore, the errors </w:t>
      </w:r>
      <w:r w:rsidR="00332413" w:rsidRPr="00C4141F">
        <w:rPr>
          <w:rFonts w:ascii="Times New Roman" w:hAnsi="Times New Roman" w:cs="Times New Roman"/>
        </w:rPr>
        <w:t xml:space="preserve">for an individual </w:t>
      </w:r>
      <w:r w:rsidR="005A4262" w:rsidRPr="00C4141F">
        <w:rPr>
          <w:rFonts w:ascii="Times New Roman" w:hAnsi="Times New Roman" w:cs="Times New Roman"/>
        </w:rPr>
        <w:t xml:space="preserve">subject’s observations </w:t>
      </w:r>
      <w:r w:rsidR="00F41883" w:rsidRPr="00C4141F">
        <w:rPr>
          <w:rFonts w:ascii="Times New Roman" w:hAnsi="Times New Roman" w:cs="Times New Roman"/>
        </w:rPr>
        <w:t xml:space="preserve">are likely to be </w:t>
      </w:r>
      <w:r w:rsidR="008934D3" w:rsidRPr="00C4141F">
        <w:rPr>
          <w:rFonts w:ascii="Times New Roman" w:hAnsi="Times New Roman" w:cs="Times New Roman"/>
        </w:rPr>
        <w:t>strongly</w:t>
      </w:r>
      <w:r w:rsidR="00F41883" w:rsidRPr="00C4141F">
        <w:rPr>
          <w:rFonts w:ascii="Times New Roman" w:hAnsi="Times New Roman" w:cs="Times New Roman"/>
        </w:rPr>
        <w:t xml:space="preserve"> correlated. </w:t>
      </w:r>
      <w:r w:rsidR="00DB135A" w:rsidRPr="00C4141F">
        <w:rPr>
          <w:rFonts w:ascii="Times New Roman" w:hAnsi="Times New Roman" w:cs="Times New Roman"/>
        </w:rPr>
        <w:t>For this reason, I have included the clustered standard errors</w:t>
      </w:r>
      <w:r w:rsidRPr="00C4141F">
        <w:rPr>
          <w:rFonts w:ascii="Times New Roman" w:hAnsi="Times New Roman" w:cs="Times New Roman"/>
        </w:rPr>
        <w:t xml:space="preserve"> at the participant level</w:t>
      </w:r>
      <w:r w:rsidR="00DB135A" w:rsidRPr="00C4141F">
        <w:rPr>
          <w:rFonts w:ascii="Times New Roman" w:hAnsi="Times New Roman" w:cs="Times New Roman"/>
        </w:rPr>
        <w:t xml:space="preserve"> in </w:t>
      </w:r>
      <w:r w:rsidR="00A36C17" w:rsidRPr="00C4141F">
        <w:rPr>
          <w:rFonts w:ascii="Times New Roman" w:hAnsi="Times New Roman" w:cs="Times New Roman"/>
        </w:rPr>
        <w:t xml:space="preserve">Panel B of </w:t>
      </w:r>
      <w:r w:rsidR="00DB135A" w:rsidRPr="00C4141F">
        <w:rPr>
          <w:rFonts w:ascii="Times New Roman" w:hAnsi="Times New Roman" w:cs="Times New Roman"/>
        </w:rPr>
        <w:t xml:space="preserve">Table </w:t>
      </w:r>
      <w:r w:rsidR="004463D8">
        <w:rPr>
          <w:rFonts w:ascii="Times New Roman" w:hAnsi="Times New Roman" w:cs="Times New Roman"/>
        </w:rPr>
        <w:t>2</w:t>
      </w:r>
      <w:r w:rsidR="008934D3" w:rsidRPr="00C4141F">
        <w:rPr>
          <w:rFonts w:ascii="Times New Roman" w:hAnsi="Times New Roman" w:cs="Times New Roman"/>
        </w:rPr>
        <w:t xml:space="preserve"> for the various conditions</w:t>
      </w:r>
      <w:r w:rsidR="00DB135A" w:rsidRPr="00C4141F">
        <w:rPr>
          <w:rFonts w:ascii="Times New Roman" w:hAnsi="Times New Roman" w:cs="Times New Roman"/>
        </w:rPr>
        <w:t>.</w:t>
      </w:r>
      <w:r w:rsidR="009A05E4" w:rsidRPr="00C4141F">
        <w:rPr>
          <w:rFonts w:ascii="Times New Roman" w:hAnsi="Times New Roman" w:cs="Times New Roman"/>
        </w:rPr>
        <w:t xml:space="preserve"> As one can see, the coefficients on Trial Number </w:t>
      </w:r>
      <w:r w:rsidR="008934D3" w:rsidRPr="00C4141F">
        <w:rPr>
          <w:rFonts w:ascii="Times New Roman" w:hAnsi="Times New Roman" w:cs="Times New Roman"/>
        </w:rPr>
        <w:t>that were significant</w:t>
      </w:r>
      <w:r w:rsidR="00A77E19" w:rsidRPr="00C4141F">
        <w:rPr>
          <w:rFonts w:ascii="Times New Roman" w:hAnsi="Times New Roman" w:cs="Times New Roman"/>
        </w:rPr>
        <w:t xml:space="preserve"> without clustering</w:t>
      </w:r>
      <w:r w:rsidR="008934D3" w:rsidRPr="00C4141F">
        <w:rPr>
          <w:rFonts w:ascii="Times New Roman" w:hAnsi="Times New Roman" w:cs="Times New Roman"/>
        </w:rPr>
        <w:t xml:space="preserve">, </w:t>
      </w:r>
      <w:r w:rsidR="009A05E4" w:rsidRPr="00C4141F">
        <w:rPr>
          <w:rFonts w:ascii="Times New Roman" w:hAnsi="Times New Roman" w:cs="Times New Roman"/>
        </w:rPr>
        <w:t>remain significant at a 5% level for all conditions besides the Monthly Information treatment. Since clustered standard errors do not change the point estimates of the coefficients, it is not correct to conclude that the information provision for subjects allocating monthly had no effect</w:t>
      </w:r>
      <w:r w:rsidR="007359F3" w:rsidRPr="00C4141F">
        <w:rPr>
          <w:rFonts w:ascii="Times New Roman" w:hAnsi="Times New Roman" w:cs="Times New Roman"/>
        </w:rPr>
        <w:t>,</w:t>
      </w:r>
      <w:r w:rsidR="00642819" w:rsidRPr="00C4141F">
        <w:rPr>
          <w:rFonts w:ascii="Times New Roman" w:hAnsi="Times New Roman" w:cs="Times New Roman"/>
        </w:rPr>
        <w:t xml:space="preserve"> rather, I lack the statistical power to</w:t>
      </w:r>
      <w:r w:rsidR="00A77E19" w:rsidRPr="00C4141F">
        <w:rPr>
          <w:rFonts w:ascii="Times New Roman" w:hAnsi="Times New Roman" w:cs="Times New Roman"/>
        </w:rPr>
        <w:t xml:space="preserve"> reject the null hypothesis that there was no change in a subject’s allocations over time</w:t>
      </w:r>
      <w:r w:rsidR="007359F3" w:rsidRPr="00C4141F">
        <w:rPr>
          <w:rFonts w:ascii="Times New Roman" w:hAnsi="Times New Roman" w:cs="Times New Roman"/>
        </w:rPr>
        <w:t>.</w:t>
      </w:r>
      <w:r w:rsidR="009A05E4" w:rsidRPr="00C4141F">
        <w:rPr>
          <w:rFonts w:ascii="Times New Roman" w:hAnsi="Times New Roman" w:cs="Times New Roman"/>
        </w:rPr>
        <w:t xml:space="preserve"> </w:t>
      </w:r>
      <w:r w:rsidR="00A77E19" w:rsidRPr="00C4141F">
        <w:rPr>
          <w:rFonts w:ascii="Times New Roman" w:hAnsi="Times New Roman" w:cs="Times New Roman"/>
        </w:rPr>
        <w:t>T</w:t>
      </w:r>
      <w:r w:rsidR="009A05E4" w:rsidRPr="00C4141F">
        <w:rPr>
          <w:rFonts w:ascii="Times New Roman" w:hAnsi="Times New Roman" w:cs="Times New Roman"/>
        </w:rPr>
        <w:t xml:space="preserve">o ascertain </w:t>
      </w:r>
      <w:proofErr w:type="gramStart"/>
      <w:r w:rsidR="009A05E4" w:rsidRPr="00C4141F">
        <w:rPr>
          <w:rFonts w:ascii="Times New Roman" w:hAnsi="Times New Roman" w:cs="Times New Roman"/>
        </w:rPr>
        <w:t>whether or not</w:t>
      </w:r>
      <w:proofErr w:type="gramEnd"/>
      <w:r w:rsidR="009A05E4" w:rsidRPr="00C4141F">
        <w:rPr>
          <w:rFonts w:ascii="Times New Roman" w:hAnsi="Times New Roman" w:cs="Times New Roman"/>
        </w:rPr>
        <w:t xml:space="preserve"> the provision of information </w:t>
      </w:r>
      <w:r w:rsidR="00711B01" w:rsidRPr="00C4141F">
        <w:rPr>
          <w:rFonts w:ascii="Times New Roman" w:hAnsi="Times New Roman" w:cs="Times New Roman"/>
        </w:rPr>
        <w:t xml:space="preserve">for subjects allocating monthly did </w:t>
      </w:r>
      <w:r w:rsidR="00F04F70" w:rsidRPr="00C4141F">
        <w:rPr>
          <w:rFonts w:ascii="Times New Roman" w:hAnsi="Times New Roman" w:cs="Times New Roman"/>
        </w:rPr>
        <w:t xml:space="preserve">definitively </w:t>
      </w:r>
      <w:r w:rsidR="00711B01" w:rsidRPr="00C4141F">
        <w:rPr>
          <w:rFonts w:ascii="Times New Roman" w:hAnsi="Times New Roman" w:cs="Times New Roman"/>
        </w:rPr>
        <w:t xml:space="preserve">induce a change in allocations over time, a </w:t>
      </w:r>
      <w:r w:rsidR="000130A5" w:rsidRPr="00C4141F">
        <w:rPr>
          <w:rFonts w:ascii="Times New Roman" w:hAnsi="Times New Roman" w:cs="Times New Roman"/>
        </w:rPr>
        <w:t>higher-powered</w:t>
      </w:r>
      <w:r w:rsidR="00711B01" w:rsidRPr="00C4141F">
        <w:rPr>
          <w:rFonts w:ascii="Times New Roman" w:hAnsi="Times New Roman" w:cs="Times New Roman"/>
        </w:rPr>
        <w:t xml:space="preserve"> study with more participants is needed.</w:t>
      </w:r>
      <w:r w:rsidR="00332413" w:rsidRPr="00C4141F">
        <w:rPr>
          <w:rFonts w:ascii="Times New Roman" w:hAnsi="Times New Roman" w:cs="Times New Roman"/>
        </w:rPr>
        <w:t xml:space="preserve"> </w:t>
      </w:r>
    </w:p>
    <w:p w14:paraId="31C95993" w14:textId="171C76DB" w:rsidR="00374797" w:rsidRDefault="00374797" w:rsidP="00194B2A">
      <w:pPr>
        <w:spacing w:after="100" w:afterAutospacing="1"/>
        <w:jc w:val="both"/>
        <w:rPr>
          <w:rFonts w:ascii="Times New Roman" w:hAnsi="Times New Roman" w:cs="Times New Roman"/>
        </w:rPr>
      </w:pPr>
    </w:p>
    <w:p w14:paraId="3A087C5C" w14:textId="77777777" w:rsidR="00626908" w:rsidRPr="00C4141F" w:rsidRDefault="00626908" w:rsidP="00194B2A">
      <w:pPr>
        <w:spacing w:after="100" w:afterAutospacing="1"/>
        <w:jc w:val="both"/>
        <w:rPr>
          <w:rFonts w:ascii="Times New Roman" w:hAnsi="Times New Roman" w:cs="Times New Roman"/>
        </w:rPr>
      </w:pPr>
    </w:p>
    <w:p w14:paraId="3253CD3C" w14:textId="3143A59D" w:rsidR="000130A5" w:rsidRPr="00C4141F" w:rsidRDefault="008A7DA6" w:rsidP="00194B2A">
      <w:pPr>
        <w:jc w:val="both"/>
        <w:rPr>
          <w:rFonts w:ascii="Times New Roman" w:hAnsi="Times New Roman" w:cs="Times New Roman"/>
          <w:b/>
          <w:bCs/>
          <w:i/>
          <w:iCs/>
        </w:rPr>
      </w:pPr>
      <w:r w:rsidRPr="00C4141F">
        <w:rPr>
          <w:rFonts w:ascii="Times New Roman" w:hAnsi="Times New Roman" w:cs="Times New Roman"/>
          <w:b/>
          <w:bCs/>
          <w:i/>
          <w:iCs/>
        </w:rPr>
        <w:lastRenderedPageBreak/>
        <w:t>Alternate Specification</w:t>
      </w:r>
    </w:p>
    <w:p w14:paraId="64E3942A" w14:textId="6BC1D2CC" w:rsidR="00542ECA" w:rsidRPr="00C4141F" w:rsidRDefault="00542ECA" w:rsidP="00194B2A">
      <w:pPr>
        <w:jc w:val="both"/>
        <w:rPr>
          <w:rFonts w:ascii="Times New Roman" w:hAnsi="Times New Roman" w:cs="Times New Roman"/>
        </w:rPr>
      </w:pPr>
      <w:r w:rsidRPr="00C4141F">
        <w:rPr>
          <w:rFonts w:ascii="Times New Roman" w:hAnsi="Times New Roman" w:cs="Times New Roman"/>
        </w:rPr>
        <w:t xml:space="preserve">In </w:t>
      </w:r>
      <w:r w:rsidR="00032B94" w:rsidRPr="00C4141F">
        <w:rPr>
          <w:rFonts w:ascii="Times New Roman" w:hAnsi="Times New Roman" w:cs="Times New Roman"/>
        </w:rPr>
        <w:t xml:space="preserve">equation </w:t>
      </w:r>
      <w:r w:rsidRPr="00C4141F">
        <w:rPr>
          <w:rFonts w:ascii="Times New Roman" w:hAnsi="Times New Roman" w:cs="Times New Roman"/>
        </w:rPr>
        <w:t xml:space="preserve">(2) I present a regression specification that seeks to capture differences in the rates of learning over time. </w:t>
      </w:r>
    </w:p>
    <w:p w14:paraId="59BB8DCF" w14:textId="6E7A5871" w:rsidR="008A7DA6" w:rsidRPr="00C4141F" w:rsidRDefault="00000000" w:rsidP="00194B2A">
      <w:pPr>
        <w:spacing w:after="100" w:afterAutospacing="1"/>
        <w:jc w:val="both"/>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08A08956" w14:textId="7530F75D" w:rsidR="00642819" w:rsidRPr="00C4141F" w:rsidRDefault="00642819" w:rsidP="00194B2A">
      <w:pPr>
        <w:spacing w:after="100" w:afterAutospacing="1"/>
        <w:jc w:val="both"/>
        <w:rPr>
          <w:rFonts w:ascii="Times New Roman" w:eastAsiaTheme="minorEastAsia" w:hAnsi="Times New Roman" w:cs="Times New Roman"/>
        </w:rPr>
      </w:pPr>
      <w:r w:rsidRPr="00C4141F">
        <w:rPr>
          <w:rFonts w:ascii="Times New Roman" w:eastAsiaTheme="minorEastAsia" w:hAnsi="Times New Roman" w:cs="Times New Roman"/>
        </w:rPr>
        <w:t xml:space="preserve">Once again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C4141F">
        <w:rPr>
          <w:rFonts w:ascii="Times New Roman" w:eastAsiaTheme="minorEastAsia" w:hAnsi="Times New Roman" w:cs="Times New Roman"/>
        </w:rPr>
        <w:t xml:space="preserve"> </w:t>
      </w:r>
      <w:r w:rsidR="005F30CA" w:rsidRPr="00C4141F">
        <w:rPr>
          <w:rFonts w:ascii="Times New Roman" w:eastAsiaTheme="minorEastAsia" w:hAnsi="Times New Roman" w:cs="Times New Roman"/>
        </w:rPr>
        <w:t>is</w:t>
      </w:r>
      <w:r w:rsidRPr="00C4141F">
        <w:rPr>
          <w:rFonts w:ascii="Times New Roman" w:eastAsiaTheme="minorEastAsia" w:hAnsi="Times New Roman" w:cs="Times New Roman"/>
        </w:rPr>
        <w:t xml:space="preserve"> the percentage allocation of a subject to Fund A.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oMath>
      <w:r w:rsidRPr="00C4141F">
        <w:rPr>
          <w:rFonts w:ascii="Times New Roman" w:eastAsiaTheme="minorEastAsia" w:hAnsi="Times New Roman" w:cs="Times New Roman"/>
        </w:rPr>
        <w:t xml:space="preserve">through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w:r w:rsidRPr="00C4141F">
        <w:rPr>
          <w:rFonts w:ascii="Times New Roman" w:eastAsiaTheme="minorEastAsia" w:hAnsi="Times New Roman" w:cs="Times New Roman"/>
        </w:rPr>
        <w:t xml:space="preserve"> are the coefficients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C4141F">
        <w:rPr>
          <w:rFonts w:ascii="Times New Roman" w:eastAsiaTheme="minorEastAsia" w:hAnsi="Times New Roman" w:cs="Times New Roman"/>
        </w:rPr>
        <w:t xml:space="preserve"> through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855D62" w:rsidRPr="00C4141F">
        <w:rPr>
          <w:rFonts w:ascii="Times New Roman" w:eastAsiaTheme="minorEastAsia" w:hAnsi="Times New Roman" w:cs="Times New Roman"/>
        </w:rPr>
        <w:t xml:space="preserve"> with the coefficients representing the</w:t>
      </w:r>
      <w:r w:rsidR="00F04F70" w:rsidRPr="00C4141F">
        <w:rPr>
          <w:rFonts w:ascii="Times New Roman" w:eastAsiaTheme="minorEastAsia" w:hAnsi="Times New Roman" w:cs="Times New Roman"/>
        </w:rPr>
        <w:t xml:space="preserve"> change in allocation since the initial allocation</w:t>
      </w:r>
      <w:r w:rsidRPr="00C4141F">
        <w:rPr>
          <w:rFonts w:ascii="Times New Roman" w:eastAsiaTheme="minorEastAsia" w:hAnsi="Times New Roman" w:cs="Times New Roman"/>
        </w:rPr>
        <w:t>. The</w:t>
      </w:r>
      <w:r w:rsidR="00F04F70" w:rsidRPr="00C4141F">
        <w:rPr>
          <w:rFonts w:ascii="Times New Roman" w:eastAsiaTheme="minorEastAsia" w:hAnsi="Times New Roman" w:cs="Times New Roman"/>
        </w:rPr>
        <w:t xml:space="preserve"> </w:t>
      </w:r>
      <w:r w:rsidR="00F04F70" w:rsidRPr="00C4141F">
        <w:rPr>
          <w:rFonts w:ascii="Times New Roman" w:eastAsiaTheme="minorEastAsia" w:hAnsi="Times New Roman" w:cs="Times New Roman"/>
          <w:i/>
          <w:iCs/>
        </w:rPr>
        <w:t xml:space="preserve">X </w:t>
      </w:r>
      <w:r w:rsidRPr="00C4141F">
        <w:rPr>
          <w:rFonts w:ascii="Times New Roman" w:eastAsiaTheme="minorEastAsia" w:hAnsi="Times New Roman" w:cs="Times New Roman"/>
        </w:rPr>
        <w:t xml:space="preserve">variables </w:t>
      </w:r>
      <w:r w:rsidR="00F04F70" w:rsidRPr="00C4141F">
        <w:rPr>
          <w:rFonts w:ascii="Times New Roman" w:eastAsiaTheme="minorEastAsia" w:hAnsi="Times New Roman" w:cs="Times New Roman"/>
        </w:rPr>
        <w:t xml:space="preserve">are dummies </w:t>
      </w:r>
      <w:r w:rsidR="00035791" w:rsidRPr="00C4141F">
        <w:rPr>
          <w:rFonts w:ascii="Times New Roman" w:eastAsiaTheme="minorEastAsia" w:hAnsi="Times New Roman" w:cs="Times New Roman"/>
        </w:rPr>
        <w:t>that</w:t>
      </w:r>
      <w:r w:rsidR="00F04F70" w:rsidRPr="00C4141F">
        <w:rPr>
          <w:rFonts w:ascii="Times New Roman" w:eastAsiaTheme="minorEastAsia" w:hAnsi="Times New Roman" w:cs="Times New Roman"/>
        </w:rPr>
        <w:t xml:space="preserve"> indicate the</w:t>
      </w:r>
      <w:r w:rsidRPr="00C4141F">
        <w:rPr>
          <w:rFonts w:ascii="Times New Roman" w:eastAsiaTheme="minorEastAsia" w:hAnsi="Times New Roman" w:cs="Times New Roman"/>
        </w:rPr>
        <w:t xml:space="preserve"> period-equivalent </w:t>
      </w:r>
      <w:r w:rsidR="00F04F70" w:rsidRPr="00C4141F">
        <w:rPr>
          <w:rFonts w:ascii="Times New Roman" w:eastAsiaTheme="minorEastAsia" w:hAnsi="Times New Roman" w:cs="Times New Roman"/>
        </w:rPr>
        <w:t>decision numbers, coded 1 or 0</w:t>
      </w:r>
      <w:r w:rsidRPr="00C4141F">
        <w:rPr>
          <w:rFonts w:ascii="Times New Roman" w:eastAsiaTheme="minorEastAsia" w:hAnsi="Times New Roman" w:cs="Times New Roman"/>
        </w:rPr>
        <w:t>.</w:t>
      </w:r>
      <w:r w:rsidR="00F04F70" w:rsidRPr="00C4141F">
        <w:rPr>
          <w:rFonts w:ascii="Times New Roman" w:eastAsiaTheme="minorEastAsia" w:hAnsi="Times New Roman" w:cs="Times New Roman"/>
        </w:rPr>
        <w:t xml:space="preserve"> So, subjects in the Monthly conditions had their 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41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81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121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and 161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xml:space="preserve"> decisions included in the regression, while subjects in the Five-Yearly conditions had all their decisions included in the regression. To prevent collinearity, I do not assign a dummy to the first decision, so the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F04F70" w:rsidRPr="00C4141F">
        <w:rPr>
          <w:rFonts w:ascii="Times New Roman" w:eastAsiaTheme="minorEastAsia" w:hAnsi="Times New Roman" w:cs="Times New Roman"/>
        </w:rPr>
        <w:t xml:space="preserve"> should be viewed as the initial allocation.</w:t>
      </w:r>
      <w:r w:rsidRPr="00C4141F">
        <w:rPr>
          <w:rFonts w:ascii="Times New Roman" w:eastAsiaTheme="minorEastAsia" w:hAnsi="Times New Roman" w:cs="Times New Roman"/>
        </w:rPr>
        <w:t xml:space="preserve"> </w:t>
      </w:r>
      <w:r w:rsidR="00855D62" w:rsidRPr="00C4141F">
        <w:rPr>
          <w:rFonts w:ascii="Times New Roman" w:eastAsiaTheme="minorEastAsia" w:hAnsi="Times New Roman" w:cs="Times New Roman"/>
        </w:rPr>
        <w:t>The reasoning for only including every 40</w:t>
      </w:r>
      <w:r w:rsidR="00855D62" w:rsidRPr="00C4141F">
        <w:rPr>
          <w:rFonts w:ascii="Times New Roman" w:eastAsiaTheme="minorEastAsia" w:hAnsi="Times New Roman" w:cs="Times New Roman"/>
          <w:vertAlign w:val="superscript"/>
        </w:rPr>
        <w:t>th</w:t>
      </w:r>
      <w:r w:rsidR="00855D62" w:rsidRPr="00C4141F">
        <w:rPr>
          <w:rFonts w:ascii="Times New Roman" w:eastAsiaTheme="minorEastAsia" w:hAnsi="Times New Roman" w:cs="Times New Roman"/>
        </w:rPr>
        <w:t xml:space="preserve"> decision for the subjects in the Monthly condition is twofold. First</w:t>
      </w:r>
      <w:r w:rsidR="00C25B6D" w:rsidRPr="00C4141F">
        <w:rPr>
          <w:rFonts w:ascii="Times New Roman" w:eastAsiaTheme="minorEastAsia" w:hAnsi="Times New Roman" w:cs="Times New Roman"/>
        </w:rPr>
        <w:t>,</w:t>
      </w:r>
      <w:r w:rsidR="00855D62" w:rsidRPr="00C4141F">
        <w:rPr>
          <w:rFonts w:ascii="Times New Roman" w:eastAsiaTheme="minorEastAsia" w:hAnsi="Times New Roman" w:cs="Times New Roman"/>
        </w:rPr>
        <w:t xml:space="preserve"> the interpretation of the magnitude of the coefficients </w:t>
      </w:r>
      <w:r w:rsidR="00F9222B" w:rsidRPr="00C4141F">
        <w:rPr>
          <w:rFonts w:ascii="Times New Roman" w:eastAsiaTheme="minorEastAsia" w:hAnsi="Times New Roman" w:cs="Times New Roman"/>
        </w:rPr>
        <w:t>are</w:t>
      </w:r>
      <w:r w:rsidR="00855D62" w:rsidRPr="00C4141F">
        <w:rPr>
          <w:rFonts w:ascii="Times New Roman" w:eastAsiaTheme="minorEastAsia" w:hAnsi="Times New Roman" w:cs="Times New Roman"/>
        </w:rPr>
        <w:t xml:space="preserve"> </w:t>
      </w:r>
      <w:r w:rsidR="00F9222B" w:rsidRPr="00C4141F">
        <w:rPr>
          <w:rFonts w:ascii="Times New Roman" w:eastAsiaTheme="minorEastAsia" w:hAnsi="Times New Roman" w:cs="Times New Roman"/>
        </w:rPr>
        <w:t xml:space="preserve">the same across </w:t>
      </w:r>
      <w:r w:rsidR="00855D62" w:rsidRPr="00C4141F">
        <w:rPr>
          <w:rFonts w:ascii="Times New Roman" w:eastAsiaTheme="minorEastAsia" w:hAnsi="Times New Roman" w:cs="Times New Roman"/>
        </w:rPr>
        <w:t xml:space="preserve">regressions, and secondly, it allows for an easier comparison of subject behavior across regression as their average allocations to Fund A can be evaluated at period-equivalent points. The results of these regressions are reported in Table </w:t>
      </w:r>
      <w:r w:rsidR="004463D8">
        <w:rPr>
          <w:rFonts w:ascii="Times New Roman" w:eastAsiaTheme="minorEastAsia" w:hAnsi="Times New Roman" w:cs="Times New Roman"/>
        </w:rPr>
        <w:t>5</w:t>
      </w:r>
      <w:r w:rsidR="00855D62" w:rsidRPr="00C4141F">
        <w:rPr>
          <w:rFonts w:ascii="Times New Roman" w:eastAsiaTheme="minorEastAsia" w:hAnsi="Times New Roman" w:cs="Times New Roman"/>
        </w:rPr>
        <w:t>.</w:t>
      </w:r>
      <w:r w:rsidR="004E6723" w:rsidRPr="00C4141F">
        <w:rPr>
          <w:rFonts w:ascii="Times New Roman" w:eastAsiaTheme="minorEastAsia" w:hAnsi="Times New Roman" w:cs="Times New Roman"/>
        </w:rPr>
        <w:t xml:space="preserve"> The reasoning for why this specification captures </w:t>
      </w:r>
      <w:r w:rsidR="00C812B9" w:rsidRPr="00C4141F">
        <w:rPr>
          <w:rFonts w:ascii="Times New Roman" w:eastAsiaTheme="minorEastAsia" w:hAnsi="Times New Roman" w:cs="Times New Roman"/>
        </w:rPr>
        <w:t>more nuance in</w:t>
      </w:r>
      <w:r w:rsidR="004E6723" w:rsidRPr="00C4141F">
        <w:rPr>
          <w:rFonts w:ascii="Times New Roman" w:eastAsiaTheme="minorEastAsia" w:hAnsi="Times New Roman" w:cs="Times New Roman"/>
        </w:rPr>
        <w:t xml:space="preserve"> subject behavior is </w:t>
      </w:r>
      <w:r w:rsidR="003801E0" w:rsidRPr="00C4141F">
        <w:rPr>
          <w:rFonts w:ascii="Times New Roman" w:eastAsiaTheme="minorEastAsia" w:hAnsi="Times New Roman" w:cs="Times New Roman"/>
        </w:rPr>
        <w:t>simple</w:t>
      </w:r>
      <w:r w:rsidR="004E6723" w:rsidRPr="00C4141F">
        <w:rPr>
          <w:rFonts w:ascii="Times New Roman" w:eastAsiaTheme="minorEastAsia" w:hAnsi="Times New Roman" w:cs="Times New Roman"/>
        </w:rPr>
        <w:t xml:space="preserve">. Imagine that instead of 5 decisions or 200 decisions, subjects instead made 10,000 decisions. It would be reasonable to suspect that even if subjects did exhibit learning behavior in the first few hundred decisions, </w:t>
      </w:r>
      <w:r w:rsidR="007751FA" w:rsidRPr="00C4141F">
        <w:rPr>
          <w:rFonts w:ascii="Times New Roman" w:eastAsiaTheme="minorEastAsia" w:hAnsi="Times New Roman" w:cs="Times New Roman"/>
        </w:rPr>
        <w:t xml:space="preserve">they would likely arrive at a relatively stable desired allocation to Fund A. This would be true as well even if the allocation level oscillated around a certain value, as some learning models suggest. </w:t>
      </w:r>
      <w:r w:rsidR="008C073D" w:rsidRPr="00C4141F">
        <w:rPr>
          <w:rFonts w:ascii="Times New Roman" w:eastAsiaTheme="minorEastAsia" w:hAnsi="Times New Roman" w:cs="Times New Roman"/>
        </w:rPr>
        <w:t xml:space="preserve">In this hypothetical experiment, the specification in (1) would not show significant learning behavior because there would be many decisions where the subject did not change their allocation. </w:t>
      </w:r>
    </w:p>
    <w:p w14:paraId="021B31CF" w14:textId="145E31AE" w:rsidR="000130A5" w:rsidRPr="00C4141F" w:rsidRDefault="004E6723" w:rsidP="00194B2A">
      <w:pPr>
        <w:spacing w:after="100" w:afterAutospacing="1"/>
        <w:jc w:val="both"/>
        <w:rPr>
          <w:rFonts w:ascii="Times New Roman" w:eastAsiaTheme="minorEastAsia" w:hAnsi="Times New Roman" w:cs="Times New Roman"/>
        </w:rPr>
      </w:pPr>
      <w:r w:rsidRPr="00C4141F">
        <w:rPr>
          <w:rFonts w:ascii="Times New Roman" w:eastAsiaTheme="minorEastAsia" w:hAnsi="Times New Roman" w:cs="Times New Roman"/>
        </w:rPr>
        <w:t xml:space="preserve">Due to </w:t>
      </w:r>
      <w:r w:rsidR="00664818" w:rsidRPr="00C4141F">
        <w:rPr>
          <w:rFonts w:ascii="Times New Roman" w:eastAsiaTheme="minorEastAsia" w:hAnsi="Times New Roman" w:cs="Times New Roman"/>
        </w:rPr>
        <w:t xml:space="preserve">increase </w:t>
      </w:r>
      <w:r w:rsidRPr="00C4141F">
        <w:rPr>
          <w:rFonts w:ascii="Times New Roman" w:eastAsiaTheme="minorEastAsia" w:hAnsi="Times New Roman" w:cs="Times New Roman"/>
        </w:rPr>
        <w:t xml:space="preserve">in the statistical power </w:t>
      </w:r>
      <w:r w:rsidR="00664818" w:rsidRPr="00C4141F">
        <w:rPr>
          <w:rFonts w:ascii="Times New Roman" w:eastAsiaTheme="minorEastAsia" w:hAnsi="Times New Roman" w:cs="Times New Roman"/>
        </w:rPr>
        <w:t>necessary for</w:t>
      </w:r>
      <w:r w:rsidRPr="00C4141F">
        <w:rPr>
          <w:rFonts w:ascii="Times New Roman" w:eastAsiaTheme="minorEastAsia" w:hAnsi="Times New Roman" w:cs="Times New Roman"/>
        </w:rPr>
        <w:t xml:space="preserve"> </w:t>
      </w:r>
      <w:r w:rsidR="006D70F4" w:rsidRPr="00C4141F">
        <w:rPr>
          <w:rFonts w:ascii="Times New Roman" w:eastAsiaTheme="minorEastAsia" w:hAnsi="Times New Roman" w:cs="Times New Roman"/>
        </w:rPr>
        <w:t>the results of the</w:t>
      </w:r>
      <w:r w:rsidRPr="00C4141F">
        <w:rPr>
          <w:rFonts w:ascii="Times New Roman" w:eastAsiaTheme="minorEastAsia" w:hAnsi="Times New Roman" w:cs="Times New Roman"/>
        </w:rPr>
        <w:t xml:space="preserve"> alternate specification</w:t>
      </w:r>
      <w:r w:rsidR="006D70F4" w:rsidRPr="00C4141F">
        <w:rPr>
          <w:rFonts w:ascii="Times New Roman" w:eastAsiaTheme="minorEastAsia" w:hAnsi="Times New Roman" w:cs="Times New Roman"/>
        </w:rPr>
        <w:t xml:space="preserve"> to be significant</w:t>
      </w:r>
      <w:r w:rsidRPr="00C4141F">
        <w:rPr>
          <w:rFonts w:ascii="Times New Roman" w:eastAsiaTheme="minorEastAsia" w:hAnsi="Times New Roman" w:cs="Times New Roman"/>
        </w:rPr>
        <w:t xml:space="preserve">, I cannot say definitively if learning behavior is different over the course of the experiment. However, from the point-estimates, it appears that majority of the change in allocations to Fund A that occurred in the </w:t>
      </w:r>
      <w:r w:rsidRPr="002042E7">
        <w:rPr>
          <w:rFonts w:ascii="Times New Roman" w:eastAsiaTheme="minorEastAsia" w:hAnsi="Times New Roman" w:cs="Times New Roman"/>
          <w:i/>
          <w:iCs/>
        </w:rPr>
        <w:t>Five-Yearly Without Information</w:t>
      </w:r>
      <w:r w:rsidRPr="00C4141F">
        <w:rPr>
          <w:rFonts w:ascii="Times New Roman" w:eastAsiaTheme="minorEastAsia" w:hAnsi="Times New Roman" w:cs="Times New Roman"/>
        </w:rPr>
        <w:t xml:space="preserve"> and </w:t>
      </w:r>
      <w:r w:rsidRPr="002042E7">
        <w:rPr>
          <w:rFonts w:ascii="Times New Roman" w:eastAsiaTheme="minorEastAsia" w:hAnsi="Times New Roman" w:cs="Times New Roman"/>
          <w:i/>
          <w:iCs/>
        </w:rPr>
        <w:t>Monthly Information</w:t>
      </w:r>
      <w:r w:rsidRPr="00C4141F">
        <w:rPr>
          <w:rFonts w:ascii="Times New Roman" w:eastAsiaTheme="minorEastAsia" w:hAnsi="Times New Roman" w:cs="Times New Roman"/>
        </w:rPr>
        <w:t xml:space="preserve"> conditions took place within the first few trials. </w:t>
      </w:r>
      <w:r w:rsidR="007751FA" w:rsidRPr="00C4141F">
        <w:rPr>
          <w:rFonts w:ascii="Times New Roman" w:eastAsiaTheme="minorEastAsia" w:hAnsi="Times New Roman" w:cs="Times New Roman"/>
        </w:rPr>
        <w:t xml:space="preserve">This is an expected result, but due to lack of statistical power, I only find suggestive evidence that most of the observed learning behavior occurs in the first few decisions that subjects make in the </w:t>
      </w:r>
      <w:r w:rsidR="007751FA" w:rsidRPr="002042E7">
        <w:rPr>
          <w:rFonts w:ascii="Times New Roman" w:eastAsiaTheme="minorEastAsia" w:hAnsi="Times New Roman" w:cs="Times New Roman"/>
          <w:i/>
          <w:iCs/>
        </w:rPr>
        <w:t>Monthly Information</w:t>
      </w:r>
      <w:r w:rsidR="007751FA" w:rsidRPr="00C4141F">
        <w:rPr>
          <w:rFonts w:ascii="Times New Roman" w:eastAsiaTheme="minorEastAsia" w:hAnsi="Times New Roman" w:cs="Times New Roman"/>
        </w:rPr>
        <w:t xml:space="preserve"> and </w:t>
      </w:r>
      <w:r w:rsidR="002042E7">
        <w:rPr>
          <w:rFonts w:ascii="Times New Roman" w:eastAsiaTheme="minorEastAsia" w:hAnsi="Times New Roman" w:cs="Times New Roman"/>
          <w:i/>
          <w:iCs/>
        </w:rPr>
        <w:t xml:space="preserve">Five Yearly Without Information </w:t>
      </w:r>
      <w:r w:rsidR="007751FA" w:rsidRPr="00C4141F">
        <w:rPr>
          <w:rFonts w:ascii="Times New Roman" w:eastAsiaTheme="minorEastAsia" w:hAnsi="Times New Roman" w:cs="Times New Roman"/>
        </w:rPr>
        <w:t xml:space="preserve">conditions. </w:t>
      </w:r>
    </w:p>
    <w:p w14:paraId="6FB455CE" w14:textId="153537DA" w:rsidR="00D546A4" w:rsidRPr="00B72E83" w:rsidRDefault="009A404E" w:rsidP="00194B2A">
      <w:pPr>
        <w:jc w:val="both"/>
        <w:rPr>
          <w:rFonts w:ascii="Times New Roman" w:hAnsi="Times New Roman" w:cs="Times New Roman"/>
          <w:b/>
          <w:bCs/>
          <w:sz w:val="28"/>
          <w:szCs w:val="28"/>
        </w:rPr>
      </w:pPr>
      <w:r w:rsidRPr="00B72E83">
        <w:rPr>
          <w:rFonts w:ascii="Times New Roman" w:hAnsi="Times New Roman" w:cs="Times New Roman"/>
          <w:b/>
          <w:bCs/>
          <w:sz w:val="28"/>
          <w:szCs w:val="28"/>
        </w:rPr>
        <w:t xml:space="preserve">IV. </w:t>
      </w:r>
      <w:r w:rsidR="00753AC4" w:rsidRPr="00B72E83">
        <w:rPr>
          <w:rFonts w:ascii="Times New Roman" w:hAnsi="Times New Roman" w:cs="Times New Roman"/>
          <w:b/>
          <w:bCs/>
          <w:sz w:val="28"/>
          <w:szCs w:val="28"/>
        </w:rPr>
        <w:t>Discussion</w:t>
      </w:r>
    </w:p>
    <w:p w14:paraId="3907673B" w14:textId="10A0BF79" w:rsidR="001A1C19" w:rsidRPr="00C4141F" w:rsidRDefault="00192B98" w:rsidP="00194B2A">
      <w:pPr>
        <w:jc w:val="both"/>
        <w:rPr>
          <w:rFonts w:ascii="Times New Roman" w:hAnsi="Times New Roman" w:cs="Times New Roman"/>
        </w:rPr>
      </w:pPr>
      <w:r w:rsidRPr="00C4141F">
        <w:rPr>
          <w:rFonts w:ascii="Times New Roman" w:hAnsi="Times New Roman" w:cs="Times New Roman"/>
        </w:rPr>
        <w:t>One of the primary contributions of this research is to add to the body of experimental evidence that the phenomenon of myopic loss aversion exists</w:t>
      </w:r>
      <w:r w:rsidR="001A1C19" w:rsidRPr="00C4141F">
        <w:rPr>
          <w:rFonts w:ascii="Times New Roman" w:hAnsi="Times New Roman" w:cs="Times New Roman"/>
        </w:rPr>
        <w:t>,</w:t>
      </w:r>
      <w:r w:rsidRPr="00C4141F">
        <w:rPr>
          <w:rFonts w:ascii="Times New Roman" w:hAnsi="Times New Roman" w:cs="Times New Roman"/>
        </w:rPr>
        <w:t xml:space="preserve"> and </w:t>
      </w:r>
      <w:r w:rsidR="001A1C19" w:rsidRPr="00C4141F">
        <w:rPr>
          <w:rFonts w:ascii="Times New Roman" w:hAnsi="Times New Roman" w:cs="Times New Roman"/>
        </w:rPr>
        <w:lastRenderedPageBreak/>
        <w:t xml:space="preserve">furthermore, </w:t>
      </w:r>
      <w:r w:rsidRPr="00C4141F">
        <w:rPr>
          <w:rFonts w:ascii="Times New Roman" w:hAnsi="Times New Roman" w:cs="Times New Roman"/>
        </w:rPr>
        <w:t xml:space="preserve">that the findings of Thaler et al. (1997) do indeed hold up in other experimental settings. </w:t>
      </w:r>
      <w:r w:rsidR="002A779C" w:rsidRPr="00C4141F">
        <w:rPr>
          <w:rFonts w:ascii="Times New Roman" w:hAnsi="Times New Roman" w:cs="Times New Roman"/>
        </w:rPr>
        <w:t>Although the experiment I conduct is modeled after the original experimental design, it is still</w:t>
      </w:r>
      <w:r w:rsidR="00F04F70" w:rsidRPr="00C4141F">
        <w:rPr>
          <w:rFonts w:ascii="Times New Roman" w:hAnsi="Times New Roman" w:cs="Times New Roman"/>
        </w:rPr>
        <w:t xml:space="preserve"> notable</w:t>
      </w:r>
      <w:r w:rsidR="002A779C" w:rsidRPr="00C4141F">
        <w:rPr>
          <w:rFonts w:ascii="Times New Roman" w:hAnsi="Times New Roman" w:cs="Times New Roman"/>
        </w:rPr>
        <w:t xml:space="preserve"> </w:t>
      </w:r>
      <w:r w:rsidR="00F04F70" w:rsidRPr="00C4141F">
        <w:rPr>
          <w:rFonts w:ascii="Times New Roman" w:hAnsi="Times New Roman" w:cs="Times New Roman"/>
        </w:rPr>
        <w:t>that</w:t>
      </w:r>
      <w:r w:rsidR="009621FA" w:rsidRPr="00C4141F">
        <w:rPr>
          <w:rFonts w:ascii="Times New Roman" w:hAnsi="Times New Roman" w:cs="Times New Roman"/>
        </w:rPr>
        <w:t xml:space="preserve"> </w:t>
      </w:r>
      <w:r w:rsidR="00F04F70" w:rsidRPr="00C4141F">
        <w:rPr>
          <w:rFonts w:ascii="Times New Roman" w:hAnsi="Times New Roman" w:cs="Times New Roman"/>
        </w:rPr>
        <w:t>my results are consistent with the results of the original experiment</w:t>
      </w:r>
      <w:r w:rsidR="009621FA" w:rsidRPr="00C4141F">
        <w:rPr>
          <w:rFonts w:ascii="Times New Roman" w:hAnsi="Times New Roman" w:cs="Times New Roman"/>
        </w:rPr>
        <w:t xml:space="preserve">. </w:t>
      </w:r>
      <w:r w:rsidR="00F04F70" w:rsidRPr="00C4141F">
        <w:rPr>
          <w:rFonts w:ascii="Times New Roman" w:hAnsi="Times New Roman" w:cs="Times New Roman"/>
        </w:rPr>
        <w:t xml:space="preserve">It is also </w:t>
      </w:r>
      <w:r w:rsidR="001A1C19" w:rsidRPr="00C4141F">
        <w:rPr>
          <w:rFonts w:ascii="Times New Roman" w:hAnsi="Times New Roman" w:cs="Times New Roman"/>
        </w:rPr>
        <w:t xml:space="preserve">of note that </w:t>
      </w:r>
      <w:r w:rsidR="007C6360" w:rsidRPr="00C4141F">
        <w:rPr>
          <w:rFonts w:ascii="Times New Roman" w:hAnsi="Times New Roman" w:cs="Times New Roman"/>
        </w:rPr>
        <w:t xml:space="preserve">the </w:t>
      </w:r>
      <w:r w:rsidR="00303F0F" w:rsidRPr="00C4141F">
        <w:rPr>
          <w:rFonts w:ascii="Times New Roman" w:hAnsi="Times New Roman" w:cs="Times New Roman"/>
        </w:rPr>
        <w:t>coefficients on the regressions run on the</w:t>
      </w:r>
      <w:r w:rsidR="007C6360" w:rsidRPr="00C4141F">
        <w:rPr>
          <w:rFonts w:ascii="Times New Roman" w:hAnsi="Times New Roman" w:cs="Times New Roman"/>
        </w:rPr>
        <w:t xml:space="preserve"> replication </w:t>
      </w:r>
      <w:r w:rsidR="00303F0F" w:rsidRPr="00C4141F">
        <w:rPr>
          <w:rFonts w:ascii="Times New Roman" w:hAnsi="Times New Roman" w:cs="Times New Roman"/>
        </w:rPr>
        <w:t xml:space="preserve">treatments </w:t>
      </w:r>
      <w:r w:rsidR="007C6360" w:rsidRPr="00C4141F">
        <w:rPr>
          <w:rFonts w:ascii="Times New Roman" w:hAnsi="Times New Roman" w:cs="Times New Roman"/>
        </w:rPr>
        <w:t>are</w:t>
      </w:r>
      <w:r w:rsidR="002A779C" w:rsidRPr="00C4141F">
        <w:rPr>
          <w:rFonts w:ascii="Times New Roman" w:hAnsi="Times New Roman" w:cs="Times New Roman"/>
        </w:rPr>
        <w:t xml:space="preserve"> still significant even when clustering at the participant level. </w:t>
      </w:r>
    </w:p>
    <w:p w14:paraId="1ED0E51A" w14:textId="77777777" w:rsidR="009621FA" w:rsidRPr="00C4141F" w:rsidRDefault="009621FA" w:rsidP="00194B2A">
      <w:pPr>
        <w:jc w:val="both"/>
        <w:rPr>
          <w:rFonts w:ascii="Times New Roman" w:hAnsi="Times New Roman" w:cs="Times New Roman"/>
        </w:rPr>
      </w:pPr>
    </w:p>
    <w:p w14:paraId="550A5448" w14:textId="48BD222C" w:rsidR="00197346" w:rsidRPr="00C4141F" w:rsidRDefault="009621FA" w:rsidP="00194B2A">
      <w:pPr>
        <w:jc w:val="both"/>
        <w:rPr>
          <w:rFonts w:ascii="Times New Roman" w:hAnsi="Times New Roman" w:cs="Times New Roman"/>
        </w:rPr>
      </w:pPr>
      <w:r w:rsidRPr="00C4141F">
        <w:rPr>
          <w:rFonts w:ascii="Times New Roman" w:hAnsi="Times New Roman" w:cs="Times New Roman"/>
        </w:rPr>
        <w:t>Ambiguity aversion was described early in the 20</w:t>
      </w:r>
      <w:r w:rsidRPr="00C4141F">
        <w:rPr>
          <w:rFonts w:ascii="Times New Roman" w:hAnsi="Times New Roman" w:cs="Times New Roman"/>
          <w:vertAlign w:val="superscript"/>
        </w:rPr>
        <w:t>th</w:t>
      </w:r>
      <w:r w:rsidRPr="00C4141F">
        <w:rPr>
          <w:rFonts w:ascii="Times New Roman" w:hAnsi="Times New Roman" w:cs="Times New Roman"/>
        </w:rPr>
        <w:t xml:space="preserve"> century by John Maynard Keynes, but Ellsberg (1961) was one of the first papers to formalize the definition. To understand a specific example of ambiguity aversion, I will summarize one of the experiments that Ellsberg used as a canonical example of ambiguity aversion. Imagine that an individual is presented with 2 urns, both containing 100 balls. One of the urns is known to contain 50 red balls and 50 green balls, while the ratio of the color of the balls in the second urn is unknown. </w:t>
      </w:r>
      <w:r w:rsidR="004715BC" w:rsidRPr="00C4141F">
        <w:rPr>
          <w:rFonts w:ascii="Times New Roman" w:hAnsi="Times New Roman" w:cs="Times New Roman"/>
        </w:rPr>
        <w:t xml:space="preserve">Subjects are presented with a lottery </w:t>
      </w:r>
      <w:r w:rsidR="00E21E0D" w:rsidRPr="00C4141F">
        <w:rPr>
          <w:rFonts w:ascii="Times New Roman" w:hAnsi="Times New Roman" w:cs="Times New Roman"/>
        </w:rPr>
        <w:t>that</w:t>
      </w:r>
      <w:r w:rsidR="004715BC" w:rsidRPr="00C4141F">
        <w:rPr>
          <w:rFonts w:ascii="Times New Roman" w:hAnsi="Times New Roman" w:cs="Times New Roman"/>
        </w:rPr>
        <w:t xml:space="preserve"> gives a monetary reward if a red ball is picked from the urn and no winnings if a green ball is picked. If subjects are asked to choose </w:t>
      </w:r>
      <w:r w:rsidR="00197346" w:rsidRPr="00C4141F">
        <w:rPr>
          <w:rFonts w:ascii="Times New Roman" w:hAnsi="Times New Roman" w:cs="Times New Roman"/>
        </w:rPr>
        <w:t xml:space="preserve">which </w:t>
      </w:r>
      <w:proofErr w:type="gramStart"/>
      <w:r w:rsidR="00197346" w:rsidRPr="00C4141F">
        <w:rPr>
          <w:rFonts w:ascii="Times New Roman" w:hAnsi="Times New Roman" w:cs="Times New Roman"/>
        </w:rPr>
        <w:t>urn</w:t>
      </w:r>
      <w:proofErr w:type="gramEnd"/>
      <w:r w:rsidR="00197346" w:rsidRPr="00C4141F">
        <w:rPr>
          <w:rFonts w:ascii="Times New Roman" w:hAnsi="Times New Roman" w:cs="Times New Roman"/>
        </w:rPr>
        <w:t xml:space="preserve"> they would rather have the ball chosen from, they will pick the urn with the known ratio. There are several theories or explanations for this behavior, but for this paper, ambiguity aversion should generally be interpreted as a preference for the known distribution. </w:t>
      </w:r>
    </w:p>
    <w:p w14:paraId="68E5AA27" w14:textId="77777777" w:rsidR="00331B8D" w:rsidRPr="00C4141F" w:rsidRDefault="00331B8D" w:rsidP="00194B2A">
      <w:pPr>
        <w:jc w:val="both"/>
        <w:rPr>
          <w:rFonts w:ascii="Times New Roman" w:hAnsi="Times New Roman" w:cs="Times New Roman"/>
        </w:rPr>
      </w:pPr>
    </w:p>
    <w:p w14:paraId="46FFEEA0" w14:textId="184C7FCB" w:rsidR="00D546A4" w:rsidRPr="00C4141F" w:rsidRDefault="00197346" w:rsidP="00194B2A">
      <w:pPr>
        <w:jc w:val="both"/>
        <w:rPr>
          <w:rFonts w:ascii="Times New Roman" w:hAnsi="Times New Roman" w:cs="Times New Roman"/>
        </w:rPr>
      </w:pPr>
      <w:r w:rsidRPr="00C4141F">
        <w:rPr>
          <w:rFonts w:ascii="Times New Roman" w:hAnsi="Times New Roman" w:cs="Times New Roman"/>
        </w:rPr>
        <w:t xml:space="preserve">I observe evidence of the existence of ambiguity aversion in the </w:t>
      </w:r>
      <w:r w:rsidRPr="00C4141F">
        <w:rPr>
          <w:rFonts w:ascii="Times New Roman" w:hAnsi="Times New Roman" w:cs="Times New Roman"/>
          <w:i/>
          <w:iCs/>
        </w:rPr>
        <w:t>Monthly Info</w:t>
      </w:r>
      <w:r w:rsidRPr="00C4141F">
        <w:rPr>
          <w:rFonts w:ascii="Times New Roman" w:hAnsi="Times New Roman" w:cs="Times New Roman"/>
        </w:rPr>
        <w:t xml:space="preserve">rmation condition, as the initial allocation to the </w:t>
      </w:r>
      <w:r w:rsidRPr="00C4141F">
        <w:rPr>
          <w:rFonts w:ascii="Times New Roman" w:hAnsi="Times New Roman" w:cs="Times New Roman"/>
          <w:i/>
          <w:iCs/>
        </w:rPr>
        <w:t>Monthly Info</w:t>
      </w:r>
      <w:r w:rsidR="00D05648" w:rsidRPr="00C4141F">
        <w:rPr>
          <w:rFonts w:ascii="Times New Roman" w:hAnsi="Times New Roman" w:cs="Times New Roman"/>
          <w:i/>
          <w:iCs/>
        </w:rPr>
        <w:t>rmation</w:t>
      </w:r>
      <w:r w:rsidRPr="00C4141F">
        <w:rPr>
          <w:rFonts w:ascii="Times New Roman" w:hAnsi="Times New Roman" w:cs="Times New Roman"/>
        </w:rPr>
        <w:t xml:space="preserve"> condition is significantly greater than the initial allocation to the </w:t>
      </w:r>
      <w:r w:rsidRPr="00C4141F">
        <w:rPr>
          <w:rFonts w:ascii="Times New Roman" w:hAnsi="Times New Roman" w:cs="Times New Roman"/>
          <w:i/>
          <w:iCs/>
        </w:rPr>
        <w:t>Monthly</w:t>
      </w:r>
      <w:r w:rsidRPr="00C4141F">
        <w:rPr>
          <w:rFonts w:ascii="Times New Roman" w:hAnsi="Times New Roman" w:cs="Times New Roman"/>
        </w:rPr>
        <w:t xml:space="preserve"> </w:t>
      </w:r>
      <w:r w:rsidRPr="00C4141F">
        <w:rPr>
          <w:rFonts w:ascii="Times New Roman" w:hAnsi="Times New Roman" w:cs="Times New Roman"/>
          <w:i/>
          <w:iCs/>
        </w:rPr>
        <w:t xml:space="preserve">Without Information </w:t>
      </w:r>
      <w:r w:rsidRPr="00C4141F">
        <w:rPr>
          <w:rFonts w:ascii="Times New Roman" w:hAnsi="Times New Roman" w:cs="Times New Roman"/>
        </w:rPr>
        <w:t xml:space="preserve">condition. The initial allocation to Fund A is approximately 70% in the </w:t>
      </w:r>
      <w:r w:rsidRPr="00C4141F">
        <w:rPr>
          <w:rFonts w:ascii="Times New Roman" w:hAnsi="Times New Roman" w:cs="Times New Roman"/>
          <w:i/>
          <w:iCs/>
        </w:rPr>
        <w:t>Monthly Info</w:t>
      </w:r>
      <w:r w:rsidR="0006740C" w:rsidRPr="00C4141F">
        <w:rPr>
          <w:rFonts w:ascii="Times New Roman" w:hAnsi="Times New Roman" w:cs="Times New Roman"/>
          <w:i/>
          <w:iCs/>
        </w:rPr>
        <w:t>rmation</w:t>
      </w:r>
      <w:r w:rsidRPr="00C4141F">
        <w:rPr>
          <w:rFonts w:ascii="Times New Roman" w:hAnsi="Times New Roman" w:cs="Times New Roman"/>
          <w:i/>
          <w:iCs/>
        </w:rPr>
        <w:t xml:space="preserve"> </w:t>
      </w:r>
      <w:r w:rsidRPr="00C4141F">
        <w:rPr>
          <w:rFonts w:ascii="Times New Roman" w:hAnsi="Times New Roman" w:cs="Times New Roman"/>
        </w:rPr>
        <w:t>condition and approximately 50</w:t>
      </w:r>
      <w:r w:rsidR="0006740C" w:rsidRPr="00C4141F">
        <w:rPr>
          <w:rFonts w:ascii="Times New Roman" w:hAnsi="Times New Roman" w:cs="Times New Roman"/>
        </w:rPr>
        <w:t>%</w:t>
      </w:r>
      <w:r w:rsidRPr="00C4141F">
        <w:rPr>
          <w:rFonts w:ascii="Times New Roman" w:hAnsi="Times New Roman" w:cs="Times New Roman"/>
        </w:rPr>
        <w:t xml:space="preserve"> in the </w:t>
      </w:r>
      <w:r w:rsidRPr="00C4141F">
        <w:rPr>
          <w:rFonts w:ascii="Times New Roman" w:hAnsi="Times New Roman" w:cs="Times New Roman"/>
          <w:i/>
          <w:iCs/>
        </w:rPr>
        <w:t>Monthly Without Information</w:t>
      </w:r>
      <w:r w:rsidRPr="00C4141F">
        <w:rPr>
          <w:rFonts w:ascii="Times New Roman" w:hAnsi="Times New Roman" w:cs="Times New Roman"/>
        </w:rPr>
        <w:t xml:space="preserve"> condition</w:t>
      </w:r>
      <w:r w:rsidR="0006740C" w:rsidRPr="00C4141F">
        <w:rPr>
          <w:rFonts w:ascii="Times New Roman" w:hAnsi="Times New Roman" w:cs="Times New Roman"/>
        </w:rPr>
        <w:t xml:space="preserve">, as can be seen in Table </w:t>
      </w:r>
      <w:r w:rsidR="004463D8">
        <w:rPr>
          <w:rFonts w:ascii="Times New Roman" w:hAnsi="Times New Roman" w:cs="Times New Roman"/>
        </w:rPr>
        <w:t>4</w:t>
      </w:r>
      <w:r w:rsidRPr="00C4141F">
        <w:rPr>
          <w:rFonts w:ascii="Times New Roman" w:hAnsi="Times New Roman" w:cs="Times New Roman"/>
        </w:rPr>
        <w:t xml:space="preserve">. </w:t>
      </w:r>
      <w:r w:rsidR="007C3870">
        <w:rPr>
          <w:rFonts w:ascii="Times New Roman" w:hAnsi="Times New Roman" w:cs="Times New Roman"/>
        </w:rPr>
        <w:t xml:space="preserve">In fact, as can be seen in Table 6, these values are significantly different from each other. </w:t>
      </w:r>
      <w:r w:rsidRPr="00C4141F">
        <w:rPr>
          <w:rFonts w:ascii="Times New Roman" w:hAnsi="Times New Roman" w:cs="Times New Roman"/>
        </w:rPr>
        <w:t>As subjects have no information about either fund besides the knowledge about the lower bound</w:t>
      </w:r>
      <w:r w:rsidR="00D05648" w:rsidRPr="00C4141F">
        <w:rPr>
          <w:rFonts w:ascii="Times New Roman" w:hAnsi="Times New Roman" w:cs="Times New Roman"/>
        </w:rPr>
        <w:t xml:space="preserve"> in the information treatments</w:t>
      </w:r>
      <w:r w:rsidRPr="00C4141F">
        <w:rPr>
          <w:rFonts w:ascii="Times New Roman" w:hAnsi="Times New Roman" w:cs="Times New Roman"/>
        </w:rPr>
        <w:t>,</w:t>
      </w:r>
      <w:r w:rsidR="00295513" w:rsidRPr="00C4141F">
        <w:rPr>
          <w:rFonts w:ascii="Times New Roman" w:hAnsi="Times New Roman" w:cs="Times New Roman"/>
        </w:rPr>
        <w:t xml:space="preserve"> the increased allocation to the fund that subjects know more about is </w:t>
      </w:r>
      <w:r w:rsidR="002B3974" w:rsidRPr="00C4141F">
        <w:rPr>
          <w:rFonts w:ascii="Times New Roman" w:hAnsi="Times New Roman" w:cs="Times New Roman"/>
        </w:rPr>
        <w:t>likely caused by ambiguity aversion</w:t>
      </w:r>
      <w:r w:rsidRPr="00C4141F">
        <w:rPr>
          <w:rFonts w:ascii="Times New Roman" w:hAnsi="Times New Roman" w:cs="Times New Roman"/>
        </w:rPr>
        <w:t xml:space="preserve">, the preference for the known versus the unknown. This result on its own is not particularly of note. However, subjects </w:t>
      </w:r>
      <w:r w:rsidR="0006740C" w:rsidRPr="00C4141F">
        <w:rPr>
          <w:rFonts w:ascii="Times New Roman" w:hAnsi="Times New Roman" w:cs="Times New Roman"/>
        </w:rPr>
        <w:t xml:space="preserve">in the </w:t>
      </w:r>
      <w:r w:rsidR="0006740C" w:rsidRPr="00C4141F">
        <w:rPr>
          <w:rFonts w:ascii="Times New Roman" w:hAnsi="Times New Roman" w:cs="Times New Roman"/>
          <w:i/>
          <w:iCs/>
        </w:rPr>
        <w:t xml:space="preserve">Five Yearly Information </w:t>
      </w:r>
      <w:r w:rsidR="0006740C" w:rsidRPr="00C4141F">
        <w:rPr>
          <w:rFonts w:ascii="Times New Roman" w:hAnsi="Times New Roman" w:cs="Times New Roman"/>
        </w:rPr>
        <w:t xml:space="preserve">condition did not allocate more initially than the subjects in the </w:t>
      </w:r>
      <w:r w:rsidR="0006740C" w:rsidRPr="00C4141F">
        <w:rPr>
          <w:rFonts w:ascii="Times New Roman" w:hAnsi="Times New Roman" w:cs="Times New Roman"/>
          <w:i/>
          <w:iCs/>
        </w:rPr>
        <w:t>Five Yearly Without Information</w:t>
      </w:r>
      <w:r w:rsidR="0006740C" w:rsidRPr="00C4141F">
        <w:rPr>
          <w:rFonts w:ascii="Times New Roman" w:hAnsi="Times New Roman" w:cs="Times New Roman"/>
        </w:rPr>
        <w:t xml:space="preserve"> condition at any conventional level of statistical significance. </w:t>
      </w:r>
      <w:r w:rsidR="00F464BD" w:rsidRPr="00C4141F">
        <w:rPr>
          <w:rFonts w:ascii="Times New Roman" w:hAnsi="Times New Roman" w:cs="Times New Roman"/>
        </w:rPr>
        <w:t xml:space="preserve">This is suggestive evidence of subjects actively </w:t>
      </w:r>
      <w:r w:rsidR="00FF00D5" w:rsidRPr="00C4141F">
        <w:rPr>
          <w:rFonts w:ascii="Times New Roman" w:hAnsi="Times New Roman" w:cs="Times New Roman"/>
        </w:rPr>
        <w:t>considering</w:t>
      </w:r>
      <w:r w:rsidR="00F464BD" w:rsidRPr="00C4141F">
        <w:rPr>
          <w:rFonts w:ascii="Times New Roman" w:hAnsi="Times New Roman" w:cs="Times New Roman"/>
        </w:rPr>
        <w:t xml:space="preserve"> the number of periods they are told their investment decision will hold for.</w:t>
      </w:r>
      <w:r w:rsidR="002F6B62" w:rsidRPr="00C4141F">
        <w:rPr>
          <w:rFonts w:ascii="Times New Roman" w:hAnsi="Times New Roman" w:cs="Times New Roman"/>
        </w:rPr>
        <w:t xml:space="preserve"> </w:t>
      </w:r>
      <w:r w:rsidR="0084097E" w:rsidRPr="00C4141F">
        <w:rPr>
          <w:rFonts w:ascii="Times New Roman" w:hAnsi="Times New Roman" w:cs="Times New Roman"/>
        </w:rPr>
        <w:t xml:space="preserve">Furthermore, it suggests that knowledge of a loss-free option is not particularly valuable, or at the least is not incorporated into subject </w:t>
      </w:r>
      <w:proofErr w:type="gramStart"/>
      <w:r w:rsidR="0084097E" w:rsidRPr="00C4141F">
        <w:rPr>
          <w:rFonts w:ascii="Times New Roman" w:hAnsi="Times New Roman" w:cs="Times New Roman"/>
        </w:rPr>
        <w:t>decision making</w:t>
      </w:r>
      <w:proofErr w:type="gramEnd"/>
      <w:r w:rsidR="0084097E" w:rsidRPr="00C4141F">
        <w:rPr>
          <w:rFonts w:ascii="Times New Roman" w:hAnsi="Times New Roman" w:cs="Times New Roman"/>
        </w:rPr>
        <w:t xml:space="preserve"> processes, when the number of periods their allocation holds for is greater. In other words, subjects are aware of the effects of compounding the interest rate over those periods. </w:t>
      </w:r>
    </w:p>
    <w:p w14:paraId="43B8EE93" w14:textId="2F15D07E" w:rsidR="004630ED" w:rsidRPr="00C4141F" w:rsidRDefault="004630ED" w:rsidP="00194B2A">
      <w:pPr>
        <w:jc w:val="both"/>
        <w:rPr>
          <w:rFonts w:ascii="Times New Roman" w:hAnsi="Times New Roman" w:cs="Times New Roman"/>
        </w:rPr>
      </w:pPr>
    </w:p>
    <w:p w14:paraId="019A7537" w14:textId="1EBCD7B3" w:rsidR="00DA7951" w:rsidRPr="00C4141F" w:rsidRDefault="00472D8E" w:rsidP="00194B2A">
      <w:pPr>
        <w:jc w:val="both"/>
        <w:rPr>
          <w:rFonts w:ascii="Times New Roman" w:hAnsi="Times New Roman" w:cs="Times New Roman"/>
        </w:rPr>
      </w:pPr>
      <w:r w:rsidRPr="00C4141F">
        <w:rPr>
          <w:rFonts w:ascii="Times New Roman" w:hAnsi="Times New Roman" w:cs="Times New Roman"/>
        </w:rPr>
        <w:t xml:space="preserve">Even though the coefficient on Trial Number in the primary specification for the </w:t>
      </w:r>
      <w:r w:rsidRPr="00C4141F">
        <w:rPr>
          <w:rFonts w:ascii="Times New Roman" w:hAnsi="Times New Roman" w:cs="Times New Roman"/>
          <w:i/>
          <w:iCs/>
        </w:rPr>
        <w:t>Monthly Information</w:t>
      </w:r>
      <w:r w:rsidRPr="00C4141F">
        <w:rPr>
          <w:rFonts w:ascii="Times New Roman" w:hAnsi="Times New Roman" w:cs="Times New Roman"/>
        </w:rPr>
        <w:t xml:space="preserve"> condition is not statistically significant</w:t>
      </w:r>
      <w:r w:rsidR="000B27C1" w:rsidRPr="00C4141F">
        <w:rPr>
          <w:rFonts w:ascii="Times New Roman" w:hAnsi="Times New Roman" w:cs="Times New Roman"/>
        </w:rPr>
        <w:t xml:space="preserve"> when </w:t>
      </w:r>
      <w:r w:rsidR="0072102E" w:rsidRPr="00C4141F">
        <w:rPr>
          <w:rFonts w:ascii="Times New Roman" w:hAnsi="Times New Roman" w:cs="Times New Roman"/>
        </w:rPr>
        <w:t xml:space="preserve">using </w:t>
      </w:r>
      <w:r w:rsidR="000B27C1" w:rsidRPr="00C4141F">
        <w:rPr>
          <w:rFonts w:ascii="Times New Roman" w:hAnsi="Times New Roman" w:cs="Times New Roman"/>
        </w:rPr>
        <w:t>cluster</w:t>
      </w:r>
      <w:r w:rsidR="0072102E" w:rsidRPr="00C4141F">
        <w:rPr>
          <w:rFonts w:ascii="Times New Roman" w:hAnsi="Times New Roman" w:cs="Times New Roman"/>
        </w:rPr>
        <w:t>ed</w:t>
      </w:r>
      <w:r w:rsidR="000B27C1" w:rsidRPr="00C4141F">
        <w:rPr>
          <w:rFonts w:ascii="Times New Roman" w:hAnsi="Times New Roman" w:cs="Times New Roman"/>
        </w:rPr>
        <w:t xml:space="preserve"> standard errors</w:t>
      </w:r>
      <w:r w:rsidRPr="00C4141F">
        <w:rPr>
          <w:rFonts w:ascii="Times New Roman" w:hAnsi="Times New Roman" w:cs="Times New Roman"/>
        </w:rPr>
        <w:t xml:space="preserve">, the results are nevertheless suggestive that updating behavior may occur. </w:t>
      </w:r>
      <w:r w:rsidR="00F4046B" w:rsidRPr="00C4141F">
        <w:rPr>
          <w:rFonts w:ascii="Times New Roman" w:hAnsi="Times New Roman" w:cs="Times New Roman"/>
        </w:rPr>
        <w:t xml:space="preserve">Although I will not give a comprehensive explanation here, as </w:t>
      </w:r>
      <w:r w:rsidR="002C7883" w:rsidRPr="00C4141F">
        <w:rPr>
          <w:rFonts w:ascii="Times New Roman" w:hAnsi="Times New Roman" w:cs="Times New Roman"/>
        </w:rPr>
        <w:t>such an explanation</w:t>
      </w:r>
      <w:r w:rsidR="00F4046B" w:rsidRPr="00C4141F">
        <w:rPr>
          <w:rFonts w:ascii="Times New Roman" w:hAnsi="Times New Roman" w:cs="Times New Roman"/>
        </w:rPr>
        <w:t xml:space="preserve"> requires a more rigorous treatment of economic theory </w:t>
      </w:r>
      <w:r w:rsidR="00DB4B94">
        <w:rPr>
          <w:rFonts w:ascii="Times New Roman" w:hAnsi="Times New Roman" w:cs="Times New Roman"/>
        </w:rPr>
        <w:t>than</w:t>
      </w:r>
      <w:r w:rsidR="00F4046B" w:rsidRPr="00C4141F">
        <w:rPr>
          <w:rFonts w:ascii="Times New Roman" w:hAnsi="Times New Roman" w:cs="Times New Roman"/>
        </w:rPr>
        <w:t xml:space="preserve"> considered in this paper, there are still some contributions that I can make. The point estimates of the final allocation to Fund A for the Monthly conditions, as reported in Table </w:t>
      </w:r>
      <w:r w:rsidR="004463D8">
        <w:rPr>
          <w:rFonts w:ascii="Times New Roman" w:hAnsi="Times New Roman" w:cs="Times New Roman"/>
        </w:rPr>
        <w:t>4,</w:t>
      </w:r>
      <w:r w:rsidR="00F4046B" w:rsidRPr="00C4141F">
        <w:rPr>
          <w:rFonts w:ascii="Times New Roman" w:hAnsi="Times New Roman" w:cs="Times New Roman"/>
        </w:rPr>
        <w:t xml:space="preserve"> have a difference of only 3 percentage points. Although this experiment is not equipped to evaluate these values </w:t>
      </w:r>
      <w:r w:rsidR="00A4660B" w:rsidRPr="00C4141F">
        <w:rPr>
          <w:rFonts w:ascii="Times New Roman" w:hAnsi="Times New Roman" w:cs="Times New Roman"/>
        </w:rPr>
        <w:t>at a degree of high precision</w:t>
      </w:r>
      <w:r w:rsidR="00F4046B" w:rsidRPr="00C4141F">
        <w:rPr>
          <w:rFonts w:ascii="Times New Roman" w:hAnsi="Times New Roman" w:cs="Times New Roman"/>
        </w:rPr>
        <w:t>,</w:t>
      </w:r>
      <w:r w:rsidR="00A4660B" w:rsidRPr="00C4141F">
        <w:rPr>
          <w:rFonts w:ascii="Times New Roman" w:hAnsi="Times New Roman" w:cs="Times New Roman"/>
        </w:rPr>
        <w:t xml:space="preserve"> the point estimates suggest that they are reasonably </w:t>
      </w:r>
      <w:proofErr w:type="gramStart"/>
      <w:r w:rsidR="00A4660B" w:rsidRPr="00C4141F">
        <w:rPr>
          <w:rFonts w:ascii="Times New Roman" w:hAnsi="Times New Roman" w:cs="Times New Roman"/>
        </w:rPr>
        <w:t>similar to</w:t>
      </w:r>
      <w:proofErr w:type="gramEnd"/>
      <w:r w:rsidR="00A4660B" w:rsidRPr="00C4141F">
        <w:rPr>
          <w:rFonts w:ascii="Times New Roman" w:hAnsi="Times New Roman" w:cs="Times New Roman"/>
        </w:rPr>
        <w:t xml:space="preserve"> each other. This similarity may be a result of a phenomenon called bounded rationality, as described in Simon (1955). Bounded rationality, essentially, is the idea that individuals are satisfied with an outcome that is “good enough” and will not seek to maximize their utility beyond this level. Since the final allocations of the </w:t>
      </w:r>
      <w:r w:rsidR="00A4660B" w:rsidRPr="00C4141F">
        <w:rPr>
          <w:rFonts w:ascii="Times New Roman" w:hAnsi="Times New Roman" w:cs="Times New Roman"/>
          <w:i/>
          <w:iCs/>
        </w:rPr>
        <w:t xml:space="preserve">Monthly Information </w:t>
      </w:r>
      <w:r w:rsidR="00A4660B" w:rsidRPr="00C4141F">
        <w:rPr>
          <w:rFonts w:ascii="Times New Roman" w:hAnsi="Times New Roman" w:cs="Times New Roman"/>
        </w:rPr>
        <w:t xml:space="preserve">and </w:t>
      </w:r>
      <w:r w:rsidR="00A4660B" w:rsidRPr="00C4141F">
        <w:rPr>
          <w:rFonts w:ascii="Times New Roman" w:hAnsi="Times New Roman" w:cs="Times New Roman"/>
          <w:i/>
          <w:iCs/>
        </w:rPr>
        <w:t>Monthly Without Information</w:t>
      </w:r>
      <w:r w:rsidR="00A4660B" w:rsidRPr="00C4141F">
        <w:rPr>
          <w:rFonts w:ascii="Times New Roman" w:hAnsi="Times New Roman" w:cs="Times New Roman"/>
        </w:rPr>
        <w:t xml:space="preserve"> condition are similar, near an allocation to Fund A of </w:t>
      </w:r>
      <w:r w:rsidR="00DA7951" w:rsidRPr="00C4141F">
        <w:rPr>
          <w:rFonts w:ascii="Times New Roman" w:hAnsi="Times New Roman" w:cs="Times New Roman"/>
        </w:rPr>
        <w:t xml:space="preserve">approximately </w:t>
      </w:r>
      <w:r w:rsidR="00A4660B" w:rsidRPr="00C4141F">
        <w:rPr>
          <w:rFonts w:ascii="Times New Roman" w:hAnsi="Times New Roman" w:cs="Times New Roman"/>
        </w:rPr>
        <w:t xml:space="preserve">55, </w:t>
      </w:r>
      <w:r w:rsidR="009A2196" w:rsidRPr="00C4141F">
        <w:rPr>
          <w:rFonts w:ascii="Times New Roman" w:hAnsi="Times New Roman" w:cs="Times New Roman"/>
        </w:rPr>
        <w:t>it might be the case that the environment in which subjects in these conditions participate makes it such this allocation decision is “good enough”.</w:t>
      </w:r>
    </w:p>
    <w:p w14:paraId="092563AB" w14:textId="77777777" w:rsidR="00FE526D" w:rsidRPr="00C4141F" w:rsidRDefault="00FE526D" w:rsidP="00194B2A">
      <w:pPr>
        <w:jc w:val="both"/>
        <w:rPr>
          <w:rFonts w:ascii="Times New Roman" w:hAnsi="Times New Roman" w:cs="Times New Roman"/>
        </w:rPr>
      </w:pPr>
    </w:p>
    <w:p w14:paraId="263A3F77" w14:textId="247AB9F9" w:rsidR="002361F8" w:rsidRPr="00C4141F" w:rsidRDefault="00A76B96" w:rsidP="00194B2A">
      <w:pPr>
        <w:jc w:val="both"/>
        <w:rPr>
          <w:rFonts w:ascii="Times New Roman" w:hAnsi="Times New Roman" w:cs="Times New Roman"/>
        </w:rPr>
      </w:pPr>
      <w:r w:rsidRPr="00C4141F">
        <w:rPr>
          <w:rFonts w:ascii="Times New Roman" w:hAnsi="Times New Roman" w:cs="Times New Roman"/>
        </w:rPr>
        <w:t>Although this speculation might be worthwhile</w:t>
      </w:r>
      <w:r w:rsidR="00FE526D" w:rsidRPr="00C4141F">
        <w:rPr>
          <w:rFonts w:ascii="Times New Roman" w:hAnsi="Times New Roman" w:cs="Times New Roman"/>
        </w:rPr>
        <w:t xml:space="preserve">, it is not the primary </w:t>
      </w:r>
      <w:r w:rsidR="00B72E83">
        <w:rPr>
          <w:rFonts w:ascii="Times New Roman" w:hAnsi="Times New Roman" w:cs="Times New Roman"/>
        </w:rPr>
        <w:t>focus</w:t>
      </w:r>
      <w:r w:rsidR="00FE526D" w:rsidRPr="00C4141F">
        <w:rPr>
          <w:rFonts w:ascii="Times New Roman" w:hAnsi="Times New Roman" w:cs="Times New Roman"/>
        </w:rPr>
        <w:t xml:space="preserve"> of this research, that </w:t>
      </w:r>
      <w:r w:rsidR="00B72E83">
        <w:rPr>
          <w:rFonts w:ascii="Times New Roman" w:hAnsi="Times New Roman" w:cs="Times New Roman"/>
        </w:rPr>
        <w:t xml:space="preserve">focus </w:t>
      </w:r>
      <w:r w:rsidR="00FE526D" w:rsidRPr="00C4141F">
        <w:rPr>
          <w:rFonts w:ascii="Times New Roman" w:hAnsi="Times New Roman" w:cs="Times New Roman"/>
        </w:rPr>
        <w:t xml:space="preserve">being whether knowledge of certainty prevents the change of allocation between the two funds. </w:t>
      </w:r>
      <w:r w:rsidR="00715623" w:rsidRPr="00C4141F">
        <w:rPr>
          <w:rFonts w:ascii="Times New Roman" w:hAnsi="Times New Roman" w:cs="Times New Roman"/>
        </w:rPr>
        <w:t>I fail to provide a sufficient explanation for the lack of updating behavior in Gneezy and Potters (1997)</w:t>
      </w:r>
      <w:r w:rsidR="00AF722B" w:rsidRPr="00C4141F">
        <w:rPr>
          <w:rFonts w:ascii="Times New Roman" w:hAnsi="Times New Roman" w:cs="Times New Roman"/>
        </w:rPr>
        <w:t xml:space="preserve"> and the monthly condition in Thaler et al. (1997)</w:t>
      </w:r>
      <w:r w:rsidR="00FE526D" w:rsidRPr="00C4141F">
        <w:rPr>
          <w:rFonts w:ascii="Times New Roman" w:hAnsi="Times New Roman" w:cs="Times New Roman"/>
        </w:rPr>
        <w:t xml:space="preserve">. </w:t>
      </w:r>
      <w:r w:rsidR="0000626B" w:rsidRPr="00C4141F">
        <w:rPr>
          <w:rFonts w:ascii="Times New Roman" w:hAnsi="Times New Roman" w:cs="Times New Roman"/>
        </w:rPr>
        <w:t xml:space="preserve">My hypothesis that updating behavior would not occur in </w:t>
      </w:r>
      <w:r w:rsidR="0000626B" w:rsidRPr="00C4141F">
        <w:rPr>
          <w:rFonts w:ascii="Times New Roman" w:hAnsi="Times New Roman" w:cs="Times New Roman"/>
          <w:i/>
          <w:iCs/>
        </w:rPr>
        <w:t xml:space="preserve">Monthly </w:t>
      </w:r>
      <w:r w:rsidR="0000626B" w:rsidRPr="00C4141F">
        <w:rPr>
          <w:rFonts w:ascii="Times New Roman" w:hAnsi="Times New Roman" w:cs="Times New Roman"/>
        </w:rPr>
        <w:t>Information condition seems to be false; however, I am unable to say this with certainty</w:t>
      </w:r>
      <w:r w:rsidR="00F14E7E">
        <w:rPr>
          <w:rFonts w:ascii="Times New Roman" w:hAnsi="Times New Roman" w:cs="Times New Roman"/>
        </w:rPr>
        <w:t xml:space="preserve"> when clustering</w:t>
      </w:r>
      <w:r w:rsidR="0000626B" w:rsidRPr="00C4141F">
        <w:rPr>
          <w:rFonts w:ascii="Times New Roman" w:hAnsi="Times New Roman" w:cs="Times New Roman"/>
        </w:rPr>
        <w:t xml:space="preserve">. </w:t>
      </w:r>
      <w:r w:rsidR="00AF722B" w:rsidRPr="00C4141F">
        <w:rPr>
          <w:rFonts w:ascii="Times New Roman" w:hAnsi="Times New Roman" w:cs="Times New Roman"/>
        </w:rPr>
        <w:t xml:space="preserve">Nevertheless, these findings indicate that knowledge of certainty </w:t>
      </w:r>
      <w:r w:rsidR="00F14E7E">
        <w:rPr>
          <w:rFonts w:ascii="Times New Roman" w:hAnsi="Times New Roman" w:cs="Times New Roman"/>
        </w:rPr>
        <w:t xml:space="preserve">might </w:t>
      </w:r>
      <w:r w:rsidR="00AF722B" w:rsidRPr="00C4141F">
        <w:rPr>
          <w:rFonts w:ascii="Times New Roman" w:hAnsi="Times New Roman" w:cs="Times New Roman"/>
        </w:rPr>
        <w:t xml:space="preserve">play a role in how agents update their decisions. </w:t>
      </w:r>
      <w:r w:rsidR="00F14E7E">
        <w:rPr>
          <w:rFonts w:ascii="Times New Roman" w:hAnsi="Times New Roman" w:cs="Times New Roman"/>
        </w:rPr>
        <w:t>Certainly, t</w:t>
      </w:r>
      <w:r w:rsidR="0000626B" w:rsidRPr="00C4141F">
        <w:rPr>
          <w:rFonts w:ascii="Times New Roman" w:hAnsi="Times New Roman" w:cs="Times New Roman"/>
        </w:rPr>
        <w:t>he</w:t>
      </w:r>
      <w:r w:rsidR="00F14E7E">
        <w:rPr>
          <w:rFonts w:ascii="Times New Roman" w:hAnsi="Times New Roman" w:cs="Times New Roman"/>
        </w:rPr>
        <w:t xml:space="preserve"> question</w:t>
      </w:r>
      <w:r w:rsidR="0000626B" w:rsidRPr="00C4141F">
        <w:rPr>
          <w:rFonts w:ascii="Times New Roman" w:hAnsi="Times New Roman" w:cs="Times New Roman"/>
        </w:rPr>
        <w:t xml:space="preserve"> </w:t>
      </w:r>
      <w:r w:rsidR="00F14E7E">
        <w:rPr>
          <w:rFonts w:ascii="Times New Roman" w:hAnsi="Times New Roman" w:cs="Times New Roman"/>
        </w:rPr>
        <w:t xml:space="preserve">of how agents update their allocations in environments with a </w:t>
      </w:r>
      <w:r w:rsidR="00194B2A">
        <w:rPr>
          <w:rFonts w:ascii="Times New Roman" w:hAnsi="Times New Roman" w:cs="Times New Roman"/>
        </w:rPr>
        <w:t>no-loss</w:t>
      </w:r>
      <w:r w:rsidR="00F14E7E">
        <w:rPr>
          <w:rFonts w:ascii="Times New Roman" w:hAnsi="Times New Roman" w:cs="Times New Roman"/>
        </w:rPr>
        <w:t xml:space="preserve"> asset requires more study.</w:t>
      </w:r>
    </w:p>
    <w:p w14:paraId="05DE2BB3" w14:textId="447F5D79" w:rsidR="002361F8" w:rsidRPr="00C4141F" w:rsidRDefault="002361F8" w:rsidP="00194B2A">
      <w:pPr>
        <w:jc w:val="both"/>
        <w:rPr>
          <w:rFonts w:ascii="Times New Roman" w:hAnsi="Times New Roman" w:cs="Times New Roman"/>
        </w:rPr>
      </w:pPr>
    </w:p>
    <w:p w14:paraId="03D7D364" w14:textId="3BFC6E13" w:rsidR="00114C7A" w:rsidRPr="00C4141F" w:rsidRDefault="00114C7A" w:rsidP="00194B2A">
      <w:pPr>
        <w:jc w:val="both"/>
        <w:rPr>
          <w:rFonts w:ascii="Times New Roman" w:hAnsi="Times New Roman" w:cs="Times New Roman"/>
        </w:rPr>
      </w:pPr>
    </w:p>
    <w:p w14:paraId="5E17A1C6" w14:textId="4BA5FEB9" w:rsidR="00BD479B" w:rsidRPr="00C4141F" w:rsidRDefault="00BD479B" w:rsidP="00194B2A">
      <w:pPr>
        <w:jc w:val="both"/>
        <w:rPr>
          <w:rFonts w:ascii="Times New Roman" w:hAnsi="Times New Roman" w:cs="Times New Roman"/>
        </w:rPr>
      </w:pPr>
    </w:p>
    <w:p w14:paraId="3A29D839" w14:textId="7258D473" w:rsidR="00BD479B" w:rsidRPr="00C4141F" w:rsidRDefault="00BD479B" w:rsidP="00194B2A">
      <w:pPr>
        <w:jc w:val="both"/>
        <w:rPr>
          <w:rFonts w:ascii="Times New Roman" w:hAnsi="Times New Roman" w:cs="Times New Roman"/>
        </w:rPr>
      </w:pPr>
    </w:p>
    <w:p w14:paraId="54DB467F" w14:textId="7316BAF0" w:rsidR="00BD479B" w:rsidRPr="00C4141F" w:rsidRDefault="00BD479B" w:rsidP="00194B2A">
      <w:pPr>
        <w:jc w:val="both"/>
        <w:rPr>
          <w:rFonts w:ascii="Times New Roman" w:hAnsi="Times New Roman" w:cs="Times New Roman"/>
        </w:rPr>
      </w:pPr>
    </w:p>
    <w:p w14:paraId="69EE3E97" w14:textId="59998A58" w:rsidR="00A4660B" w:rsidRPr="00C4141F" w:rsidRDefault="00A4660B" w:rsidP="005A51D7">
      <w:pPr>
        <w:spacing w:line="480" w:lineRule="auto"/>
        <w:rPr>
          <w:rFonts w:ascii="Times New Roman" w:hAnsi="Times New Roman" w:cs="Times New Roman"/>
        </w:rPr>
      </w:pPr>
    </w:p>
    <w:p w14:paraId="018BE9BA" w14:textId="12D9A1D9" w:rsidR="00D2654B" w:rsidRDefault="00D2654B" w:rsidP="005A51D7">
      <w:pPr>
        <w:spacing w:line="480" w:lineRule="auto"/>
        <w:rPr>
          <w:rFonts w:ascii="Times New Roman" w:hAnsi="Times New Roman" w:cs="Times New Roman"/>
        </w:rPr>
      </w:pPr>
    </w:p>
    <w:p w14:paraId="4222BF80" w14:textId="4A1957C8" w:rsidR="005953A6" w:rsidRDefault="005953A6" w:rsidP="005A51D7">
      <w:pPr>
        <w:spacing w:line="480" w:lineRule="auto"/>
        <w:rPr>
          <w:rFonts w:ascii="Times New Roman" w:hAnsi="Times New Roman" w:cs="Times New Roman"/>
        </w:rPr>
      </w:pPr>
    </w:p>
    <w:p w14:paraId="44958C81" w14:textId="77777777" w:rsidR="00374797" w:rsidRPr="00C4141F" w:rsidRDefault="00374797" w:rsidP="00A86DA9">
      <w:pPr>
        <w:jc w:val="both"/>
        <w:rPr>
          <w:rFonts w:ascii="Times New Roman" w:hAnsi="Times New Roman" w:cs="Times New Roman"/>
        </w:rPr>
      </w:pPr>
    </w:p>
    <w:p w14:paraId="6487BBD5" w14:textId="55A95E6B" w:rsidR="00F14E7E" w:rsidRDefault="002E6592" w:rsidP="00A86DA9">
      <w:pPr>
        <w:jc w:val="both"/>
        <w:rPr>
          <w:rFonts w:ascii="Times New Roman" w:hAnsi="Times New Roman" w:cs="Times New Roman"/>
          <w:b/>
          <w:bCs/>
          <w:sz w:val="28"/>
          <w:szCs w:val="28"/>
        </w:rPr>
      </w:pPr>
      <w:r w:rsidRPr="00B72E83">
        <w:rPr>
          <w:rFonts w:ascii="Times New Roman" w:hAnsi="Times New Roman" w:cs="Times New Roman"/>
          <w:b/>
          <w:bCs/>
          <w:sz w:val="28"/>
          <w:szCs w:val="28"/>
        </w:rPr>
        <w:lastRenderedPageBreak/>
        <w:t>References</w:t>
      </w:r>
    </w:p>
    <w:p w14:paraId="5D9801F7" w14:textId="77777777" w:rsidR="005953A6" w:rsidRPr="005953A6" w:rsidRDefault="005953A6" w:rsidP="00A86DA9">
      <w:pPr>
        <w:jc w:val="both"/>
        <w:rPr>
          <w:rFonts w:ascii="Times New Roman" w:hAnsi="Times New Roman" w:cs="Times New Roman"/>
          <w:b/>
          <w:bCs/>
          <w:sz w:val="28"/>
          <w:szCs w:val="28"/>
        </w:rPr>
      </w:pPr>
    </w:p>
    <w:p w14:paraId="18EE7815" w14:textId="4483007C" w:rsidR="002E6592" w:rsidRDefault="002E6592" w:rsidP="00A86DA9">
      <w:pPr>
        <w:jc w:val="both"/>
        <w:rPr>
          <w:rFonts w:ascii="Times New Roman" w:hAnsi="Times New Roman" w:cs="Times New Roman"/>
        </w:rPr>
      </w:pPr>
      <w:r w:rsidRPr="00C4141F">
        <w:rPr>
          <w:rFonts w:ascii="Times New Roman" w:hAnsi="Times New Roman" w:cs="Times New Roman"/>
        </w:rPr>
        <w:t xml:space="preserve">Bellemare, Charles &amp; Krause, Michaela &amp; </w:t>
      </w:r>
      <w:proofErr w:type="spellStart"/>
      <w:r w:rsidRPr="00C4141F">
        <w:rPr>
          <w:rFonts w:ascii="Times New Roman" w:hAnsi="Times New Roman" w:cs="Times New Roman"/>
        </w:rPr>
        <w:t>Kröger</w:t>
      </w:r>
      <w:proofErr w:type="spellEnd"/>
      <w:r w:rsidRPr="00C4141F">
        <w:rPr>
          <w:rFonts w:ascii="Times New Roman" w:hAnsi="Times New Roman" w:cs="Times New Roman"/>
        </w:rPr>
        <w:t xml:space="preserve">, Sabine &amp; Zhang, </w:t>
      </w:r>
      <w:proofErr w:type="spellStart"/>
      <w:r w:rsidRPr="00C4141F">
        <w:rPr>
          <w:rFonts w:ascii="Times New Roman" w:hAnsi="Times New Roman" w:cs="Times New Roman"/>
        </w:rPr>
        <w:t>Chendi</w:t>
      </w:r>
      <w:proofErr w:type="spellEnd"/>
      <w:r w:rsidRPr="00C4141F">
        <w:rPr>
          <w:rFonts w:ascii="Times New Roman" w:hAnsi="Times New Roman" w:cs="Times New Roman"/>
        </w:rPr>
        <w:t>. (200</w:t>
      </w:r>
      <w:r w:rsidR="00F14E7E">
        <w:rPr>
          <w:rFonts w:ascii="Times New Roman" w:hAnsi="Times New Roman" w:cs="Times New Roman"/>
        </w:rPr>
        <w:t>5</w:t>
      </w:r>
      <w:r w:rsidRPr="00C4141F">
        <w:rPr>
          <w:rFonts w:ascii="Times New Roman" w:hAnsi="Times New Roman" w:cs="Times New Roman"/>
        </w:rPr>
        <w:t>). Myopic Loss Aversion: Information Feedback vs. Investment Flexibility. Economics Letters. 87. 319-324. 10.1016/j.econlet.2004.12.011.</w:t>
      </w:r>
    </w:p>
    <w:p w14:paraId="70B68057" w14:textId="77777777" w:rsidR="004C619F" w:rsidRDefault="004C619F" w:rsidP="00A86DA9">
      <w:pPr>
        <w:jc w:val="both"/>
        <w:rPr>
          <w:rFonts w:ascii="Times New Roman" w:hAnsi="Times New Roman" w:cs="Times New Roman"/>
        </w:rPr>
      </w:pPr>
    </w:p>
    <w:p w14:paraId="6834F9DE" w14:textId="565788F3" w:rsidR="004C619F" w:rsidRDefault="004C619F" w:rsidP="00A86DA9">
      <w:pPr>
        <w:jc w:val="both"/>
        <w:rPr>
          <w:rFonts w:ascii="Times New Roman" w:hAnsi="Times New Roman" w:cs="Times New Roman"/>
        </w:rPr>
      </w:pPr>
      <w:r w:rsidRPr="004C619F">
        <w:rPr>
          <w:rFonts w:ascii="Times New Roman" w:hAnsi="Times New Roman" w:cs="Times New Roman"/>
        </w:rPr>
        <w:t xml:space="preserve">Benartzi, S., &amp; Thaler, R. H. (1995). Myopic Loss Aversion and the Equity Premium Puzzle. The Quarterly Journal of Economics, 110(1), 73–92. </w:t>
      </w:r>
      <w:r w:rsidR="00496FE2" w:rsidRPr="002C6902">
        <w:rPr>
          <w:rFonts w:ascii="Times New Roman" w:hAnsi="Times New Roman" w:cs="Times New Roman"/>
        </w:rPr>
        <w:t>https://doi.org/10.2307/2118511</w:t>
      </w:r>
    </w:p>
    <w:p w14:paraId="0125FB1B" w14:textId="7B7671DE" w:rsidR="00496FE2" w:rsidRDefault="00496FE2" w:rsidP="00A86DA9">
      <w:pPr>
        <w:jc w:val="both"/>
        <w:rPr>
          <w:rFonts w:ascii="Times New Roman" w:hAnsi="Times New Roman" w:cs="Times New Roman"/>
        </w:rPr>
      </w:pPr>
    </w:p>
    <w:p w14:paraId="09FB4C76" w14:textId="399BC631" w:rsidR="00496FE2" w:rsidRPr="00C4141F" w:rsidRDefault="00496FE2" w:rsidP="00A86DA9">
      <w:pPr>
        <w:jc w:val="both"/>
        <w:rPr>
          <w:rFonts w:ascii="Times New Roman" w:hAnsi="Times New Roman" w:cs="Times New Roman"/>
        </w:rPr>
      </w:pPr>
      <w:r w:rsidRPr="00496FE2">
        <w:rPr>
          <w:rFonts w:ascii="Times New Roman" w:hAnsi="Times New Roman" w:cs="Times New Roman"/>
        </w:rPr>
        <w:t>Benartzi, S., &amp; Thaler, R. H. (1999). Risk Aversion or Myopia? Choices in Repeated Gambles and Retirement Investments. Management Science, 45(3), 364–381. http://www.jstor.org/stable/2634883</w:t>
      </w:r>
    </w:p>
    <w:p w14:paraId="0F817DFF" w14:textId="77777777" w:rsidR="002E6592" w:rsidRPr="00C4141F" w:rsidRDefault="002E6592" w:rsidP="00A86DA9">
      <w:pPr>
        <w:jc w:val="both"/>
        <w:rPr>
          <w:rFonts w:ascii="Times New Roman" w:hAnsi="Times New Roman" w:cs="Times New Roman"/>
        </w:rPr>
      </w:pPr>
    </w:p>
    <w:p w14:paraId="75CB543C" w14:textId="2E7E6914" w:rsidR="002E6592" w:rsidRPr="00C4141F" w:rsidRDefault="002E6592" w:rsidP="00A86DA9">
      <w:pPr>
        <w:shd w:val="clear" w:color="auto" w:fill="FFFFFF"/>
        <w:jc w:val="both"/>
        <w:rPr>
          <w:rFonts w:ascii="Times New Roman" w:eastAsia="Times New Roman" w:hAnsi="Times New Roman" w:cs="Times New Roman"/>
          <w:color w:val="000000"/>
          <w:spacing w:val="-5"/>
        </w:rPr>
      </w:pPr>
      <w:r w:rsidRPr="00C4141F">
        <w:rPr>
          <w:rFonts w:ascii="Times New Roman" w:eastAsia="Times New Roman" w:hAnsi="Times New Roman" w:cs="Times New Roman"/>
          <w:color w:val="000000"/>
          <w:spacing w:val="-5"/>
        </w:rPr>
        <w:t>Ellsberg, D. (1961). Risk, Ambiguity, and the Savage Axioms. </w:t>
      </w:r>
      <w:r w:rsidRPr="00C4141F">
        <w:rPr>
          <w:rFonts w:ascii="Times New Roman" w:eastAsia="Times New Roman" w:hAnsi="Times New Roman" w:cs="Times New Roman"/>
          <w:i/>
          <w:iCs/>
          <w:color w:val="000000"/>
          <w:spacing w:val="-5"/>
        </w:rPr>
        <w:t>The Quarterly Journal of Economics</w:t>
      </w:r>
      <w:r w:rsidRPr="00C4141F">
        <w:rPr>
          <w:rFonts w:ascii="Times New Roman" w:eastAsia="Times New Roman" w:hAnsi="Times New Roman" w:cs="Times New Roman"/>
          <w:color w:val="000000"/>
          <w:spacing w:val="-5"/>
        </w:rPr>
        <w:t>, </w:t>
      </w:r>
      <w:r w:rsidRPr="00C4141F">
        <w:rPr>
          <w:rFonts w:ascii="Times New Roman" w:eastAsia="Times New Roman" w:hAnsi="Times New Roman" w:cs="Times New Roman"/>
          <w:i/>
          <w:iCs/>
          <w:color w:val="000000"/>
          <w:spacing w:val="-5"/>
        </w:rPr>
        <w:t>75</w:t>
      </w:r>
      <w:r w:rsidRPr="00C4141F">
        <w:rPr>
          <w:rFonts w:ascii="Times New Roman" w:eastAsia="Times New Roman" w:hAnsi="Times New Roman" w:cs="Times New Roman"/>
          <w:color w:val="000000"/>
          <w:spacing w:val="-5"/>
        </w:rPr>
        <w:t xml:space="preserve">(4), 643–669. </w:t>
      </w:r>
      <w:r w:rsidRPr="002C6902">
        <w:rPr>
          <w:rFonts w:ascii="Times New Roman" w:eastAsia="Times New Roman" w:hAnsi="Times New Roman" w:cs="Times New Roman"/>
          <w:spacing w:val="-5"/>
        </w:rPr>
        <w:t>https://doi.org/10.2307/1884324</w:t>
      </w:r>
    </w:p>
    <w:p w14:paraId="146B6F45"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p>
    <w:p w14:paraId="78986C13" w14:textId="76525D8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Gneezy, U., &amp; Potters, J. (1997). An Experiment on Risk Taking and Evaluation Periods. The Quarterly Journal of Economics, 112(2), 631–645. </w:t>
      </w:r>
      <w:r w:rsidRPr="002C6902">
        <w:rPr>
          <w:rFonts w:ascii="Times New Roman" w:hAnsi="Times New Roman" w:cs="Times New Roman"/>
        </w:rPr>
        <w:t>http://www.jstor.org/stable/2951248</w:t>
      </w:r>
    </w:p>
    <w:p w14:paraId="0A771615"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p>
    <w:p w14:paraId="1596DCCD" w14:textId="7D83B38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Haigh, M.S. </w:t>
      </w:r>
      <w:r w:rsidR="004B2334">
        <w:rPr>
          <w:rFonts w:ascii="Times New Roman" w:hAnsi="Times New Roman" w:cs="Times New Roman"/>
        </w:rPr>
        <w:t>&amp;</w:t>
      </w:r>
      <w:r w:rsidRPr="00C4141F">
        <w:rPr>
          <w:rFonts w:ascii="Times New Roman" w:hAnsi="Times New Roman" w:cs="Times New Roman"/>
        </w:rPr>
        <w:t xml:space="preserve"> List, J.A. (2005), Do Professional Traders Exhibit Myopic Loss Aversion? An Experimental Analysis. The Journal of Finance, 60: 523-534. </w:t>
      </w:r>
      <w:r w:rsidRPr="002C6902">
        <w:rPr>
          <w:rFonts w:ascii="Times New Roman" w:hAnsi="Times New Roman" w:cs="Times New Roman"/>
        </w:rPr>
        <w:t>https://doi.org/10.1111/j.1540-6261.2005.00737.x</w:t>
      </w:r>
    </w:p>
    <w:p w14:paraId="57A16EA7" w14:textId="77777777" w:rsidR="002E6592" w:rsidRPr="00C4141F" w:rsidRDefault="002E6592" w:rsidP="00A86DA9">
      <w:pPr>
        <w:jc w:val="both"/>
        <w:rPr>
          <w:rFonts w:ascii="Times New Roman" w:hAnsi="Times New Roman" w:cs="Times New Roman"/>
        </w:rPr>
      </w:pPr>
    </w:p>
    <w:p w14:paraId="61A5B8C8" w14:textId="2CC1A776"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Kim, </w:t>
      </w:r>
      <w:proofErr w:type="spellStart"/>
      <w:r w:rsidRPr="00C4141F">
        <w:rPr>
          <w:rFonts w:ascii="Times New Roman" w:hAnsi="Times New Roman" w:cs="Times New Roman"/>
        </w:rPr>
        <w:t>Duk</w:t>
      </w:r>
      <w:proofErr w:type="spellEnd"/>
      <w:r w:rsidRPr="00C4141F">
        <w:rPr>
          <w:rFonts w:ascii="Times New Roman" w:hAnsi="Times New Roman" w:cs="Times New Roman"/>
        </w:rPr>
        <w:t xml:space="preserve"> </w:t>
      </w:r>
      <w:proofErr w:type="spellStart"/>
      <w:r w:rsidRPr="00C4141F">
        <w:rPr>
          <w:rFonts w:ascii="Times New Roman" w:hAnsi="Times New Roman" w:cs="Times New Roman"/>
        </w:rPr>
        <w:t>Gyoo</w:t>
      </w:r>
      <w:proofErr w:type="spellEnd"/>
      <w:r w:rsidRPr="00C4141F">
        <w:rPr>
          <w:rFonts w:ascii="Times New Roman" w:hAnsi="Times New Roman" w:cs="Times New Roman"/>
        </w:rPr>
        <w:t xml:space="preserve">, Clustering Standard Errors at the "Session" Level (2020). </w:t>
      </w:r>
      <w:proofErr w:type="spellStart"/>
      <w:r w:rsidRPr="00C4141F">
        <w:rPr>
          <w:rFonts w:ascii="Times New Roman" w:hAnsi="Times New Roman" w:cs="Times New Roman"/>
        </w:rPr>
        <w:t>CESifo</w:t>
      </w:r>
      <w:proofErr w:type="spellEnd"/>
      <w:r w:rsidRPr="00C4141F">
        <w:rPr>
          <w:rFonts w:ascii="Times New Roman" w:hAnsi="Times New Roman" w:cs="Times New Roman"/>
        </w:rPr>
        <w:t xml:space="preserve"> Working Paper No. 8386, Available at SSRN: https://ssrn.com/abstract=3635181 or </w:t>
      </w:r>
      <w:proofErr w:type="gramStart"/>
      <w:r w:rsidRPr="00C4141F">
        <w:rPr>
          <w:rFonts w:ascii="Times New Roman" w:hAnsi="Times New Roman" w:cs="Times New Roman"/>
        </w:rPr>
        <w:t>http://dx.doi.org/10.2139/ssrn.3635181</w:t>
      </w:r>
      <w:proofErr w:type="gramEnd"/>
    </w:p>
    <w:p w14:paraId="2584059F" w14:textId="3C877B85" w:rsidR="002E6592" w:rsidRDefault="004B2334" w:rsidP="006B153D">
      <w:pPr>
        <w:pStyle w:val="NormalWeb"/>
      </w:pPr>
      <w:r>
        <w:t xml:space="preserve">Mehra, R., &amp; Prescott, E. C. (1985). The equity premium: A puzzle. </w:t>
      </w:r>
      <w:r>
        <w:rPr>
          <w:i/>
          <w:iCs/>
        </w:rPr>
        <w:t>Journal of</w:t>
      </w:r>
      <w:r w:rsidR="008A405F">
        <w:rPr>
          <w:i/>
          <w:iCs/>
        </w:rPr>
        <w:t xml:space="preserve"> </w:t>
      </w:r>
      <w:r>
        <w:rPr>
          <w:i/>
          <w:iCs/>
        </w:rPr>
        <w:t>Monetary Economics</w:t>
      </w:r>
      <w:r>
        <w:t xml:space="preserve">, </w:t>
      </w:r>
      <w:r>
        <w:rPr>
          <w:i/>
          <w:iCs/>
        </w:rPr>
        <w:t>15</w:t>
      </w:r>
      <w:r>
        <w:t xml:space="preserve">(2), 145–161. https://doi.org/10.1016/0304-3932(85)90061-3 </w:t>
      </w:r>
    </w:p>
    <w:p w14:paraId="4D0E775B" w14:textId="6062774C" w:rsidR="0071254D" w:rsidRDefault="0071254D" w:rsidP="0071254D">
      <w:pPr>
        <w:widowControl w:val="0"/>
        <w:adjustRightInd w:val="0"/>
        <w:jc w:val="both"/>
        <w:rPr>
          <w:rFonts w:ascii="Times New Roman" w:eastAsia="Times New Roman" w:hAnsi="Times New Roman" w:cs="Times New Roman"/>
          <w:color w:val="333333"/>
        </w:rPr>
      </w:pPr>
      <w:r w:rsidRPr="0071254D">
        <w:rPr>
          <w:rFonts w:ascii="Times New Roman" w:eastAsia="Times New Roman" w:hAnsi="Times New Roman" w:cs="Times New Roman"/>
          <w:color w:val="333333"/>
        </w:rPr>
        <w:t xml:space="preserve">Samuelson, P. (1963). Risk and uncertainty: A fallacy of large numbers. </w:t>
      </w:r>
      <w:r w:rsidR="008A405F">
        <w:rPr>
          <w:rFonts w:ascii="Times New Roman" w:eastAsia="Times New Roman" w:hAnsi="Times New Roman" w:cs="Times New Roman"/>
          <w:color w:val="333333"/>
        </w:rPr>
        <w:t>S</w:t>
      </w:r>
      <w:r w:rsidRPr="0071254D">
        <w:rPr>
          <w:rFonts w:ascii="Times New Roman" w:eastAsia="Times New Roman" w:hAnsi="Times New Roman" w:cs="Times New Roman"/>
          <w:color w:val="333333"/>
        </w:rPr>
        <w:t>cientia, 57(98).</w:t>
      </w:r>
    </w:p>
    <w:p w14:paraId="5C947FE2" w14:textId="203635B4" w:rsidR="0071254D" w:rsidRDefault="0071254D" w:rsidP="0071254D">
      <w:pPr>
        <w:widowControl w:val="0"/>
        <w:adjustRightInd w:val="0"/>
        <w:jc w:val="both"/>
        <w:rPr>
          <w:rFonts w:ascii="Times New Roman" w:eastAsia="Times New Roman" w:hAnsi="Times New Roman" w:cs="Times New Roman"/>
          <w:color w:val="333333"/>
        </w:rPr>
      </w:pPr>
    </w:p>
    <w:p w14:paraId="78C32F27" w14:textId="621744BC" w:rsidR="0071254D" w:rsidRPr="00C4141F" w:rsidRDefault="003C5129" w:rsidP="003C5129">
      <w:pPr>
        <w:widowControl w:val="0"/>
        <w:adjustRightInd w:val="0"/>
        <w:rPr>
          <w:rFonts w:ascii="Times New Roman" w:hAnsi="Times New Roman" w:cs="Times New Roman"/>
        </w:rPr>
      </w:pPr>
      <w:r w:rsidRPr="003C5129">
        <w:rPr>
          <w:rFonts w:ascii="Times New Roman" w:hAnsi="Times New Roman" w:cs="Times New Roman"/>
        </w:rPr>
        <w:t>Siegel, J. J., &amp; Thaler, R. H. (1997). Anomalies: The Equity Premium Puzzle. The Journal of Economic Perspectives, 11(1), 191–200. http://www.jstor.org/stable/2138259</w:t>
      </w:r>
    </w:p>
    <w:p w14:paraId="105E0D0B" w14:textId="77777777" w:rsidR="002E6592" w:rsidRPr="00C4141F" w:rsidRDefault="002E6592" w:rsidP="00A86DA9">
      <w:pPr>
        <w:jc w:val="both"/>
        <w:rPr>
          <w:rFonts w:ascii="Times New Roman" w:hAnsi="Times New Roman" w:cs="Times New Roman"/>
        </w:rPr>
      </w:pPr>
    </w:p>
    <w:p w14:paraId="032718FF" w14:textId="4D46CDC1" w:rsidR="002E6592" w:rsidRPr="00C4141F" w:rsidRDefault="002E6592" w:rsidP="00A86DA9">
      <w:pPr>
        <w:jc w:val="both"/>
        <w:rPr>
          <w:rFonts w:ascii="Times New Roman" w:hAnsi="Times New Roman" w:cs="Times New Roman"/>
        </w:rPr>
      </w:pPr>
      <w:r w:rsidRPr="00C4141F">
        <w:rPr>
          <w:rFonts w:ascii="Times New Roman" w:hAnsi="Times New Roman" w:cs="Times New Roman"/>
        </w:rPr>
        <w:lastRenderedPageBreak/>
        <w:t xml:space="preserve">Simon, H. A. (1955). A Behavioral Model of Rational Choice. The Quarterly Journal of Economics, 69(1), 99–118. </w:t>
      </w:r>
      <w:r w:rsidRPr="002C6902">
        <w:rPr>
          <w:rFonts w:ascii="Times New Roman" w:hAnsi="Times New Roman" w:cs="Times New Roman"/>
        </w:rPr>
        <w:t>https://doi.org/10.2307/1884852</w:t>
      </w:r>
    </w:p>
    <w:p w14:paraId="0DF69262" w14:textId="77777777" w:rsidR="002E6592" w:rsidRPr="00C4141F" w:rsidRDefault="002E6592" w:rsidP="00A86DA9">
      <w:pPr>
        <w:jc w:val="both"/>
        <w:rPr>
          <w:rFonts w:ascii="Times New Roman" w:hAnsi="Times New Roman" w:cs="Times New Roman"/>
        </w:rPr>
      </w:pPr>
    </w:p>
    <w:p w14:paraId="475A5F5E" w14:textId="3720779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Thaler, R. H., Tversky, A., Kahneman, D., &amp; Schwartz, A. (1997). The Effect of Myopia and Loss Aversion on Risk Taking: An Experimental Test. The Quarterly Journal of Economics, 112(2), 647–661. </w:t>
      </w:r>
      <w:r w:rsidRPr="002C6902">
        <w:rPr>
          <w:rFonts w:ascii="Times New Roman" w:hAnsi="Times New Roman" w:cs="Times New Roman"/>
        </w:rPr>
        <w:t>http://www.jstor.org/stable/2951249</w:t>
      </w:r>
    </w:p>
    <w:p w14:paraId="5D59A674" w14:textId="17092F46" w:rsidR="00863417" w:rsidRDefault="00863417" w:rsidP="00A86DA9">
      <w:pPr>
        <w:jc w:val="both"/>
        <w:rPr>
          <w:rFonts w:ascii="Times New Roman" w:hAnsi="Times New Roman" w:cs="Times New Roman"/>
        </w:rPr>
      </w:pPr>
    </w:p>
    <w:p w14:paraId="56675896" w14:textId="41464474" w:rsidR="00A86DA9" w:rsidRDefault="006B153D" w:rsidP="00A86DA9">
      <w:pPr>
        <w:jc w:val="both"/>
        <w:rPr>
          <w:rFonts w:ascii="Times New Roman" w:hAnsi="Times New Roman" w:cs="Times New Roman"/>
        </w:rPr>
      </w:pPr>
      <w:r>
        <w:rPr>
          <w:rFonts w:ascii="Times New Roman" w:hAnsi="Times New Roman" w:cs="Times New Roman"/>
        </w:rPr>
        <w:t>Tversky</w:t>
      </w:r>
      <w:r w:rsidRPr="006B153D">
        <w:rPr>
          <w:rFonts w:ascii="Times New Roman" w:hAnsi="Times New Roman" w:cs="Times New Roman"/>
        </w:rPr>
        <w:t xml:space="preserve">, A., </w:t>
      </w:r>
      <w:r>
        <w:rPr>
          <w:rFonts w:ascii="Times New Roman" w:hAnsi="Times New Roman" w:cs="Times New Roman"/>
        </w:rPr>
        <w:t>&amp;</w:t>
      </w:r>
      <w:r w:rsidRPr="006B153D">
        <w:rPr>
          <w:rFonts w:ascii="Times New Roman" w:hAnsi="Times New Roman" w:cs="Times New Roman"/>
        </w:rPr>
        <w:t xml:space="preserve"> </w:t>
      </w:r>
      <w:r>
        <w:rPr>
          <w:rFonts w:ascii="Times New Roman" w:hAnsi="Times New Roman" w:cs="Times New Roman"/>
        </w:rPr>
        <w:t>Kahneman</w:t>
      </w:r>
      <w:r w:rsidRPr="006B153D">
        <w:rPr>
          <w:rFonts w:ascii="Times New Roman" w:hAnsi="Times New Roman" w:cs="Times New Roman"/>
        </w:rPr>
        <w:t xml:space="preserve">, D. (1992). Advances in Prospect Theory: Cumulative Representation of Uncertainty. Journal of Risk and Uncertainty, 5(4), 297–323. </w:t>
      </w:r>
      <w:r w:rsidR="008A405F" w:rsidRPr="002C6902">
        <w:rPr>
          <w:rFonts w:ascii="Times New Roman" w:hAnsi="Times New Roman" w:cs="Times New Roman"/>
        </w:rPr>
        <w:t>http://www.jstor.org/stable/41755005</w:t>
      </w:r>
    </w:p>
    <w:p w14:paraId="2632FBB0" w14:textId="5F810182" w:rsidR="008A405F" w:rsidRDefault="008A405F" w:rsidP="00A86DA9">
      <w:pPr>
        <w:jc w:val="both"/>
        <w:rPr>
          <w:rFonts w:ascii="Times New Roman" w:hAnsi="Times New Roman" w:cs="Times New Roman"/>
        </w:rPr>
      </w:pPr>
    </w:p>
    <w:p w14:paraId="7323B1D7" w14:textId="3B6A683C" w:rsidR="008A405F" w:rsidRDefault="008A405F" w:rsidP="00A86DA9">
      <w:pPr>
        <w:jc w:val="both"/>
        <w:rPr>
          <w:rFonts w:ascii="Times New Roman" w:hAnsi="Times New Roman" w:cs="Times New Roman"/>
        </w:rPr>
      </w:pPr>
    </w:p>
    <w:p w14:paraId="7C2DAB9F" w14:textId="7F1DED31" w:rsidR="008A405F" w:rsidRDefault="008A405F" w:rsidP="00A86DA9">
      <w:pPr>
        <w:jc w:val="both"/>
        <w:rPr>
          <w:rFonts w:ascii="Times New Roman" w:hAnsi="Times New Roman" w:cs="Times New Roman"/>
        </w:rPr>
      </w:pPr>
    </w:p>
    <w:p w14:paraId="3A216983" w14:textId="2ED9920B" w:rsidR="008A405F" w:rsidRDefault="008A405F" w:rsidP="00A86DA9">
      <w:pPr>
        <w:jc w:val="both"/>
        <w:rPr>
          <w:rFonts w:ascii="Times New Roman" w:hAnsi="Times New Roman" w:cs="Times New Roman"/>
        </w:rPr>
      </w:pPr>
    </w:p>
    <w:p w14:paraId="6BC48676" w14:textId="6D674E3B" w:rsidR="008A405F" w:rsidRDefault="008A405F" w:rsidP="00A86DA9">
      <w:pPr>
        <w:jc w:val="both"/>
        <w:rPr>
          <w:rFonts w:ascii="Times New Roman" w:hAnsi="Times New Roman" w:cs="Times New Roman"/>
        </w:rPr>
      </w:pPr>
    </w:p>
    <w:p w14:paraId="2F3126E5" w14:textId="0BADE39B" w:rsidR="008A405F" w:rsidRDefault="008A405F" w:rsidP="00A86DA9">
      <w:pPr>
        <w:jc w:val="both"/>
        <w:rPr>
          <w:rFonts w:ascii="Times New Roman" w:hAnsi="Times New Roman" w:cs="Times New Roman"/>
        </w:rPr>
      </w:pPr>
    </w:p>
    <w:p w14:paraId="29015E91" w14:textId="3495AF6D" w:rsidR="008A405F" w:rsidRDefault="008A405F" w:rsidP="00A86DA9">
      <w:pPr>
        <w:jc w:val="both"/>
        <w:rPr>
          <w:rFonts w:ascii="Times New Roman" w:hAnsi="Times New Roman" w:cs="Times New Roman"/>
        </w:rPr>
      </w:pPr>
    </w:p>
    <w:p w14:paraId="6D77BEC3" w14:textId="25DE3AB3" w:rsidR="008A405F" w:rsidRDefault="008A405F" w:rsidP="00A86DA9">
      <w:pPr>
        <w:jc w:val="both"/>
        <w:rPr>
          <w:rFonts w:ascii="Times New Roman" w:hAnsi="Times New Roman" w:cs="Times New Roman"/>
        </w:rPr>
      </w:pPr>
    </w:p>
    <w:p w14:paraId="597EA23E" w14:textId="6A230DB8" w:rsidR="008A405F" w:rsidRDefault="008A405F" w:rsidP="00A86DA9">
      <w:pPr>
        <w:jc w:val="both"/>
        <w:rPr>
          <w:rFonts w:ascii="Times New Roman" w:hAnsi="Times New Roman" w:cs="Times New Roman"/>
        </w:rPr>
      </w:pPr>
    </w:p>
    <w:p w14:paraId="5DD24CF2" w14:textId="67DEB87A" w:rsidR="008A405F" w:rsidRDefault="008A405F" w:rsidP="00A86DA9">
      <w:pPr>
        <w:jc w:val="both"/>
        <w:rPr>
          <w:rFonts w:ascii="Times New Roman" w:hAnsi="Times New Roman" w:cs="Times New Roman"/>
        </w:rPr>
      </w:pPr>
    </w:p>
    <w:p w14:paraId="665814FB" w14:textId="5C29DA44" w:rsidR="008A405F" w:rsidRDefault="008A405F" w:rsidP="00A86DA9">
      <w:pPr>
        <w:jc w:val="both"/>
        <w:rPr>
          <w:rFonts w:ascii="Times New Roman" w:hAnsi="Times New Roman" w:cs="Times New Roman"/>
        </w:rPr>
      </w:pPr>
    </w:p>
    <w:p w14:paraId="4CA750EC" w14:textId="49D84EFE" w:rsidR="008A405F" w:rsidRDefault="008A405F" w:rsidP="00A86DA9">
      <w:pPr>
        <w:jc w:val="both"/>
        <w:rPr>
          <w:rFonts w:ascii="Times New Roman" w:hAnsi="Times New Roman" w:cs="Times New Roman"/>
        </w:rPr>
      </w:pPr>
    </w:p>
    <w:p w14:paraId="0A5B3746" w14:textId="68643977" w:rsidR="008A405F" w:rsidRDefault="008A405F" w:rsidP="00A86DA9">
      <w:pPr>
        <w:jc w:val="both"/>
        <w:rPr>
          <w:rFonts w:ascii="Times New Roman" w:hAnsi="Times New Roman" w:cs="Times New Roman"/>
        </w:rPr>
      </w:pPr>
    </w:p>
    <w:p w14:paraId="67FD7D8B" w14:textId="02C62C3F" w:rsidR="008A405F" w:rsidRDefault="008A405F" w:rsidP="00A86DA9">
      <w:pPr>
        <w:jc w:val="both"/>
        <w:rPr>
          <w:rFonts w:ascii="Times New Roman" w:hAnsi="Times New Roman" w:cs="Times New Roman"/>
        </w:rPr>
      </w:pPr>
    </w:p>
    <w:p w14:paraId="079C0BD6" w14:textId="087EC4E6" w:rsidR="008A405F" w:rsidRDefault="008A405F" w:rsidP="00A86DA9">
      <w:pPr>
        <w:jc w:val="both"/>
        <w:rPr>
          <w:rFonts w:ascii="Times New Roman" w:hAnsi="Times New Roman" w:cs="Times New Roman"/>
        </w:rPr>
      </w:pPr>
    </w:p>
    <w:p w14:paraId="02545FD9" w14:textId="79EDCA2B" w:rsidR="008A405F" w:rsidRDefault="008A405F" w:rsidP="00A86DA9">
      <w:pPr>
        <w:jc w:val="both"/>
        <w:rPr>
          <w:rFonts w:ascii="Times New Roman" w:hAnsi="Times New Roman" w:cs="Times New Roman"/>
        </w:rPr>
      </w:pPr>
    </w:p>
    <w:p w14:paraId="3271D1B8" w14:textId="53875616" w:rsidR="008A405F" w:rsidRDefault="008A405F" w:rsidP="00A86DA9">
      <w:pPr>
        <w:jc w:val="both"/>
        <w:rPr>
          <w:rFonts w:ascii="Times New Roman" w:hAnsi="Times New Roman" w:cs="Times New Roman"/>
        </w:rPr>
      </w:pPr>
    </w:p>
    <w:p w14:paraId="09FE6675" w14:textId="7FAD4F85" w:rsidR="008A405F" w:rsidRDefault="008A405F" w:rsidP="00A86DA9">
      <w:pPr>
        <w:jc w:val="both"/>
        <w:rPr>
          <w:rFonts w:ascii="Times New Roman" w:hAnsi="Times New Roman" w:cs="Times New Roman"/>
        </w:rPr>
      </w:pPr>
    </w:p>
    <w:p w14:paraId="36D0AA49" w14:textId="7E218DDB" w:rsidR="008A405F" w:rsidRDefault="008A405F" w:rsidP="00A86DA9">
      <w:pPr>
        <w:jc w:val="both"/>
        <w:rPr>
          <w:rFonts w:ascii="Times New Roman" w:hAnsi="Times New Roman" w:cs="Times New Roman"/>
        </w:rPr>
      </w:pPr>
    </w:p>
    <w:p w14:paraId="684BF481" w14:textId="44EFF312" w:rsidR="008A405F" w:rsidRDefault="008A405F" w:rsidP="00A86DA9">
      <w:pPr>
        <w:jc w:val="both"/>
        <w:rPr>
          <w:rFonts w:ascii="Times New Roman" w:hAnsi="Times New Roman" w:cs="Times New Roman"/>
        </w:rPr>
      </w:pPr>
    </w:p>
    <w:p w14:paraId="444CDD32" w14:textId="53CE90F8" w:rsidR="008A405F" w:rsidRDefault="008A405F" w:rsidP="00A86DA9">
      <w:pPr>
        <w:jc w:val="both"/>
        <w:rPr>
          <w:rFonts w:ascii="Times New Roman" w:hAnsi="Times New Roman" w:cs="Times New Roman"/>
        </w:rPr>
      </w:pPr>
    </w:p>
    <w:p w14:paraId="369C50B6" w14:textId="25D12F0F" w:rsidR="008A405F" w:rsidRDefault="008A405F" w:rsidP="00A86DA9">
      <w:pPr>
        <w:jc w:val="both"/>
        <w:rPr>
          <w:rFonts w:ascii="Times New Roman" w:hAnsi="Times New Roman" w:cs="Times New Roman"/>
        </w:rPr>
      </w:pPr>
    </w:p>
    <w:p w14:paraId="65071D3A" w14:textId="5CF91E8C" w:rsidR="008A405F" w:rsidRDefault="008A405F" w:rsidP="00A86DA9">
      <w:pPr>
        <w:jc w:val="both"/>
        <w:rPr>
          <w:rFonts w:ascii="Times New Roman" w:hAnsi="Times New Roman" w:cs="Times New Roman"/>
        </w:rPr>
      </w:pPr>
    </w:p>
    <w:p w14:paraId="5C15D0F3" w14:textId="4BFDF04A" w:rsidR="008A405F" w:rsidRDefault="008A405F" w:rsidP="00A86DA9">
      <w:pPr>
        <w:jc w:val="both"/>
        <w:rPr>
          <w:rFonts w:ascii="Times New Roman" w:hAnsi="Times New Roman" w:cs="Times New Roman"/>
        </w:rPr>
      </w:pPr>
    </w:p>
    <w:p w14:paraId="67F823F1" w14:textId="3587C552" w:rsidR="008A405F" w:rsidRDefault="008A405F" w:rsidP="00A86DA9">
      <w:pPr>
        <w:jc w:val="both"/>
        <w:rPr>
          <w:rFonts w:ascii="Times New Roman" w:hAnsi="Times New Roman" w:cs="Times New Roman"/>
        </w:rPr>
      </w:pPr>
    </w:p>
    <w:p w14:paraId="34A99C6D" w14:textId="69E2DFEE" w:rsidR="008A405F" w:rsidRDefault="008A405F" w:rsidP="00A86DA9">
      <w:pPr>
        <w:jc w:val="both"/>
        <w:rPr>
          <w:rFonts w:ascii="Times New Roman" w:hAnsi="Times New Roman" w:cs="Times New Roman"/>
        </w:rPr>
      </w:pPr>
    </w:p>
    <w:p w14:paraId="3FB5A19A" w14:textId="36055941" w:rsidR="008A405F" w:rsidRDefault="008A405F" w:rsidP="00A86DA9">
      <w:pPr>
        <w:jc w:val="both"/>
        <w:rPr>
          <w:rFonts w:ascii="Times New Roman" w:hAnsi="Times New Roman" w:cs="Times New Roman"/>
        </w:rPr>
      </w:pPr>
    </w:p>
    <w:p w14:paraId="063DD0F5" w14:textId="77777777" w:rsidR="008A405F" w:rsidRDefault="008A405F" w:rsidP="00A86DA9">
      <w:pPr>
        <w:jc w:val="both"/>
        <w:rPr>
          <w:rFonts w:ascii="Times New Roman" w:hAnsi="Times New Roman" w:cs="Times New Roman"/>
        </w:rPr>
      </w:pPr>
    </w:p>
    <w:p w14:paraId="000D4FDB" w14:textId="19BD4719" w:rsidR="00A86DA9" w:rsidRDefault="00A86DA9" w:rsidP="00A86DA9">
      <w:pPr>
        <w:jc w:val="both"/>
        <w:rPr>
          <w:rFonts w:ascii="Times New Roman" w:hAnsi="Times New Roman" w:cs="Times New Roman"/>
        </w:rPr>
      </w:pPr>
    </w:p>
    <w:p w14:paraId="32A8DAAB" w14:textId="77777777" w:rsidR="005953A6" w:rsidRDefault="005953A6" w:rsidP="005953A6">
      <w:pPr>
        <w:rPr>
          <w:rFonts w:ascii="Times New Roman" w:hAnsi="Times New Roman" w:cs="Times New Roman"/>
        </w:rPr>
      </w:pPr>
    </w:p>
    <w:p w14:paraId="36AA4E7A" w14:textId="2915569F" w:rsidR="00ED0ED3" w:rsidRPr="00C4141F" w:rsidRDefault="00ED0ED3" w:rsidP="005953A6">
      <w:pPr>
        <w:jc w:val="center"/>
        <w:rPr>
          <w:rFonts w:ascii="Times New Roman" w:hAnsi="Times New Roman" w:cs="Times New Roman"/>
          <w:b/>
          <w:bCs/>
        </w:rPr>
      </w:pPr>
      <w:r w:rsidRPr="00C4141F">
        <w:rPr>
          <w:rFonts w:ascii="Times New Roman" w:hAnsi="Times New Roman" w:cs="Times New Roman"/>
          <w:b/>
          <w:bCs/>
        </w:rPr>
        <w:lastRenderedPageBreak/>
        <w:t>Figure 1</w:t>
      </w:r>
      <w:r w:rsidR="00C56DB1" w:rsidRPr="00C4141F">
        <w:rPr>
          <w:rFonts w:ascii="Times New Roman" w:hAnsi="Times New Roman" w:cs="Times New Roman"/>
          <w:b/>
          <w:bCs/>
        </w:rPr>
        <w:t>: Allocations to Fund A by Period for Subjects Without Information Provision</w:t>
      </w:r>
    </w:p>
    <w:p w14:paraId="503B71F9" w14:textId="319FC275" w:rsidR="00ED0ED3" w:rsidRPr="00F14E7E" w:rsidRDefault="00ED0ED3" w:rsidP="00A86DA9">
      <w:pPr>
        <w:jc w:val="both"/>
        <w:rPr>
          <w:rFonts w:ascii="Times New Roman" w:hAnsi="Times New Roman" w:cs="Times New Roman"/>
          <w:sz w:val="20"/>
          <w:szCs w:val="20"/>
        </w:rPr>
      </w:pPr>
      <w:r w:rsidRPr="00F14E7E">
        <w:rPr>
          <w:rFonts w:ascii="Times New Roman" w:hAnsi="Times New Roman" w:cs="Times New Roman"/>
          <w:sz w:val="20"/>
          <w:szCs w:val="20"/>
        </w:rPr>
        <w:t xml:space="preserve">This figure presents that average allocation to Fund A in each period over the course of the experiment for subjects who were not provided explicit information about Fund A. The blue line corresponds to the average percent allocation to Fund A for subjects in the </w:t>
      </w:r>
      <w:r w:rsidRPr="00F14E7E">
        <w:rPr>
          <w:rFonts w:ascii="Times New Roman" w:hAnsi="Times New Roman" w:cs="Times New Roman"/>
          <w:i/>
          <w:iCs/>
          <w:sz w:val="20"/>
          <w:szCs w:val="20"/>
        </w:rPr>
        <w:t>Monthly Without Information</w:t>
      </w:r>
      <w:r w:rsidRPr="00F14E7E">
        <w:rPr>
          <w:rFonts w:ascii="Times New Roman" w:hAnsi="Times New Roman" w:cs="Times New Roman"/>
          <w:sz w:val="20"/>
          <w:szCs w:val="20"/>
        </w:rPr>
        <w:t xml:space="preserve"> condition. The </w:t>
      </w:r>
      <w:r w:rsidR="0081190B">
        <w:rPr>
          <w:rFonts w:ascii="Times New Roman" w:hAnsi="Times New Roman" w:cs="Times New Roman"/>
          <w:sz w:val="20"/>
          <w:szCs w:val="20"/>
        </w:rPr>
        <w:t>red</w:t>
      </w:r>
      <w:r w:rsidRPr="00F14E7E">
        <w:rPr>
          <w:rFonts w:ascii="Times New Roman" w:hAnsi="Times New Roman" w:cs="Times New Roman"/>
          <w:sz w:val="20"/>
          <w:szCs w:val="20"/>
        </w:rPr>
        <w:t xml:space="preserve"> line corresponds to the average percent allocation to Fund A for subjects in the </w:t>
      </w:r>
      <w:r w:rsidRPr="00F14E7E">
        <w:rPr>
          <w:rFonts w:ascii="Times New Roman" w:hAnsi="Times New Roman" w:cs="Times New Roman"/>
          <w:i/>
          <w:iCs/>
          <w:sz w:val="20"/>
          <w:szCs w:val="20"/>
        </w:rPr>
        <w:t>Five Yearly Without Information</w:t>
      </w:r>
      <w:r w:rsidRPr="00F14E7E">
        <w:rPr>
          <w:rFonts w:ascii="Times New Roman" w:hAnsi="Times New Roman" w:cs="Times New Roman"/>
          <w:sz w:val="20"/>
          <w:szCs w:val="20"/>
        </w:rPr>
        <w:t xml:space="preserve"> condition.</w:t>
      </w:r>
    </w:p>
    <w:p w14:paraId="09E249B0" w14:textId="77777777" w:rsidR="00ED0ED3" w:rsidRPr="00C4141F" w:rsidRDefault="00ED0ED3" w:rsidP="00A86DA9">
      <w:pPr>
        <w:jc w:val="both"/>
        <w:rPr>
          <w:rFonts w:ascii="Times New Roman" w:hAnsi="Times New Roman" w:cs="Times New Roman"/>
        </w:rPr>
      </w:pPr>
    </w:p>
    <w:p w14:paraId="24EFB764" w14:textId="58E4A8C4" w:rsidR="001A71FF" w:rsidRDefault="00ED0ED3" w:rsidP="00A86DA9">
      <w:pPr>
        <w:jc w:val="both"/>
        <w:rPr>
          <w:rFonts w:ascii="Times New Roman" w:hAnsi="Times New Roman" w:cs="Times New Roman"/>
        </w:rPr>
      </w:pPr>
      <w:r w:rsidRPr="00C4141F">
        <w:rPr>
          <w:rFonts w:ascii="Times New Roman" w:hAnsi="Times New Roman" w:cs="Times New Roman"/>
          <w:noProof/>
        </w:rPr>
        <w:drawing>
          <wp:inline distT="0" distB="0" distL="0" distR="0" wp14:anchorId="13048EEC" wp14:editId="6588C8DA">
            <wp:extent cx="5029200" cy="365760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8"/>
                    <a:stretch>
                      <a:fillRect/>
                    </a:stretch>
                  </pic:blipFill>
                  <pic:spPr>
                    <a:xfrm>
                      <a:off x="0" y="0"/>
                      <a:ext cx="5029200" cy="3657600"/>
                    </a:xfrm>
                    <a:prstGeom prst="rect">
                      <a:avLst/>
                    </a:prstGeom>
                  </pic:spPr>
                </pic:pic>
              </a:graphicData>
            </a:graphic>
          </wp:inline>
        </w:drawing>
      </w:r>
    </w:p>
    <w:p w14:paraId="572B5A84" w14:textId="353C68B3" w:rsidR="00A86DA9" w:rsidRDefault="00A86DA9" w:rsidP="00A86DA9">
      <w:pPr>
        <w:jc w:val="both"/>
        <w:rPr>
          <w:rFonts w:ascii="Times New Roman" w:hAnsi="Times New Roman" w:cs="Times New Roman"/>
        </w:rPr>
      </w:pPr>
    </w:p>
    <w:p w14:paraId="69896055" w14:textId="56419DC1" w:rsidR="00A86DA9" w:rsidRDefault="00A86DA9" w:rsidP="00A86DA9">
      <w:pPr>
        <w:jc w:val="both"/>
        <w:rPr>
          <w:rFonts w:ascii="Times New Roman" w:hAnsi="Times New Roman" w:cs="Times New Roman"/>
        </w:rPr>
      </w:pPr>
    </w:p>
    <w:p w14:paraId="2E4DDF23" w14:textId="7C761C60" w:rsidR="00A86DA9" w:rsidRDefault="00A86DA9" w:rsidP="00A86DA9">
      <w:pPr>
        <w:jc w:val="both"/>
        <w:rPr>
          <w:rFonts w:ascii="Times New Roman" w:hAnsi="Times New Roman" w:cs="Times New Roman"/>
        </w:rPr>
      </w:pPr>
    </w:p>
    <w:p w14:paraId="5A2B86D5" w14:textId="52E0923D" w:rsidR="00A86DA9" w:rsidRDefault="00A86DA9" w:rsidP="00A86DA9">
      <w:pPr>
        <w:jc w:val="both"/>
        <w:rPr>
          <w:rFonts w:ascii="Times New Roman" w:hAnsi="Times New Roman" w:cs="Times New Roman"/>
        </w:rPr>
      </w:pPr>
    </w:p>
    <w:p w14:paraId="0C57077A" w14:textId="01C69A95" w:rsidR="00A86DA9" w:rsidRDefault="00A86DA9" w:rsidP="00A86DA9">
      <w:pPr>
        <w:jc w:val="both"/>
        <w:rPr>
          <w:rFonts w:ascii="Times New Roman" w:hAnsi="Times New Roman" w:cs="Times New Roman"/>
        </w:rPr>
      </w:pPr>
    </w:p>
    <w:p w14:paraId="3B24EFA4" w14:textId="130A3230" w:rsidR="00A86DA9" w:rsidRDefault="00A86DA9" w:rsidP="00A86DA9">
      <w:pPr>
        <w:jc w:val="both"/>
        <w:rPr>
          <w:rFonts w:ascii="Times New Roman" w:hAnsi="Times New Roman" w:cs="Times New Roman"/>
        </w:rPr>
      </w:pPr>
    </w:p>
    <w:p w14:paraId="09340A1F" w14:textId="2C7500F5" w:rsidR="00A86DA9" w:rsidRDefault="00A86DA9" w:rsidP="00A86DA9">
      <w:pPr>
        <w:jc w:val="both"/>
        <w:rPr>
          <w:rFonts w:ascii="Times New Roman" w:hAnsi="Times New Roman" w:cs="Times New Roman"/>
        </w:rPr>
      </w:pPr>
    </w:p>
    <w:p w14:paraId="1FB28B9A" w14:textId="1FA24932" w:rsidR="00A86DA9" w:rsidRDefault="00A86DA9" w:rsidP="00A86DA9">
      <w:pPr>
        <w:jc w:val="both"/>
        <w:rPr>
          <w:rFonts w:ascii="Times New Roman" w:hAnsi="Times New Roman" w:cs="Times New Roman"/>
        </w:rPr>
      </w:pPr>
    </w:p>
    <w:p w14:paraId="2FDECA1F" w14:textId="10FCE1A1" w:rsidR="00A86DA9" w:rsidRDefault="00A86DA9" w:rsidP="00A86DA9">
      <w:pPr>
        <w:jc w:val="both"/>
        <w:rPr>
          <w:rFonts w:ascii="Times New Roman" w:hAnsi="Times New Roman" w:cs="Times New Roman"/>
        </w:rPr>
      </w:pPr>
    </w:p>
    <w:p w14:paraId="50689336" w14:textId="56E46185" w:rsidR="00A86DA9" w:rsidRDefault="00A86DA9" w:rsidP="00A86DA9">
      <w:pPr>
        <w:jc w:val="both"/>
        <w:rPr>
          <w:rFonts w:ascii="Times New Roman" w:hAnsi="Times New Roman" w:cs="Times New Roman"/>
        </w:rPr>
      </w:pPr>
    </w:p>
    <w:p w14:paraId="127E2288" w14:textId="77777777" w:rsidR="00A86DA9" w:rsidRDefault="00A86DA9" w:rsidP="00A86DA9">
      <w:pPr>
        <w:jc w:val="both"/>
        <w:rPr>
          <w:rFonts w:ascii="Times New Roman" w:hAnsi="Times New Roman" w:cs="Times New Roman"/>
        </w:rPr>
      </w:pPr>
    </w:p>
    <w:p w14:paraId="087EB38E" w14:textId="77777777" w:rsidR="00F14E7E" w:rsidRPr="00C4141F" w:rsidRDefault="00F14E7E" w:rsidP="00A86DA9">
      <w:pPr>
        <w:jc w:val="both"/>
        <w:rPr>
          <w:rFonts w:ascii="Times New Roman" w:hAnsi="Times New Roman" w:cs="Times New Roman"/>
        </w:rPr>
      </w:pPr>
    </w:p>
    <w:p w14:paraId="0D2551E5" w14:textId="78B875F3" w:rsidR="00ED0ED3" w:rsidRPr="00C4141F" w:rsidRDefault="00ED0ED3" w:rsidP="00A86DA9">
      <w:pPr>
        <w:jc w:val="center"/>
        <w:rPr>
          <w:rFonts w:ascii="Times New Roman" w:hAnsi="Times New Roman" w:cs="Times New Roman"/>
          <w:b/>
          <w:bCs/>
        </w:rPr>
      </w:pPr>
      <w:r w:rsidRPr="00C4141F">
        <w:rPr>
          <w:rFonts w:ascii="Times New Roman" w:hAnsi="Times New Roman" w:cs="Times New Roman"/>
          <w:b/>
          <w:bCs/>
        </w:rPr>
        <w:lastRenderedPageBreak/>
        <w:t>Figure 2</w:t>
      </w:r>
      <w:r w:rsidR="00C3141A" w:rsidRPr="00C4141F">
        <w:rPr>
          <w:rFonts w:ascii="Times New Roman" w:hAnsi="Times New Roman" w:cs="Times New Roman"/>
          <w:b/>
          <w:bCs/>
        </w:rPr>
        <w:t>:</w:t>
      </w:r>
      <w:r w:rsidR="00C56DB1" w:rsidRPr="00C4141F">
        <w:rPr>
          <w:rFonts w:ascii="Times New Roman" w:hAnsi="Times New Roman" w:cs="Times New Roman"/>
          <w:b/>
          <w:bCs/>
        </w:rPr>
        <w:t xml:space="preserve"> Allocations to Fund A by Period for Subjects </w:t>
      </w:r>
      <w:proofErr w:type="gramStart"/>
      <w:r w:rsidR="00C56DB1" w:rsidRPr="00C4141F">
        <w:rPr>
          <w:rFonts w:ascii="Times New Roman" w:hAnsi="Times New Roman" w:cs="Times New Roman"/>
          <w:b/>
          <w:bCs/>
        </w:rPr>
        <w:t>With</w:t>
      </w:r>
      <w:proofErr w:type="gramEnd"/>
      <w:r w:rsidR="00C56DB1" w:rsidRPr="00C4141F">
        <w:rPr>
          <w:rFonts w:ascii="Times New Roman" w:hAnsi="Times New Roman" w:cs="Times New Roman"/>
          <w:b/>
          <w:bCs/>
        </w:rPr>
        <w:t xml:space="preserve"> Information Provision</w:t>
      </w:r>
    </w:p>
    <w:p w14:paraId="5C316331" w14:textId="081885FC" w:rsidR="00ED0ED3" w:rsidRPr="0081190B" w:rsidRDefault="00ED0ED3" w:rsidP="00A86DA9">
      <w:pPr>
        <w:jc w:val="both"/>
        <w:rPr>
          <w:rFonts w:ascii="Times New Roman" w:hAnsi="Times New Roman" w:cs="Times New Roman"/>
          <w:sz w:val="20"/>
          <w:szCs w:val="20"/>
        </w:rPr>
      </w:pPr>
      <w:r w:rsidRPr="0081190B">
        <w:rPr>
          <w:rFonts w:ascii="Times New Roman" w:hAnsi="Times New Roman" w:cs="Times New Roman"/>
          <w:sz w:val="20"/>
          <w:szCs w:val="20"/>
        </w:rPr>
        <w:t>This figure presents that average allocation to Fund A in each period over the course of the experiment for subjects who were provided explicit information about Fund A, specifically the nature of the lower bound on Fund A’s returns. The</w:t>
      </w:r>
      <w:r w:rsidR="0081190B">
        <w:rPr>
          <w:rFonts w:ascii="Times New Roman" w:hAnsi="Times New Roman" w:cs="Times New Roman"/>
          <w:sz w:val="20"/>
          <w:szCs w:val="20"/>
        </w:rPr>
        <w:t xml:space="preserve"> blue</w:t>
      </w:r>
      <w:r w:rsidRPr="0081190B">
        <w:rPr>
          <w:rFonts w:ascii="Times New Roman" w:hAnsi="Times New Roman" w:cs="Times New Roman"/>
          <w:sz w:val="20"/>
          <w:szCs w:val="20"/>
        </w:rPr>
        <w:t xml:space="preserve"> line corresponds to the average percent allocation to Fund A for subjects in the </w:t>
      </w:r>
      <w:r w:rsidRPr="0081190B">
        <w:rPr>
          <w:rFonts w:ascii="Times New Roman" w:hAnsi="Times New Roman" w:cs="Times New Roman"/>
          <w:i/>
          <w:iCs/>
          <w:sz w:val="20"/>
          <w:szCs w:val="20"/>
        </w:rPr>
        <w:t>Monthly Information</w:t>
      </w:r>
      <w:r w:rsidRPr="0081190B">
        <w:rPr>
          <w:rFonts w:ascii="Times New Roman" w:hAnsi="Times New Roman" w:cs="Times New Roman"/>
          <w:sz w:val="20"/>
          <w:szCs w:val="20"/>
        </w:rPr>
        <w:t xml:space="preserve"> condition. The </w:t>
      </w:r>
      <w:r w:rsidR="0081190B">
        <w:rPr>
          <w:rFonts w:ascii="Times New Roman" w:hAnsi="Times New Roman" w:cs="Times New Roman"/>
          <w:sz w:val="20"/>
          <w:szCs w:val="20"/>
        </w:rPr>
        <w:t>red</w:t>
      </w:r>
      <w:r w:rsidRPr="0081190B">
        <w:rPr>
          <w:rFonts w:ascii="Times New Roman" w:hAnsi="Times New Roman" w:cs="Times New Roman"/>
          <w:sz w:val="20"/>
          <w:szCs w:val="20"/>
        </w:rPr>
        <w:t xml:space="preserve"> line corresponds to the average percent allocation to Fund A for subjects in the </w:t>
      </w:r>
      <w:r w:rsidRPr="0081190B">
        <w:rPr>
          <w:rFonts w:ascii="Times New Roman" w:hAnsi="Times New Roman" w:cs="Times New Roman"/>
          <w:i/>
          <w:iCs/>
          <w:sz w:val="20"/>
          <w:szCs w:val="20"/>
        </w:rPr>
        <w:t>Five Yearly Information</w:t>
      </w:r>
      <w:r w:rsidRPr="0081190B">
        <w:rPr>
          <w:rFonts w:ascii="Times New Roman" w:hAnsi="Times New Roman" w:cs="Times New Roman"/>
          <w:sz w:val="20"/>
          <w:szCs w:val="20"/>
        </w:rPr>
        <w:t xml:space="preserve"> condition.</w:t>
      </w:r>
    </w:p>
    <w:p w14:paraId="4E51E5DA" w14:textId="6BBA3DD8" w:rsidR="00F63E57" w:rsidRDefault="009C0BD1" w:rsidP="00A86DA9">
      <w:pPr>
        <w:jc w:val="both"/>
        <w:rPr>
          <w:rFonts w:ascii="Times New Roman" w:hAnsi="Times New Roman" w:cs="Times New Roman"/>
        </w:rPr>
      </w:pPr>
      <w:r w:rsidRPr="00C4141F">
        <w:rPr>
          <w:rFonts w:ascii="Times New Roman" w:hAnsi="Times New Roman" w:cs="Times New Roman"/>
          <w:noProof/>
        </w:rPr>
        <w:drawing>
          <wp:inline distT="0" distB="0" distL="0" distR="0" wp14:anchorId="2669D257" wp14:editId="44B719AA">
            <wp:extent cx="5029200" cy="3657600"/>
            <wp:effectExtent l="0" t="0" r="0" b="0"/>
            <wp:docPr id="4" name="Picture 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2E370F7" w14:textId="4A71AA57" w:rsidR="00A86DA9" w:rsidRDefault="00A86DA9" w:rsidP="00A86DA9">
      <w:pPr>
        <w:jc w:val="both"/>
        <w:rPr>
          <w:rFonts w:ascii="Times New Roman" w:hAnsi="Times New Roman" w:cs="Times New Roman"/>
        </w:rPr>
      </w:pPr>
    </w:p>
    <w:p w14:paraId="05A0BA0E" w14:textId="020E5487" w:rsidR="00A86DA9" w:rsidRDefault="00A86DA9" w:rsidP="00A86DA9">
      <w:pPr>
        <w:jc w:val="both"/>
        <w:rPr>
          <w:rFonts w:ascii="Times New Roman" w:hAnsi="Times New Roman" w:cs="Times New Roman"/>
        </w:rPr>
      </w:pPr>
    </w:p>
    <w:p w14:paraId="7ACD5D50" w14:textId="3381AE97" w:rsidR="00A86DA9" w:rsidRDefault="00A86DA9" w:rsidP="00A86DA9">
      <w:pPr>
        <w:jc w:val="both"/>
        <w:rPr>
          <w:rFonts w:ascii="Times New Roman" w:hAnsi="Times New Roman" w:cs="Times New Roman"/>
        </w:rPr>
      </w:pPr>
    </w:p>
    <w:p w14:paraId="1113B040" w14:textId="3B5D2F1D" w:rsidR="00A86DA9" w:rsidRDefault="00A86DA9" w:rsidP="00A86DA9">
      <w:pPr>
        <w:jc w:val="both"/>
        <w:rPr>
          <w:rFonts w:ascii="Times New Roman" w:hAnsi="Times New Roman" w:cs="Times New Roman"/>
        </w:rPr>
      </w:pPr>
    </w:p>
    <w:p w14:paraId="00E5374B" w14:textId="7486DDDB" w:rsidR="00A86DA9" w:rsidRDefault="00A86DA9" w:rsidP="00A86DA9">
      <w:pPr>
        <w:jc w:val="both"/>
        <w:rPr>
          <w:rFonts w:ascii="Times New Roman" w:hAnsi="Times New Roman" w:cs="Times New Roman"/>
        </w:rPr>
      </w:pPr>
    </w:p>
    <w:p w14:paraId="74FA21CD" w14:textId="3AEFBBF8" w:rsidR="00A86DA9" w:rsidRDefault="00A86DA9" w:rsidP="00A86DA9">
      <w:pPr>
        <w:jc w:val="both"/>
        <w:rPr>
          <w:rFonts w:ascii="Times New Roman" w:hAnsi="Times New Roman" w:cs="Times New Roman"/>
        </w:rPr>
      </w:pPr>
    </w:p>
    <w:p w14:paraId="1A0AF4BC" w14:textId="315B8965" w:rsidR="00A86DA9" w:rsidRDefault="00A86DA9" w:rsidP="00A86DA9">
      <w:pPr>
        <w:jc w:val="both"/>
        <w:rPr>
          <w:rFonts w:ascii="Times New Roman" w:hAnsi="Times New Roman" w:cs="Times New Roman"/>
        </w:rPr>
      </w:pPr>
    </w:p>
    <w:p w14:paraId="1FB2AAE8" w14:textId="24533723" w:rsidR="00A86DA9" w:rsidRDefault="00A86DA9" w:rsidP="00A86DA9">
      <w:pPr>
        <w:jc w:val="both"/>
        <w:rPr>
          <w:rFonts w:ascii="Times New Roman" w:hAnsi="Times New Roman" w:cs="Times New Roman"/>
        </w:rPr>
      </w:pPr>
    </w:p>
    <w:p w14:paraId="2776FDAD" w14:textId="1AEEA606" w:rsidR="00A86DA9" w:rsidRDefault="00A86DA9" w:rsidP="00A86DA9">
      <w:pPr>
        <w:jc w:val="both"/>
        <w:rPr>
          <w:rFonts w:ascii="Times New Roman" w:hAnsi="Times New Roman" w:cs="Times New Roman"/>
        </w:rPr>
      </w:pPr>
    </w:p>
    <w:p w14:paraId="5063F54B" w14:textId="25C6122B" w:rsidR="00A86DA9" w:rsidRDefault="00A86DA9" w:rsidP="00A86DA9">
      <w:pPr>
        <w:jc w:val="both"/>
        <w:rPr>
          <w:rFonts w:ascii="Times New Roman" w:hAnsi="Times New Roman" w:cs="Times New Roman"/>
        </w:rPr>
      </w:pPr>
    </w:p>
    <w:p w14:paraId="3AB3BFE2" w14:textId="1CD506CA" w:rsidR="00A86DA9" w:rsidRDefault="00A86DA9" w:rsidP="00A86DA9">
      <w:pPr>
        <w:jc w:val="both"/>
        <w:rPr>
          <w:rFonts w:ascii="Times New Roman" w:hAnsi="Times New Roman" w:cs="Times New Roman"/>
        </w:rPr>
      </w:pPr>
    </w:p>
    <w:p w14:paraId="33722403" w14:textId="77777777" w:rsidR="00A86DA9" w:rsidRPr="00C4141F" w:rsidRDefault="00A86DA9" w:rsidP="00A86DA9">
      <w:pPr>
        <w:jc w:val="both"/>
        <w:rPr>
          <w:rFonts w:ascii="Times New Roman" w:hAnsi="Times New Roman" w:cs="Times New Roman"/>
        </w:rPr>
      </w:pPr>
    </w:p>
    <w:p w14:paraId="669D0F60" w14:textId="77777777" w:rsidR="00A86DA9" w:rsidRDefault="00A86DA9" w:rsidP="00A86DA9">
      <w:pPr>
        <w:rPr>
          <w:rFonts w:ascii="Times New Roman" w:hAnsi="Times New Roman" w:cs="Times New Roman"/>
        </w:rPr>
      </w:pPr>
    </w:p>
    <w:p w14:paraId="4B78BDD7" w14:textId="744A6F4F" w:rsidR="001D1767" w:rsidRPr="00C4141F" w:rsidRDefault="001D1767" w:rsidP="00A86DA9">
      <w:pPr>
        <w:jc w:val="center"/>
        <w:rPr>
          <w:rFonts w:ascii="Times New Roman" w:hAnsi="Times New Roman" w:cs="Times New Roman"/>
          <w:b/>
          <w:bCs/>
        </w:rPr>
      </w:pPr>
      <w:r w:rsidRPr="00C4141F">
        <w:rPr>
          <w:rFonts w:ascii="Times New Roman" w:hAnsi="Times New Roman" w:cs="Times New Roman"/>
          <w:b/>
          <w:bCs/>
        </w:rPr>
        <w:lastRenderedPageBreak/>
        <w:t xml:space="preserve">Table 1: Regressions Predicting Allocations to Fund </w:t>
      </w:r>
      <w:proofErr w:type="gramStart"/>
      <w:r w:rsidRPr="00C4141F">
        <w:rPr>
          <w:rFonts w:ascii="Times New Roman" w:hAnsi="Times New Roman" w:cs="Times New Roman"/>
          <w:b/>
          <w:bCs/>
        </w:rPr>
        <w:t>A</w:t>
      </w:r>
      <w:proofErr w:type="gramEnd"/>
      <w:r w:rsidRPr="00C4141F">
        <w:rPr>
          <w:rFonts w:ascii="Times New Roman" w:hAnsi="Times New Roman" w:cs="Times New Roman"/>
          <w:b/>
          <w:bCs/>
        </w:rPr>
        <w:t xml:space="preserve"> From Trial Number in Thaler et al. (1997)</w:t>
      </w:r>
    </w:p>
    <w:p w14:paraId="7FE31127" w14:textId="77777777" w:rsidR="005C692B" w:rsidRPr="004C619F" w:rsidRDefault="001D1767" w:rsidP="00A86DA9">
      <w:pPr>
        <w:jc w:val="both"/>
        <w:rPr>
          <w:rFonts w:ascii="Times New Roman" w:hAnsi="Times New Roman" w:cs="Times New Roman"/>
          <w:sz w:val="20"/>
          <w:szCs w:val="20"/>
        </w:rPr>
      </w:pPr>
      <w:r w:rsidRPr="004C619F">
        <w:rPr>
          <w:rFonts w:ascii="Times New Roman" w:hAnsi="Times New Roman" w:cs="Times New Roman"/>
          <w:sz w:val="20"/>
          <w:szCs w:val="20"/>
        </w:rPr>
        <w:t xml:space="preserve">The table below contains the results of Thaler et al. (1997)’s reported in Table II of their paper. The percentage of funds allocated to Fund A are regressed on the number which corresponds to the decision that subjects made in the experiment, and the coefficient on this trial number is reported for each of the treatment groups. </w:t>
      </w:r>
      <w:r w:rsidR="00F63E57" w:rsidRPr="004C619F">
        <w:rPr>
          <w:rFonts w:ascii="Times New Roman" w:hAnsi="Times New Roman" w:cs="Times New Roman"/>
          <w:sz w:val="20"/>
          <w:szCs w:val="20"/>
        </w:rPr>
        <w:t xml:space="preserve">The number of observations per treatment group are noted in the parentheses. </w:t>
      </w:r>
      <w:r w:rsidR="005C692B" w:rsidRPr="004C619F">
        <w:rPr>
          <w:rFonts w:ascii="Times New Roman" w:hAnsi="Times New Roman" w:cs="Times New Roman"/>
          <w:sz w:val="20"/>
          <w:szCs w:val="20"/>
        </w:rPr>
        <w:t>*, *, and ** represent significance at the 10%, 5%, and 1% levels, respectively.</w:t>
      </w:r>
    </w:p>
    <w:p w14:paraId="0D89788A" w14:textId="6ECEF704" w:rsidR="001D1767" w:rsidRDefault="009F12FA" w:rsidP="00A86DA9">
      <w:pPr>
        <w:jc w:val="both"/>
        <w:rPr>
          <w:rFonts w:ascii="Times New Roman" w:hAnsi="Times New Roman" w:cs="Times New Roman"/>
        </w:rPr>
      </w:pPr>
      <w:r w:rsidRPr="009F12FA">
        <w:rPr>
          <w:rFonts w:ascii="Times New Roman" w:hAnsi="Times New Roman" w:cs="Times New Roman"/>
        </w:rPr>
        <w:drawing>
          <wp:inline distT="0" distB="0" distL="0" distR="0" wp14:anchorId="14E738EF" wp14:editId="5C150D87">
            <wp:extent cx="5029200" cy="3416300"/>
            <wp:effectExtent l="0" t="0" r="0" b="0"/>
            <wp:docPr id="65989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1482" name=""/>
                    <pic:cNvPicPr/>
                  </pic:nvPicPr>
                  <pic:blipFill>
                    <a:blip r:embed="rId10"/>
                    <a:stretch>
                      <a:fillRect/>
                    </a:stretch>
                  </pic:blipFill>
                  <pic:spPr>
                    <a:xfrm>
                      <a:off x="0" y="0"/>
                      <a:ext cx="5029200" cy="3416300"/>
                    </a:xfrm>
                    <a:prstGeom prst="rect">
                      <a:avLst/>
                    </a:prstGeom>
                  </pic:spPr>
                </pic:pic>
              </a:graphicData>
            </a:graphic>
          </wp:inline>
        </w:drawing>
      </w:r>
    </w:p>
    <w:p w14:paraId="317ADEAA" w14:textId="51BCF613" w:rsidR="004216CA" w:rsidRDefault="004216CA" w:rsidP="00A86DA9">
      <w:pPr>
        <w:jc w:val="both"/>
        <w:rPr>
          <w:rFonts w:ascii="Times New Roman" w:hAnsi="Times New Roman" w:cs="Times New Roman"/>
        </w:rPr>
      </w:pPr>
    </w:p>
    <w:p w14:paraId="59391A55" w14:textId="7EB40A23" w:rsidR="004216CA" w:rsidRDefault="004216CA" w:rsidP="00A86DA9">
      <w:pPr>
        <w:jc w:val="both"/>
        <w:rPr>
          <w:rFonts w:ascii="Times New Roman" w:hAnsi="Times New Roman" w:cs="Times New Roman"/>
        </w:rPr>
      </w:pPr>
    </w:p>
    <w:p w14:paraId="5BF5EA0F" w14:textId="04211958" w:rsidR="004216CA" w:rsidRDefault="004216CA" w:rsidP="00A86DA9">
      <w:pPr>
        <w:jc w:val="both"/>
        <w:rPr>
          <w:rFonts w:ascii="Times New Roman" w:hAnsi="Times New Roman" w:cs="Times New Roman"/>
        </w:rPr>
      </w:pPr>
    </w:p>
    <w:p w14:paraId="04D5FAEC" w14:textId="2007DAD2" w:rsidR="004216CA" w:rsidRDefault="004216CA" w:rsidP="00A86DA9">
      <w:pPr>
        <w:jc w:val="both"/>
        <w:rPr>
          <w:rFonts w:ascii="Times New Roman" w:hAnsi="Times New Roman" w:cs="Times New Roman"/>
        </w:rPr>
      </w:pPr>
    </w:p>
    <w:p w14:paraId="68626EC5" w14:textId="23407C85" w:rsidR="004216CA" w:rsidRDefault="004216CA" w:rsidP="00A86DA9">
      <w:pPr>
        <w:jc w:val="both"/>
        <w:rPr>
          <w:rFonts w:ascii="Times New Roman" w:hAnsi="Times New Roman" w:cs="Times New Roman"/>
        </w:rPr>
      </w:pPr>
    </w:p>
    <w:p w14:paraId="7BF5C4F1" w14:textId="11B74A92" w:rsidR="004216CA" w:rsidRDefault="004216CA" w:rsidP="00A86DA9">
      <w:pPr>
        <w:jc w:val="both"/>
        <w:rPr>
          <w:rFonts w:ascii="Times New Roman" w:hAnsi="Times New Roman" w:cs="Times New Roman"/>
        </w:rPr>
      </w:pPr>
    </w:p>
    <w:p w14:paraId="3FB48294" w14:textId="0B0242CF" w:rsidR="0079279E" w:rsidRDefault="0079279E" w:rsidP="00A86DA9">
      <w:pPr>
        <w:jc w:val="both"/>
        <w:rPr>
          <w:rFonts w:ascii="Times New Roman" w:hAnsi="Times New Roman" w:cs="Times New Roman"/>
        </w:rPr>
      </w:pPr>
    </w:p>
    <w:p w14:paraId="70C9A6E9" w14:textId="03151CD4" w:rsidR="0079279E" w:rsidRDefault="0079279E" w:rsidP="00A86DA9">
      <w:pPr>
        <w:jc w:val="both"/>
        <w:rPr>
          <w:rFonts w:ascii="Times New Roman" w:hAnsi="Times New Roman" w:cs="Times New Roman"/>
        </w:rPr>
      </w:pPr>
    </w:p>
    <w:p w14:paraId="5BFF9EF2" w14:textId="78819104" w:rsidR="0079279E" w:rsidRDefault="0079279E" w:rsidP="00A86DA9">
      <w:pPr>
        <w:jc w:val="both"/>
        <w:rPr>
          <w:rFonts w:ascii="Times New Roman" w:hAnsi="Times New Roman" w:cs="Times New Roman"/>
        </w:rPr>
      </w:pPr>
    </w:p>
    <w:p w14:paraId="1DA534E6" w14:textId="65EB2B80" w:rsidR="0079279E" w:rsidRDefault="0079279E" w:rsidP="00A86DA9">
      <w:pPr>
        <w:jc w:val="both"/>
        <w:rPr>
          <w:rFonts w:ascii="Times New Roman" w:hAnsi="Times New Roman" w:cs="Times New Roman"/>
        </w:rPr>
      </w:pPr>
    </w:p>
    <w:p w14:paraId="09F0C670" w14:textId="74F9709B" w:rsidR="0079279E" w:rsidRDefault="0079279E" w:rsidP="00A86DA9">
      <w:pPr>
        <w:jc w:val="both"/>
        <w:rPr>
          <w:rFonts w:ascii="Times New Roman" w:hAnsi="Times New Roman" w:cs="Times New Roman"/>
        </w:rPr>
      </w:pPr>
    </w:p>
    <w:p w14:paraId="2061D3CF" w14:textId="64077C72" w:rsidR="0079279E" w:rsidRDefault="0079279E" w:rsidP="00A86DA9">
      <w:pPr>
        <w:jc w:val="both"/>
        <w:rPr>
          <w:rFonts w:ascii="Times New Roman" w:hAnsi="Times New Roman" w:cs="Times New Roman"/>
        </w:rPr>
      </w:pPr>
    </w:p>
    <w:p w14:paraId="33C95810" w14:textId="4E442478" w:rsidR="00934F39" w:rsidRDefault="00934F39" w:rsidP="00A86DA9">
      <w:pPr>
        <w:jc w:val="both"/>
        <w:rPr>
          <w:rFonts w:ascii="Times New Roman" w:hAnsi="Times New Roman" w:cs="Times New Roman"/>
        </w:rPr>
      </w:pPr>
    </w:p>
    <w:p w14:paraId="2737F473" w14:textId="77777777" w:rsidR="00934F39" w:rsidRDefault="00934F39" w:rsidP="00A86DA9">
      <w:pPr>
        <w:jc w:val="both"/>
        <w:rPr>
          <w:rFonts w:ascii="Times New Roman" w:hAnsi="Times New Roman" w:cs="Times New Roman"/>
        </w:rPr>
      </w:pPr>
    </w:p>
    <w:p w14:paraId="53A51714" w14:textId="7F7333CD" w:rsidR="0079279E" w:rsidRDefault="0079279E" w:rsidP="00A86DA9">
      <w:pPr>
        <w:jc w:val="both"/>
        <w:rPr>
          <w:rFonts w:ascii="Times New Roman" w:hAnsi="Times New Roman" w:cs="Times New Roman"/>
        </w:rPr>
      </w:pPr>
    </w:p>
    <w:p w14:paraId="22CBBDAA" w14:textId="30FC7B74" w:rsidR="0079279E" w:rsidRPr="00C4141F" w:rsidRDefault="0079279E" w:rsidP="0079279E">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Pr>
          <w:rFonts w:ascii="Times New Roman" w:hAnsi="Times New Roman" w:cs="Times New Roman"/>
          <w:b/>
          <w:bCs/>
        </w:rPr>
        <w:t>2</w:t>
      </w:r>
      <w:r w:rsidRPr="00C4141F">
        <w:rPr>
          <w:rFonts w:ascii="Times New Roman" w:hAnsi="Times New Roman" w:cs="Times New Roman"/>
          <w:b/>
          <w:bCs/>
        </w:rPr>
        <w:t xml:space="preserve">: Regressions Predicting Allocations to Fund </w:t>
      </w:r>
      <w:proofErr w:type="gramStart"/>
      <w:r w:rsidRPr="00C4141F">
        <w:rPr>
          <w:rFonts w:ascii="Times New Roman" w:hAnsi="Times New Roman" w:cs="Times New Roman"/>
          <w:b/>
          <w:bCs/>
        </w:rPr>
        <w:t>A</w:t>
      </w:r>
      <w:proofErr w:type="gramEnd"/>
      <w:r w:rsidRPr="00C4141F">
        <w:rPr>
          <w:rFonts w:ascii="Times New Roman" w:hAnsi="Times New Roman" w:cs="Times New Roman"/>
          <w:b/>
          <w:bCs/>
        </w:rPr>
        <w:t xml:space="preserve"> From Trial Number in the Current Experiment</w:t>
      </w:r>
    </w:p>
    <w:p w14:paraId="7D37D70E" w14:textId="77777777" w:rsidR="0079279E" w:rsidRPr="004C619F" w:rsidRDefault="0079279E" w:rsidP="0079279E">
      <w:pPr>
        <w:jc w:val="both"/>
        <w:rPr>
          <w:rFonts w:ascii="Times New Roman" w:hAnsi="Times New Roman" w:cs="Times New Roman"/>
          <w:sz w:val="20"/>
          <w:szCs w:val="20"/>
        </w:rPr>
      </w:pPr>
      <w:r w:rsidRPr="004C619F">
        <w:rPr>
          <w:rFonts w:ascii="Times New Roman" w:hAnsi="Times New Roman" w:cs="Times New Roman"/>
          <w:sz w:val="20"/>
          <w:szCs w:val="20"/>
        </w:rPr>
        <w:t xml:space="preserve">The regressions reported in the two panels below use the specification from (1), showing the estimated effect of the trial number on the percentage allocation to Fund A. The variable “Trial Number” refers to the number of the decision made a by a subject, not the allocation associated with a specific period. Panel A reports the estimates with </w:t>
      </w:r>
      <w:proofErr w:type="spellStart"/>
      <w:r w:rsidRPr="004C619F">
        <w:rPr>
          <w:rFonts w:ascii="Times New Roman" w:hAnsi="Times New Roman" w:cs="Times New Roman"/>
          <w:sz w:val="20"/>
          <w:szCs w:val="20"/>
        </w:rPr>
        <w:t>unclustered</w:t>
      </w:r>
      <w:proofErr w:type="spellEnd"/>
      <w:r w:rsidRPr="004C619F">
        <w:rPr>
          <w:rFonts w:ascii="Times New Roman" w:hAnsi="Times New Roman" w:cs="Times New Roman"/>
          <w:sz w:val="20"/>
          <w:szCs w:val="20"/>
        </w:rPr>
        <w:t xml:space="preserve"> standard errors while Panel B reports the estimates with standard errors clustered on the subject level. *, *, and ** represent significance at the 10%, 5%, and 1% levels, respectively.</w:t>
      </w:r>
    </w:p>
    <w:p w14:paraId="57D3E979" w14:textId="4B134021" w:rsidR="0079279E" w:rsidRPr="002C708D" w:rsidRDefault="00112AEF" w:rsidP="002C708D">
      <w:pPr>
        <w:jc w:val="center"/>
        <w:rPr>
          <w:rFonts w:ascii="Times New Roman" w:hAnsi="Times New Roman" w:cs="Times New Roman"/>
          <w:b/>
          <w:bCs/>
        </w:rPr>
      </w:pPr>
      <w:r w:rsidRPr="00112AEF">
        <w:rPr>
          <w:rFonts w:ascii="Times New Roman" w:hAnsi="Times New Roman" w:cs="Times New Roman"/>
          <w:b/>
          <w:bCs/>
        </w:rPr>
        <w:drawing>
          <wp:inline distT="0" distB="0" distL="0" distR="0" wp14:anchorId="16D3E36C" wp14:editId="1BD12354">
            <wp:extent cx="5029200" cy="5855970"/>
            <wp:effectExtent l="0" t="0" r="0" b="0"/>
            <wp:docPr id="10484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539" name=""/>
                    <pic:cNvPicPr/>
                  </pic:nvPicPr>
                  <pic:blipFill>
                    <a:blip r:embed="rId11"/>
                    <a:stretch>
                      <a:fillRect/>
                    </a:stretch>
                  </pic:blipFill>
                  <pic:spPr>
                    <a:xfrm>
                      <a:off x="0" y="0"/>
                      <a:ext cx="5029200" cy="5855970"/>
                    </a:xfrm>
                    <a:prstGeom prst="rect">
                      <a:avLst/>
                    </a:prstGeom>
                  </pic:spPr>
                </pic:pic>
              </a:graphicData>
            </a:graphic>
          </wp:inline>
        </w:drawing>
      </w:r>
    </w:p>
    <w:p w14:paraId="224DD2E3" w14:textId="1EA004DD" w:rsidR="0079279E" w:rsidRDefault="0079279E" w:rsidP="00A86DA9">
      <w:pPr>
        <w:jc w:val="both"/>
        <w:rPr>
          <w:rFonts w:ascii="Times New Roman" w:hAnsi="Times New Roman" w:cs="Times New Roman"/>
        </w:rPr>
      </w:pPr>
    </w:p>
    <w:p w14:paraId="776E21D4" w14:textId="01E2815F" w:rsidR="0079279E" w:rsidRPr="00194B2A" w:rsidRDefault="0079279E" w:rsidP="0079279E">
      <w:pPr>
        <w:jc w:val="center"/>
        <w:rPr>
          <w:rFonts w:ascii="Times New Roman" w:hAnsi="Times New Roman" w:cs="Times New Roman"/>
        </w:rPr>
      </w:pPr>
      <w:r w:rsidRPr="00C4141F">
        <w:rPr>
          <w:rFonts w:ascii="Times New Roman" w:hAnsi="Times New Roman" w:cs="Times New Roman"/>
          <w:b/>
          <w:bCs/>
        </w:rPr>
        <w:lastRenderedPageBreak/>
        <w:t xml:space="preserve">Table </w:t>
      </w:r>
      <w:r>
        <w:rPr>
          <w:rFonts w:ascii="Times New Roman" w:hAnsi="Times New Roman" w:cs="Times New Roman"/>
          <w:b/>
          <w:bCs/>
        </w:rPr>
        <w:t>3</w:t>
      </w:r>
      <w:r w:rsidRPr="00C4141F">
        <w:rPr>
          <w:rFonts w:ascii="Times New Roman" w:hAnsi="Times New Roman" w:cs="Times New Roman"/>
          <w:b/>
          <w:bCs/>
        </w:rPr>
        <w:t>: Tests of Equality of Coefficients of Trial Number on Allocations</w:t>
      </w:r>
    </w:p>
    <w:p w14:paraId="5714C537" w14:textId="72B71E32" w:rsidR="0079279E" w:rsidRPr="00194B2A" w:rsidRDefault="0079279E" w:rsidP="002C708D">
      <w:pPr>
        <w:rPr>
          <w:rFonts w:ascii="Times New Roman" w:hAnsi="Times New Roman" w:cs="Times New Roman"/>
          <w:sz w:val="20"/>
          <w:szCs w:val="20"/>
        </w:rPr>
      </w:pPr>
      <w:r w:rsidRPr="00194B2A">
        <w:rPr>
          <w:rFonts w:ascii="Times New Roman" w:hAnsi="Times New Roman" w:cs="Times New Roman"/>
          <w:sz w:val="20"/>
          <w:szCs w:val="20"/>
        </w:rPr>
        <w:t>Presents tests of the equality of coefficients from regressions of the allocation to Fund A on trial number. The standard errors are included in the column labeled S.E, and they are clustered at the participant level. Panel A presents the tests of equality for coefficients of regressions on data from subjects with the same frequency but different information provision. Panel B presents the tests of equality for coefficients of regressions on data from subjects who had the same level of information provision but a different frequency at which they made allocations. *, **, and *** represent significance at the 10%, 5%, and 1% levels, respectively.</w:t>
      </w:r>
    </w:p>
    <w:p w14:paraId="52DEAAEB" w14:textId="760E5E12" w:rsidR="0079279E" w:rsidRPr="00C4141F" w:rsidRDefault="002C708D" w:rsidP="0079279E">
      <w:pPr>
        <w:jc w:val="both"/>
        <w:rPr>
          <w:rFonts w:ascii="Times New Roman" w:hAnsi="Times New Roman" w:cs="Times New Roman"/>
          <w:b/>
          <w:bCs/>
        </w:rPr>
      </w:pPr>
      <w:r w:rsidRPr="00C4141F">
        <w:rPr>
          <w:rFonts w:ascii="Times New Roman" w:hAnsi="Times New Roman" w:cs="Times New Roman"/>
          <w:b/>
          <w:bCs/>
          <w:noProof/>
        </w:rPr>
        <w:drawing>
          <wp:anchor distT="0" distB="0" distL="0" distR="0" simplePos="0" relativeHeight="251658240" behindDoc="0" locked="0" layoutInCell="1" allowOverlap="0" wp14:anchorId="67ABB8B1" wp14:editId="792DFB0B">
            <wp:simplePos x="0" y="0"/>
            <wp:positionH relativeFrom="margin">
              <wp:posOffset>-549184</wp:posOffset>
            </wp:positionH>
            <wp:positionV relativeFrom="paragraph">
              <wp:posOffset>212725</wp:posOffset>
            </wp:positionV>
            <wp:extent cx="5969635" cy="1704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69635" cy="1704975"/>
                    </a:xfrm>
                    <a:prstGeom prst="rect">
                      <a:avLst/>
                    </a:prstGeom>
                  </pic:spPr>
                </pic:pic>
              </a:graphicData>
            </a:graphic>
            <wp14:sizeRelH relativeFrom="page">
              <wp14:pctWidth>0</wp14:pctWidth>
            </wp14:sizeRelH>
            <wp14:sizeRelV relativeFrom="page">
              <wp14:pctHeight>0</wp14:pctHeight>
            </wp14:sizeRelV>
          </wp:anchor>
        </w:drawing>
      </w:r>
    </w:p>
    <w:p w14:paraId="434FCE57" w14:textId="367CEAB5" w:rsidR="0079279E" w:rsidRPr="00C4141F" w:rsidRDefault="0079279E" w:rsidP="002C708D">
      <w:pPr>
        <w:spacing w:line="480" w:lineRule="auto"/>
        <w:jc w:val="center"/>
        <w:rPr>
          <w:rFonts w:ascii="Times New Roman" w:hAnsi="Times New Roman" w:cs="Times New Roman"/>
          <w:b/>
          <w:bCs/>
        </w:rPr>
      </w:pPr>
    </w:p>
    <w:p w14:paraId="7BE7672D" w14:textId="628C46DB" w:rsidR="0079279E" w:rsidRDefault="0079279E" w:rsidP="00A86DA9">
      <w:pPr>
        <w:jc w:val="both"/>
        <w:rPr>
          <w:rFonts w:ascii="Times New Roman" w:hAnsi="Times New Roman" w:cs="Times New Roman"/>
        </w:rPr>
      </w:pPr>
    </w:p>
    <w:p w14:paraId="421E3D57" w14:textId="7831875B" w:rsidR="004216CA" w:rsidRDefault="004216CA" w:rsidP="00A86DA9">
      <w:pPr>
        <w:jc w:val="both"/>
        <w:rPr>
          <w:rFonts w:ascii="Times New Roman" w:hAnsi="Times New Roman" w:cs="Times New Roman"/>
        </w:rPr>
      </w:pPr>
    </w:p>
    <w:p w14:paraId="092C980A" w14:textId="201D8BC4" w:rsidR="004216CA" w:rsidRDefault="004216CA" w:rsidP="00A86DA9">
      <w:pPr>
        <w:jc w:val="both"/>
        <w:rPr>
          <w:rFonts w:ascii="Times New Roman" w:hAnsi="Times New Roman" w:cs="Times New Roman"/>
        </w:rPr>
      </w:pPr>
    </w:p>
    <w:p w14:paraId="1D03BE7B" w14:textId="72A4BEB5" w:rsidR="0079279E" w:rsidRDefault="0079279E" w:rsidP="00A86DA9">
      <w:pPr>
        <w:jc w:val="both"/>
        <w:rPr>
          <w:rFonts w:ascii="Times New Roman" w:hAnsi="Times New Roman" w:cs="Times New Roman"/>
        </w:rPr>
      </w:pPr>
    </w:p>
    <w:p w14:paraId="65A3D086" w14:textId="58839B24" w:rsidR="0079279E" w:rsidRDefault="0079279E" w:rsidP="00A86DA9">
      <w:pPr>
        <w:jc w:val="both"/>
        <w:rPr>
          <w:rFonts w:ascii="Times New Roman" w:hAnsi="Times New Roman" w:cs="Times New Roman"/>
        </w:rPr>
      </w:pPr>
    </w:p>
    <w:p w14:paraId="4BE39496" w14:textId="74C81688" w:rsidR="0079279E" w:rsidRDefault="0079279E" w:rsidP="00A86DA9">
      <w:pPr>
        <w:jc w:val="both"/>
        <w:rPr>
          <w:rFonts w:ascii="Times New Roman" w:hAnsi="Times New Roman" w:cs="Times New Roman"/>
        </w:rPr>
      </w:pPr>
    </w:p>
    <w:p w14:paraId="3B1549A8" w14:textId="3AB77B63" w:rsidR="0079279E" w:rsidRDefault="0079279E" w:rsidP="00A86DA9">
      <w:pPr>
        <w:jc w:val="both"/>
        <w:rPr>
          <w:rFonts w:ascii="Times New Roman" w:hAnsi="Times New Roman" w:cs="Times New Roman"/>
        </w:rPr>
      </w:pPr>
    </w:p>
    <w:p w14:paraId="2C055823" w14:textId="64130204" w:rsidR="0079279E" w:rsidRDefault="0079279E" w:rsidP="00A86DA9">
      <w:pPr>
        <w:jc w:val="both"/>
        <w:rPr>
          <w:rFonts w:ascii="Times New Roman" w:hAnsi="Times New Roman" w:cs="Times New Roman"/>
        </w:rPr>
      </w:pPr>
    </w:p>
    <w:p w14:paraId="48414259" w14:textId="0A9B2395" w:rsidR="0079279E" w:rsidRDefault="0079279E" w:rsidP="00A86DA9">
      <w:pPr>
        <w:jc w:val="both"/>
        <w:rPr>
          <w:rFonts w:ascii="Times New Roman" w:hAnsi="Times New Roman" w:cs="Times New Roman"/>
        </w:rPr>
      </w:pPr>
    </w:p>
    <w:p w14:paraId="7CB0B709" w14:textId="226ABF0B" w:rsidR="0079279E" w:rsidRDefault="0079279E" w:rsidP="00A86DA9">
      <w:pPr>
        <w:jc w:val="both"/>
        <w:rPr>
          <w:rFonts w:ascii="Times New Roman" w:hAnsi="Times New Roman" w:cs="Times New Roman"/>
        </w:rPr>
      </w:pPr>
    </w:p>
    <w:p w14:paraId="742FDCB0" w14:textId="6B324804" w:rsidR="0079279E" w:rsidRDefault="0079279E" w:rsidP="00A86DA9">
      <w:pPr>
        <w:jc w:val="both"/>
        <w:rPr>
          <w:rFonts w:ascii="Times New Roman" w:hAnsi="Times New Roman" w:cs="Times New Roman"/>
        </w:rPr>
      </w:pPr>
    </w:p>
    <w:p w14:paraId="0301B9DE" w14:textId="7444293A" w:rsidR="0079279E" w:rsidRDefault="0079279E" w:rsidP="00A86DA9">
      <w:pPr>
        <w:jc w:val="both"/>
        <w:rPr>
          <w:rFonts w:ascii="Times New Roman" w:hAnsi="Times New Roman" w:cs="Times New Roman"/>
        </w:rPr>
      </w:pPr>
    </w:p>
    <w:p w14:paraId="75EE7D05" w14:textId="593F2FC3" w:rsidR="0079279E" w:rsidRDefault="0079279E" w:rsidP="00A86DA9">
      <w:pPr>
        <w:jc w:val="both"/>
        <w:rPr>
          <w:rFonts w:ascii="Times New Roman" w:hAnsi="Times New Roman" w:cs="Times New Roman"/>
        </w:rPr>
      </w:pPr>
    </w:p>
    <w:p w14:paraId="68182AEC" w14:textId="02338CD6" w:rsidR="0079279E" w:rsidRDefault="0079279E" w:rsidP="00A86DA9">
      <w:pPr>
        <w:jc w:val="both"/>
        <w:rPr>
          <w:rFonts w:ascii="Times New Roman" w:hAnsi="Times New Roman" w:cs="Times New Roman"/>
        </w:rPr>
      </w:pPr>
    </w:p>
    <w:p w14:paraId="0EAE8CD7" w14:textId="595DD631" w:rsidR="0079279E" w:rsidRDefault="0079279E" w:rsidP="00A86DA9">
      <w:pPr>
        <w:jc w:val="both"/>
        <w:rPr>
          <w:rFonts w:ascii="Times New Roman" w:hAnsi="Times New Roman" w:cs="Times New Roman"/>
        </w:rPr>
      </w:pPr>
    </w:p>
    <w:p w14:paraId="7FEF0E95" w14:textId="110F62D7" w:rsidR="0079279E" w:rsidRDefault="0079279E" w:rsidP="00A86DA9">
      <w:pPr>
        <w:jc w:val="both"/>
        <w:rPr>
          <w:rFonts w:ascii="Times New Roman" w:hAnsi="Times New Roman" w:cs="Times New Roman"/>
        </w:rPr>
      </w:pPr>
    </w:p>
    <w:p w14:paraId="164F9D90" w14:textId="075C4D6C" w:rsidR="0079279E" w:rsidRDefault="0079279E" w:rsidP="00A86DA9">
      <w:pPr>
        <w:jc w:val="both"/>
        <w:rPr>
          <w:rFonts w:ascii="Times New Roman" w:hAnsi="Times New Roman" w:cs="Times New Roman"/>
        </w:rPr>
      </w:pPr>
    </w:p>
    <w:p w14:paraId="7B12CCDF" w14:textId="1B4A8066" w:rsidR="0079279E" w:rsidRDefault="0079279E" w:rsidP="00A86DA9">
      <w:pPr>
        <w:jc w:val="both"/>
        <w:rPr>
          <w:rFonts w:ascii="Times New Roman" w:hAnsi="Times New Roman" w:cs="Times New Roman"/>
        </w:rPr>
      </w:pPr>
    </w:p>
    <w:p w14:paraId="3FA13690" w14:textId="77777777" w:rsidR="00934F39" w:rsidRDefault="00934F39" w:rsidP="002C708D">
      <w:pPr>
        <w:rPr>
          <w:rFonts w:ascii="Times New Roman" w:hAnsi="Times New Roman" w:cs="Times New Roman"/>
        </w:rPr>
      </w:pPr>
    </w:p>
    <w:p w14:paraId="667B41B3" w14:textId="77777777" w:rsidR="002C708D" w:rsidRDefault="002C708D" w:rsidP="002C708D">
      <w:pPr>
        <w:rPr>
          <w:rFonts w:ascii="Times New Roman" w:hAnsi="Times New Roman" w:cs="Times New Roman"/>
        </w:rPr>
      </w:pPr>
    </w:p>
    <w:p w14:paraId="5682BA87" w14:textId="77777777" w:rsidR="002C708D" w:rsidRDefault="002C708D" w:rsidP="002C708D">
      <w:pPr>
        <w:rPr>
          <w:rFonts w:ascii="Times New Roman" w:hAnsi="Times New Roman" w:cs="Times New Roman"/>
        </w:rPr>
      </w:pPr>
    </w:p>
    <w:p w14:paraId="6F57F78D" w14:textId="47F29093" w:rsidR="00435ADC" w:rsidRPr="00C4141F" w:rsidRDefault="00435ADC" w:rsidP="00435ADC">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Pr>
          <w:rFonts w:ascii="Times New Roman" w:hAnsi="Times New Roman" w:cs="Times New Roman"/>
          <w:b/>
          <w:bCs/>
        </w:rPr>
        <w:t>4</w:t>
      </w:r>
      <w:r w:rsidRPr="00C4141F">
        <w:rPr>
          <w:rFonts w:ascii="Times New Roman" w:hAnsi="Times New Roman" w:cs="Times New Roman"/>
          <w:b/>
          <w:bCs/>
        </w:rPr>
        <w:t>: Initial and Final Allocations to Fund A</w:t>
      </w:r>
    </w:p>
    <w:p w14:paraId="1CC0D05D" w14:textId="35D185BA" w:rsidR="00435ADC" w:rsidRPr="00F14E7E" w:rsidRDefault="00D24B3B" w:rsidP="00435ADC">
      <w:pPr>
        <w:jc w:val="both"/>
        <w:rPr>
          <w:rFonts w:ascii="Times New Roman" w:hAnsi="Times New Roman" w:cs="Times New Roman"/>
          <w:sz w:val="20"/>
          <w:szCs w:val="20"/>
        </w:rPr>
      </w:pPr>
      <w:r>
        <w:rPr>
          <w:rFonts w:ascii="Times New Roman" w:hAnsi="Times New Roman" w:cs="Times New Roman"/>
          <w:sz w:val="20"/>
          <w:szCs w:val="20"/>
        </w:rPr>
        <w:t>This table</w:t>
      </w:r>
      <w:r w:rsidR="00435ADC" w:rsidRPr="00F14E7E">
        <w:rPr>
          <w:rFonts w:ascii="Times New Roman" w:hAnsi="Times New Roman" w:cs="Times New Roman"/>
          <w:sz w:val="20"/>
          <w:szCs w:val="20"/>
        </w:rPr>
        <w:t xml:space="preserve"> presents the initial and final allocations to Fund A. Panel A shows the average allocations to Fund A in the first decision that subjects in each of the treatments made. Panel B shows the average allocations to Fund A in the final decision that subjects in each of the treatments made. Sample size is reported in the last column of both panels. </w:t>
      </w:r>
    </w:p>
    <w:p w14:paraId="2C06483E" w14:textId="77777777" w:rsidR="00435ADC" w:rsidRPr="00C4141F" w:rsidRDefault="00435ADC" w:rsidP="00435ADC">
      <w:pPr>
        <w:jc w:val="both"/>
        <w:rPr>
          <w:rFonts w:ascii="Times New Roman" w:hAnsi="Times New Roman" w:cs="Times New Roman"/>
        </w:rPr>
      </w:pPr>
      <w:r w:rsidRPr="00C4141F">
        <w:rPr>
          <w:rFonts w:ascii="Times New Roman" w:hAnsi="Times New Roman" w:cs="Times New Roman"/>
          <w:noProof/>
        </w:rPr>
        <w:drawing>
          <wp:inline distT="0" distB="0" distL="0" distR="0" wp14:anchorId="2F000927" wp14:editId="2F6BE1BB">
            <wp:extent cx="49530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3543300"/>
                    </a:xfrm>
                    <a:prstGeom prst="rect">
                      <a:avLst/>
                    </a:prstGeom>
                  </pic:spPr>
                </pic:pic>
              </a:graphicData>
            </a:graphic>
          </wp:inline>
        </w:drawing>
      </w:r>
    </w:p>
    <w:p w14:paraId="080E3ECE" w14:textId="77777777" w:rsidR="00435ADC" w:rsidRPr="00C4141F" w:rsidRDefault="00435ADC" w:rsidP="00435ADC">
      <w:pPr>
        <w:jc w:val="both"/>
        <w:rPr>
          <w:rFonts w:ascii="Times New Roman" w:hAnsi="Times New Roman" w:cs="Times New Roman"/>
        </w:rPr>
      </w:pPr>
    </w:p>
    <w:p w14:paraId="258C14DE" w14:textId="77777777" w:rsidR="00435ADC" w:rsidRDefault="00435ADC" w:rsidP="00435ADC">
      <w:pPr>
        <w:jc w:val="both"/>
        <w:rPr>
          <w:rFonts w:ascii="Times New Roman" w:hAnsi="Times New Roman" w:cs="Times New Roman"/>
        </w:rPr>
      </w:pPr>
    </w:p>
    <w:p w14:paraId="0A094CB0" w14:textId="77777777" w:rsidR="00435ADC" w:rsidRDefault="00435ADC" w:rsidP="00435ADC">
      <w:pPr>
        <w:jc w:val="both"/>
        <w:rPr>
          <w:rFonts w:ascii="Times New Roman" w:hAnsi="Times New Roman" w:cs="Times New Roman"/>
        </w:rPr>
      </w:pPr>
    </w:p>
    <w:p w14:paraId="21CFACB8" w14:textId="77777777" w:rsidR="00435ADC" w:rsidRDefault="00435ADC" w:rsidP="00435ADC">
      <w:pPr>
        <w:jc w:val="both"/>
        <w:rPr>
          <w:rFonts w:ascii="Times New Roman" w:hAnsi="Times New Roman" w:cs="Times New Roman"/>
        </w:rPr>
      </w:pPr>
    </w:p>
    <w:p w14:paraId="3721CBD6" w14:textId="77777777" w:rsidR="00435ADC" w:rsidRDefault="00435ADC" w:rsidP="00435ADC">
      <w:pPr>
        <w:jc w:val="both"/>
        <w:rPr>
          <w:rFonts w:ascii="Times New Roman" w:hAnsi="Times New Roman" w:cs="Times New Roman"/>
        </w:rPr>
      </w:pPr>
    </w:p>
    <w:p w14:paraId="2695A50A" w14:textId="77777777" w:rsidR="00435ADC" w:rsidRDefault="00435ADC" w:rsidP="00435ADC">
      <w:pPr>
        <w:jc w:val="both"/>
        <w:rPr>
          <w:rFonts w:ascii="Times New Roman" w:hAnsi="Times New Roman" w:cs="Times New Roman"/>
        </w:rPr>
      </w:pPr>
    </w:p>
    <w:p w14:paraId="55E9315F" w14:textId="77777777" w:rsidR="00435ADC" w:rsidRDefault="00435ADC" w:rsidP="00435ADC">
      <w:pPr>
        <w:jc w:val="both"/>
        <w:rPr>
          <w:rFonts w:ascii="Times New Roman" w:hAnsi="Times New Roman" w:cs="Times New Roman"/>
        </w:rPr>
      </w:pPr>
    </w:p>
    <w:p w14:paraId="6E17E0F3" w14:textId="77777777" w:rsidR="00435ADC" w:rsidRDefault="00435ADC" w:rsidP="00435ADC">
      <w:pPr>
        <w:jc w:val="both"/>
        <w:rPr>
          <w:rFonts w:ascii="Times New Roman" w:hAnsi="Times New Roman" w:cs="Times New Roman"/>
        </w:rPr>
      </w:pPr>
    </w:p>
    <w:p w14:paraId="251DC982" w14:textId="77777777" w:rsidR="00435ADC" w:rsidRDefault="00435ADC" w:rsidP="00435ADC">
      <w:pPr>
        <w:jc w:val="both"/>
        <w:rPr>
          <w:rFonts w:ascii="Times New Roman" w:hAnsi="Times New Roman" w:cs="Times New Roman"/>
        </w:rPr>
      </w:pPr>
    </w:p>
    <w:p w14:paraId="02C84431" w14:textId="77777777" w:rsidR="00435ADC" w:rsidRDefault="00435ADC" w:rsidP="00435ADC">
      <w:pPr>
        <w:jc w:val="both"/>
        <w:rPr>
          <w:rFonts w:ascii="Times New Roman" w:hAnsi="Times New Roman" w:cs="Times New Roman"/>
        </w:rPr>
      </w:pPr>
    </w:p>
    <w:p w14:paraId="57ECB59C" w14:textId="77777777" w:rsidR="00435ADC" w:rsidRDefault="00435ADC" w:rsidP="00435ADC">
      <w:pPr>
        <w:jc w:val="both"/>
        <w:rPr>
          <w:rFonts w:ascii="Times New Roman" w:hAnsi="Times New Roman" w:cs="Times New Roman"/>
        </w:rPr>
      </w:pPr>
    </w:p>
    <w:p w14:paraId="70E4006D" w14:textId="75F1568C" w:rsidR="004216CA" w:rsidRDefault="004216CA" w:rsidP="00A86DA9">
      <w:pPr>
        <w:jc w:val="both"/>
        <w:rPr>
          <w:rFonts w:ascii="Times New Roman" w:hAnsi="Times New Roman" w:cs="Times New Roman"/>
        </w:rPr>
      </w:pPr>
    </w:p>
    <w:p w14:paraId="469229ED" w14:textId="705F46AE" w:rsidR="004216CA" w:rsidRDefault="004216CA" w:rsidP="00A86DA9">
      <w:pPr>
        <w:jc w:val="both"/>
        <w:rPr>
          <w:rFonts w:ascii="Times New Roman" w:hAnsi="Times New Roman" w:cs="Times New Roman"/>
        </w:rPr>
      </w:pPr>
    </w:p>
    <w:p w14:paraId="12277C65" w14:textId="2194C38A" w:rsidR="004216CA" w:rsidRDefault="004216CA" w:rsidP="00A86DA9">
      <w:pPr>
        <w:jc w:val="both"/>
        <w:rPr>
          <w:rFonts w:ascii="Times New Roman" w:hAnsi="Times New Roman" w:cs="Times New Roman"/>
        </w:rPr>
      </w:pPr>
    </w:p>
    <w:p w14:paraId="631E45A5" w14:textId="1B62B3D8" w:rsidR="00435ADC" w:rsidRDefault="00435ADC" w:rsidP="00A86DA9">
      <w:pPr>
        <w:jc w:val="both"/>
        <w:rPr>
          <w:rFonts w:ascii="Times New Roman" w:hAnsi="Times New Roman" w:cs="Times New Roman"/>
        </w:rPr>
      </w:pPr>
    </w:p>
    <w:p w14:paraId="349A2456" w14:textId="1870B9EE" w:rsidR="00435ADC" w:rsidRDefault="00435ADC" w:rsidP="00A86DA9">
      <w:pPr>
        <w:jc w:val="both"/>
        <w:rPr>
          <w:rFonts w:ascii="Times New Roman" w:hAnsi="Times New Roman" w:cs="Times New Roman"/>
        </w:rPr>
      </w:pPr>
    </w:p>
    <w:p w14:paraId="3799AC43" w14:textId="1D726726" w:rsidR="00435ADC" w:rsidRDefault="00435ADC" w:rsidP="00A86DA9">
      <w:pPr>
        <w:jc w:val="both"/>
        <w:rPr>
          <w:rFonts w:ascii="Times New Roman" w:hAnsi="Times New Roman" w:cs="Times New Roman"/>
        </w:rPr>
      </w:pPr>
    </w:p>
    <w:p w14:paraId="41B5D707" w14:textId="77777777" w:rsidR="00435ADC" w:rsidRPr="00C4141F" w:rsidRDefault="00435ADC" w:rsidP="00435ADC">
      <w:pPr>
        <w:jc w:val="both"/>
        <w:rPr>
          <w:rFonts w:ascii="Times New Roman" w:hAnsi="Times New Roman" w:cs="Times New Roman"/>
          <w:b/>
          <w:bCs/>
        </w:rPr>
      </w:pPr>
    </w:p>
    <w:p w14:paraId="7806F10C" w14:textId="19AACBA4" w:rsidR="00435ADC" w:rsidRPr="00C4141F" w:rsidRDefault="00435ADC" w:rsidP="00435ADC">
      <w:pPr>
        <w:jc w:val="center"/>
        <w:rPr>
          <w:rFonts w:ascii="Times New Roman" w:hAnsi="Times New Roman" w:cs="Times New Roman"/>
          <w:b/>
          <w:bCs/>
        </w:rPr>
      </w:pPr>
      <w:r w:rsidRPr="00C4141F">
        <w:rPr>
          <w:rFonts w:ascii="Times New Roman" w:hAnsi="Times New Roman" w:cs="Times New Roman"/>
          <w:b/>
          <w:bCs/>
        </w:rPr>
        <w:t xml:space="preserve">Table </w:t>
      </w:r>
      <w:r>
        <w:rPr>
          <w:rFonts w:ascii="Times New Roman" w:hAnsi="Times New Roman" w:cs="Times New Roman"/>
          <w:b/>
          <w:bCs/>
        </w:rPr>
        <w:t>5</w:t>
      </w:r>
      <w:r w:rsidRPr="00C4141F">
        <w:rPr>
          <w:rFonts w:ascii="Times New Roman" w:hAnsi="Times New Roman" w:cs="Times New Roman"/>
          <w:b/>
          <w:bCs/>
        </w:rPr>
        <w:t>: Estimating the effect of Trial Number on Allocation to Fund A with Dummy Variables</w:t>
      </w:r>
    </w:p>
    <w:p w14:paraId="3D5A45EE" w14:textId="2DB6B446" w:rsidR="00435ADC" w:rsidRPr="00F14E7E" w:rsidRDefault="00435ADC" w:rsidP="00435ADC">
      <w:pPr>
        <w:jc w:val="both"/>
        <w:rPr>
          <w:rFonts w:ascii="Times New Roman" w:hAnsi="Times New Roman" w:cs="Times New Roman"/>
          <w:sz w:val="20"/>
          <w:szCs w:val="20"/>
        </w:rPr>
      </w:pPr>
      <w:r w:rsidRPr="00F14E7E">
        <w:rPr>
          <w:rFonts w:ascii="Times New Roman" w:hAnsi="Times New Roman" w:cs="Times New Roman"/>
          <w:sz w:val="20"/>
          <w:szCs w:val="20"/>
        </w:rPr>
        <w:t xml:space="preserve">A report of the results of a regression run using </w:t>
      </w:r>
      <w:r w:rsidR="00A04A1F">
        <w:rPr>
          <w:rFonts w:ascii="Times New Roman" w:hAnsi="Times New Roman" w:cs="Times New Roman"/>
          <w:sz w:val="20"/>
          <w:szCs w:val="20"/>
        </w:rPr>
        <w:t xml:space="preserve">equation </w:t>
      </w:r>
      <w:r w:rsidRPr="00F14E7E">
        <w:rPr>
          <w:rFonts w:ascii="Times New Roman" w:hAnsi="Times New Roman" w:cs="Times New Roman"/>
          <w:sz w:val="20"/>
          <w:szCs w:val="20"/>
        </w:rPr>
        <w:t>(2), the alternate specification, as described in the text. The dependent variable in this case is the allocation to Fund A for the specified period. The number of observations for each regression are reported in parentheses next to the condition from which the data was collected. Columns (2) through Column (5) report the coefficients on dummy variables, coded 0 or 1. Standard errors are shown in parentheses. *, **, and *** represent significance at the 10%, 5%, and 1% levels, respectively.</w:t>
      </w:r>
    </w:p>
    <w:p w14:paraId="4B399CF1" w14:textId="77777777" w:rsidR="00435ADC" w:rsidRPr="00C4141F" w:rsidRDefault="00435ADC" w:rsidP="00435ADC">
      <w:pPr>
        <w:jc w:val="both"/>
        <w:rPr>
          <w:rFonts w:ascii="Times New Roman" w:hAnsi="Times New Roman" w:cs="Times New Roman"/>
        </w:rPr>
      </w:pPr>
    </w:p>
    <w:p w14:paraId="7C46AF73" w14:textId="77777777" w:rsidR="00435ADC" w:rsidRPr="00C4141F" w:rsidRDefault="00435ADC" w:rsidP="00A04A1F">
      <w:pPr>
        <w:jc w:val="center"/>
        <w:rPr>
          <w:rFonts w:ascii="Times New Roman" w:hAnsi="Times New Roman" w:cs="Times New Roman"/>
        </w:rPr>
      </w:pPr>
      <w:r w:rsidRPr="00C4141F">
        <w:rPr>
          <w:rFonts w:ascii="Times New Roman" w:hAnsi="Times New Roman" w:cs="Times New Roman"/>
          <w:noProof/>
        </w:rPr>
        <w:drawing>
          <wp:inline distT="0" distB="0" distL="0" distR="0" wp14:anchorId="3EC5D02E" wp14:editId="45D042DC">
            <wp:extent cx="5404251" cy="1651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2176" cy="1653720"/>
                    </a:xfrm>
                    <a:prstGeom prst="rect">
                      <a:avLst/>
                    </a:prstGeom>
                  </pic:spPr>
                </pic:pic>
              </a:graphicData>
            </a:graphic>
          </wp:inline>
        </w:drawing>
      </w:r>
    </w:p>
    <w:p w14:paraId="48EBEA5B" w14:textId="1D8A7ED3" w:rsidR="00435ADC" w:rsidRDefault="00435ADC" w:rsidP="00A86DA9">
      <w:pPr>
        <w:jc w:val="both"/>
        <w:rPr>
          <w:rFonts w:ascii="Times New Roman" w:hAnsi="Times New Roman" w:cs="Times New Roman"/>
        </w:rPr>
      </w:pPr>
    </w:p>
    <w:p w14:paraId="65302F5B" w14:textId="04959393" w:rsidR="00435ADC" w:rsidRDefault="00435ADC" w:rsidP="00A86DA9">
      <w:pPr>
        <w:jc w:val="both"/>
        <w:rPr>
          <w:rFonts w:ascii="Times New Roman" w:hAnsi="Times New Roman" w:cs="Times New Roman"/>
        </w:rPr>
      </w:pPr>
    </w:p>
    <w:p w14:paraId="794B15E3" w14:textId="50939B1A" w:rsidR="00435ADC" w:rsidRDefault="00435ADC" w:rsidP="00A86DA9">
      <w:pPr>
        <w:jc w:val="both"/>
        <w:rPr>
          <w:rFonts w:ascii="Times New Roman" w:hAnsi="Times New Roman" w:cs="Times New Roman"/>
        </w:rPr>
      </w:pPr>
    </w:p>
    <w:p w14:paraId="49B2152D" w14:textId="4FE34C4B" w:rsidR="00435ADC" w:rsidRDefault="00435ADC" w:rsidP="00A86DA9">
      <w:pPr>
        <w:jc w:val="both"/>
        <w:rPr>
          <w:rFonts w:ascii="Times New Roman" w:hAnsi="Times New Roman" w:cs="Times New Roman"/>
        </w:rPr>
      </w:pPr>
    </w:p>
    <w:p w14:paraId="5DF2B721" w14:textId="43685DAE" w:rsidR="00435ADC" w:rsidRDefault="00435ADC" w:rsidP="00A86DA9">
      <w:pPr>
        <w:jc w:val="both"/>
        <w:rPr>
          <w:rFonts w:ascii="Times New Roman" w:hAnsi="Times New Roman" w:cs="Times New Roman"/>
        </w:rPr>
      </w:pPr>
    </w:p>
    <w:p w14:paraId="15DEBD3F" w14:textId="1D0ED5FB" w:rsidR="00435ADC" w:rsidRDefault="00435ADC" w:rsidP="00A86DA9">
      <w:pPr>
        <w:jc w:val="both"/>
        <w:rPr>
          <w:rFonts w:ascii="Times New Roman" w:hAnsi="Times New Roman" w:cs="Times New Roman"/>
        </w:rPr>
      </w:pPr>
    </w:p>
    <w:p w14:paraId="5D33CB95" w14:textId="27160552" w:rsidR="00435ADC" w:rsidRDefault="00435ADC" w:rsidP="00A86DA9">
      <w:pPr>
        <w:jc w:val="both"/>
        <w:rPr>
          <w:rFonts w:ascii="Times New Roman" w:hAnsi="Times New Roman" w:cs="Times New Roman"/>
        </w:rPr>
      </w:pPr>
    </w:p>
    <w:p w14:paraId="12D6EDBD" w14:textId="5A6B220F" w:rsidR="00435ADC" w:rsidRDefault="00435ADC" w:rsidP="00A86DA9">
      <w:pPr>
        <w:jc w:val="both"/>
        <w:rPr>
          <w:rFonts w:ascii="Times New Roman" w:hAnsi="Times New Roman" w:cs="Times New Roman"/>
        </w:rPr>
      </w:pPr>
    </w:p>
    <w:p w14:paraId="5B066E57" w14:textId="20C3F818" w:rsidR="00435ADC" w:rsidRDefault="00435ADC" w:rsidP="00A86DA9">
      <w:pPr>
        <w:jc w:val="both"/>
        <w:rPr>
          <w:rFonts w:ascii="Times New Roman" w:hAnsi="Times New Roman" w:cs="Times New Roman"/>
        </w:rPr>
      </w:pPr>
    </w:p>
    <w:p w14:paraId="19116732" w14:textId="4BB09EAA" w:rsidR="00435ADC" w:rsidRDefault="00435ADC" w:rsidP="00A86DA9">
      <w:pPr>
        <w:jc w:val="both"/>
        <w:rPr>
          <w:rFonts w:ascii="Times New Roman" w:hAnsi="Times New Roman" w:cs="Times New Roman"/>
        </w:rPr>
      </w:pPr>
    </w:p>
    <w:p w14:paraId="51C3ADC2" w14:textId="5AEDC8B0" w:rsidR="00435ADC" w:rsidRDefault="00435ADC" w:rsidP="00A86DA9">
      <w:pPr>
        <w:jc w:val="both"/>
        <w:rPr>
          <w:rFonts w:ascii="Times New Roman" w:hAnsi="Times New Roman" w:cs="Times New Roman"/>
        </w:rPr>
      </w:pPr>
    </w:p>
    <w:p w14:paraId="6F38E047" w14:textId="7400E38C" w:rsidR="00435ADC" w:rsidRDefault="00435ADC" w:rsidP="00A86DA9">
      <w:pPr>
        <w:jc w:val="both"/>
        <w:rPr>
          <w:rFonts w:ascii="Times New Roman" w:hAnsi="Times New Roman" w:cs="Times New Roman"/>
        </w:rPr>
      </w:pPr>
    </w:p>
    <w:p w14:paraId="61267774" w14:textId="1BC19840" w:rsidR="00435ADC" w:rsidRDefault="00435ADC" w:rsidP="00A86DA9">
      <w:pPr>
        <w:jc w:val="both"/>
        <w:rPr>
          <w:rFonts w:ascii="Times New Roman" w:hAnsi="Times New Roman" w:cs="Times New Roman"/>
        </w:rPr>
      </w:pPr>
    </w:p>
    <w:p w14:paraId="6CFA936F" w14:textId="63F6EE67" w:rsidR="00435ADC" w:rsidRDefault="00435ADC" w:rsidP="00A86DA9">
      <w:pPr>
        <w:jc w:val="both"/>
        <w:rPr>
          <w:rFonts w:ascii="Times New Roman" w:hAnsi="Times New Roman" w:cs="Times New Roman"/>
        </w:rPr>
      </w:pPr>
    </w:p>
    <w:p w14:paraId="1324C09C" w14:textId="03FDD653" w:rsidR="00435ADC" w:rsidRDefault="00435ADC" w:rsidP="00A86DA9">
      <w:pPr>
        <w:jc w:val="both"/>
        <w:rPr>
          <w:rFonts w:ascii="Times New Roman" w:hAnsi="Times New Roman" w:cs="Times New Roman"/>
        </w:rPr>
      </w:pPr>
    </w:p>
    <w:p w14:paraId="2698D192" w14:textId="48530CB9" w:rsidR="00435ADC" w:rsidRDefault="00435ADC" w:rsidP="00A86DA9">
      <w:pPr>
        <w:jc w:val="both"/>
        <w:rPr>
          <w:rFonts w:ascii="Times New Roman" w:hAnsi="Times New Roman" w:cs="Times New Roman"/>
        </w:rPr>
      </w:pPr>
    </w:p>
    <w:p w14:paraId="351BED40" w14:textId="77777777" w:rsidR="00435ADC" w:rsidRDefault="00435ADC" w:rsidP="00A86DA9">
      <w:pPr>
        <w:jc w:val="both"/>
        <w:rPr>
          <w:rFonts w:ascii="Times New Roman" w:hAnsi="Times New Roman" w:cs="Times New Roman"/>
        </w:rPr>
      </w:pPr>
    </w:p>
    <w:p w14:paraId="289DEEDE" w14:textId="4DE182F4" w:rsidR="00435ADC" w:rsidRDefault="00435ADC" w:rsidP="00A86DA9">
      <w:pPr>
        <w:jc w:val="both"/>
        <w:rPr>
          <w:rFonts w:ascii="Times New Roman" w:hAnsi="Times New Roman" w:cs="Times New Roman"/>
        </w:rPr>
      </w:pPr>
    </w:p>
    <w:p w14:paraId="5F69AF58" w14:textId="7478A19A" w:rsidR="00435ADC" w:rsidRDefault="00435ADC" w:rsidP="00A86DA9">
      <w:pPr>
        <w:jc w:val="both"/>
        <w:rPr>
          <w:rFonts w:ascii="Times New Roman" w:hAnsi="Times New Roman" w:cs="Times New Roman"/>
        </w:rPr>
      </w:pPr>
    </w:p>
    <w:p w14:paraId="52DC7A98" w14:textId="77777777" w:rsidR="00435ADC" w:rsidRDefault="00435ADC" w:rsidP="00A86DA9">
      <w:pPr>
        <w:jc w:val="both"/>
        <w:rPr>
          <w:rFonts w:ascii="Times New Roman" w:hAnsi="Times New Roman" w:cs="Times New Roman"/>
        </w:rPr>
      </w:pPr>
    </w:p>
    <w:p w14:paraId="050CB46E" w14:textId="53729516" w:rsidR="004216CA" w:rsidRDefault="004216CA" w:rsidP="00A86DA9">
      <w:pPr>
        <w:jc w:val="both"/>
        <w:rPr>
          <w:rFonts w:ascii="Times New Roman" w:hAnsi="Times New Roman" w:cs="Times New Roman"/>
        </w:rPr>
      </w:pPr>
    </w:p>
    <w:p w14:paraId="0FE4DD87" w14:textId="5A1341C8" w:rsidR="004216CA" w:rsidRDefault="004216CA" w:rsidP="00A86DA9">
      <w:pPr>
        <w:jc w:val="both"/>
        <w:rPr>
          <w:rFonts w:ascii="Times New Roman" w:hAnsi="Times New Roman" w:cs="Times New Roman"/>
        </w:rPr>
      </w:pPr>
    </w:p>
    <w:p w14:paraId="47D20052" w14:textId="67992BEB" w:rsidR="004216CA" w:rsidRPr="00C4141F" w:rsidRDefault="004216CA" w:rsidP="004216CA">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sidR="00435ADC">
        <w:rPr>
          <w:rFonts w:ascii="Times New Roman" w:hAnsi="Times New Roman" w:cs="Times New Roman"/>
          <w:b/>
          <w:bCs/>
        </w:rPr>
        <w:t>6</w:t>
      </w:r>
      <w:r w:rsidRPr="00C4141F">
        <w:rPr>
          <w:rFonts w:ascii="Times New Roman" w:hAnsi="Times New Roman" w:cs="Times New Roman"/>
          <w:b/>
          <w:bCs/>
        </w:rPr>
        <w:t>: Reports of Two Sample T-Tests for Average Initial and Final Allocations</w:t>
      </w:r>
    </w:p>
    <w:p w14:paraId="5E6324FA" w14:textId="77777777" w:rsidR="004216CA" w:rsidRPr="00F14E7E" w:rsidRDefault="004216CA" w:rsidP="004216CA">
      <w:pPr>
        <w:jc w:val="both"/>
        <w:rPr>
          <w:rFonts w:ascii="Times New Roman" w:hAnsi="Times New Roman" w:cs="Times New Roman"/>
          <w:sz w:val="20"/>
          <w:szCs w:val="20"/>
        </w:rPr>
      </w:pPr>
      <w:r w:rsidRPr="00F14E7E">
        <w:rPr>
          <w:rFonts w:ascii="Times New Roman" w:hAnsi="Times New Roman" w:cs="Times New Roman"/>
          <w:sz w:val="20"/>
          <w:szCs w:val="20"/>
        </w:rPr>
        <w:t>Reports tests of equality of the means for initial and final allocations. Panel A presents the t-tests for initial allocations between subjects with the same frequency but different information provision. Panel B presents the t-tests for initial allocations between subjects who had the same level of information provision but a different frequency at which they made allocations. Panels C and D present versions of Panels A and B, respectively, for final allocations. *, **, and *** represent significance at the 10%, 5%, and 1% levels, respectively.</w:t>
      </w:r>
    </w:p>
    <w:p w14:paraId="1C8E66D6" w14:textId="77777777" w:rsidR="004216CA" w:rsidRPr="00C4141F" w:rsidRDefault="004216CA" w:rsidP="004216CA">
      <w:pPr>
        <w:jc w:val="both"/>
        <w:rPr>
          <w:rFonts w:ascii="Times New Roman" w:hAnsi="Times New Roman" w:cs="Times New Roman"/>
        </w:rPr>
      </w:pPr>
    </w:p>
    <w:p w14:paraId="1E0BD551" w14:textId="77777777" w:rsidR="004216CA" w:rsidRPr="00C4141F" w:rsidRDefault="004216CA" w:rsidP="00B11CC6">
      <w:pPr>
        <w:jc w:val="center"/>
        <w:rPr>
          <w:rFonts w:ascii="Times New Roman" w:hAnsi="Times New Roman" w:cs="Times New Roman"/>
        </w:rPr>
      </w:pPr>
      <w:r w:rsidRPr="00C4141F">
        <w:rPr>
          <w:rFonts w:ascii="Times New Roman" w:hAnsi="Times New Roman" w:cs="Times New Roman"/>
          <w:noProof/>
        </w:rPr>
        <w:drawing>
          <wp:inline distT="0" distB="0" distL="0" distR="0" wp14:anchorId="08F52D0B" wp14:editId="40CDB2D9">
            <wp:extent cx="4744951" cy="1852863"/>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454" cy="1864384"/>
                    </a:xfrm>
                    <a:prstGeom prst="rect">
                      <a:avLst/>
                    </a:prstGeom>
                  </pic:spPr>
                </pic:pic>
              </a:graphicData>
            </a:graphic>
          </wp:inline>
        </w:drawing>
      </w:r>
    </w:p>
    <w:p w14:paraId="47035965" w14:textId="77777777" w:rsidR="004216CA" w:rsidRPr="00C4141F" w:rsidRDefault="004216CA" w:rsidP="004216CA">
      <w:pPr>
        <w:jc w:val="both"/>
        <w:rPr>
          <w:rFonts w:ascii="Times New Roman" w:hAnsi="Times New Roman" w:cs="Times New Roman"/>
        </w:rPr>
      </w:pPr>
    </w:p>
    <w:p w14:paraId="668950C7" w14:textId="77777777" w:rsidR="004216CA" w:rsidRDefault="004216CA" w:rsidP="00B11CC6">
      <w:pPr>
        <w:jc w:val="center"/>
        <w:rPr>
          <w:rFonts w:ascii="Times New Roman" w:hAnsi="Times New Roman" w:cs="Times New Roman"/>
        </w:rPr>
      </w:pPr>
      <w:r w:rsidRPr="00C4141F">
        <w:rPr>
          <w:rFonts w:ascii="Times New Roman" w:hAnsi="Times New Roman" w:cs="Times New Roman"/>
          <w:noProof/>
        </w:rPr>
        <w:drawing>
          <wp:inline distT="0" distB="0" distL="0" distR="0" wp14:anchorId="2E52FCFC" wp14:editId="40C01455">
            <wp:extent cx="4744720" cy="174023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4079" cy="1751006"/>
                    </a:xfrm>
                    <a:prstGeom prst="rect">
                      <a:avLst/>
                    </a:prstGeom>
                  </pic:spPr>
                </pic:pic>
              </a:graphicData>
            </a:graphic>
          </wp:inline>
        </w:drawing>
      </w:r>
    </w:p>
    <w:p w14:paraId="3CECE15F" w14:textId="77777777" w:rsidR="004216CA" w:rsidRDefault="004216CA" w:rsidP="004216CA">
      <w:pPr>
        <w:jc w:val="both"/>
        <w:rPr>
          <w:rFonts w:ascii="Times New Roman" w:hAnsi="Times New Roman" w:cs="Times New Roman"/>
        </w:rPr>
      </w:pPr>
    </w:p>
    <w:p w14:paraId="668ED5BF" w14:textId="77777777" w:rsidR="004216CA" w:rsidRDefault="004216CA" w:rsidP="004216CA">
      <w:pPr>
        <w:jc w:val="both"/>
        <w:rPr>
          <w:rFonts w:ascii="Times New Roman" w:hAnsi="Times New Roman" w:cs="Times New Roman"/>
        </w:rPr>
      </w:pPr>
    </w:p>
    <w:p w14:paraId="10AAF13B" w14:textId="77777777" w:rsidR="004216CA" w:rsidRDefault="004216CA" w:rsidP="004216CA">
      <w:pPr>
        <w:jc w:val="both"/>
        <w:rPr>
          <w:rFonts w:ascii="Times New Roman" w:hAnsi="Times New Roman" w:cs="Times New Roman"/>
        </w:rPr>
      </w:pPr>
    </w:p>
    <w:p w14:paraId="2FCF8946" w14:textId="77777777" w:rsidR="004216CA" w:rsidRPr="00C4141F" w:rsidRDefault="004216CA" w:rsidP="00A86DA9">
      <w:pPr>
        <w:jc w:val="both"/>
        <w:rPr>
          <w:rFonts w:ascii="Times New Roman" w:hAnsi="Times New Roman" w:cs="Times New Roman"/>
        </w:rPr>
      </w:pPr>
    </w:p>
    <w:p w14:paraId="2442DA5F" w14:textId="77777777" w:rsidR="001D1767" w:rsidRPr="00C4141F" w:rsidRDefault="001D1767" w:rsidP="00A86DA9">
      <w:pPr>
        <w:jc w:val="both"/>
        <w:rPr>
          <w:rFonts w:ascii="Times New Roman" w:hAnsi="Times New Roman" w:cs="Times New Roman"/>
          <w:b/>
          <w:bCs/>
        </w:rPr>
      </w:pPr>
    </w:p>
    <w:p w14:paraId="3E405FFB" w14:textId="46AEEAD0" w:rsidR="00DB1CA6" w:rsidRPr="00C4141F" w:rsidRDefault="00DB1CA6" w:rsidP="00A86DA9">
      <w:pPr>
        <w:jc w:val="both"/>
        <w:rPr>
          <w:rFonts w:ascii="Times New Roman" w:hAnsi="Times New Roman" w:cs="Times New Roman"/>
        </w:rPr>
      </w:pPr>
    </w:p>
    <w:p w14:paraId="10C2DA15" w14:textId="3263C272" w:rsidR="007B6997" w:rsidRDefault="007B6997" w:rsidP="00A86DA9">
      <w:pPr>
        <w:jc w:val="both"/>
        <w:rPr>
          <w:rFonts w:ascii="Times New Roman" w:hAnsi="Times New Roman" w:cs="Times New Roman"/>
        </w:rPr>
      </w:pPr>
    </w:p>
    <w:p w14:paraId="4226089C" w14:textId="5AFF601D" w:rsidR="00194B2A" w:rsidRDefault="00194B2A" w:rsidP="00A86DA9">
      <w:pPr>
        <w:jc w:val="both"/>
        <w:rPr>
          <w:rFonts w:ascii="Times New Roman" w:hAnsi="Times New Roman" w:cs="Times New Roman"/>
        </w:rPr>
      </w:pPr>
    </w:p>
    <w:p w14:paraId="121724F6" w14:textId="1CF19E7A" w:rsidR="00E35007" w:rsidRDefault="00E35007" w:rsidP="00A86DA9">
      <w:pPr>
        <w:jc w:val="both"/>
        <w:rPr>
          <w:rFonts w:ascii="Times New Roman" w:hAnsi="Times New Roman" w:cs="Times New Roman"/>
        </w:rPr>
      </w:pPr>
    </w:p>
    <w:p w14:paraId="7C596F21" w14:textId="0E0949C4" w:rsidR="00E35007" w:rsidRDefault="00E35007" w:rsidP="00A86DA9">
      <w:pPr>
        <w:jc w:val="both"/>
        <w:rPr>
          <w:rFonts w:ascii="Times New Roman" w:hAnsi="Times New Roman" w:cs="Times New Roman"/>
        </w:rPr>
      </w:pPr>
    </w:p>
    <w:p w14:paraId="19052BA2" w14:textId="46BF8FD9" w:rsidR="00A55810" w:rsidRPr="00C4141F" w:rsidRDefault="00A55810" w:rsidP="00194B2A">
      <w:pPr>
        <w:spacing w:line="480" w:lineRule="auto"/>
        <w:rPr>
          <w:rFonts w:ascii="Times New Roman" w:hAnsi="Times New Roman" w:cs="Times New Roman"/>
          <w:b/>
          <w:bCs/>
        </w:rPr>
      </w:pPr>
    </w:p>
    <w:sectPr w:rsidR="00A55810" w:rsidRPr="00C4141F" w:rsidSect="00D14B5D">
      <w:footerReference w:type="even" r:id="rId17"/>
      <w:footerReference w:type="default" r:id="rId18"/>
      <w:pgSz w:w="12240" w:h="15840"/>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DBBB" w14:textId="77777777" w:rsidR="00D14B5D" w:rsidRDefault="00D14B5D" w:rsidP="00A86DA9">
      <w:r>
        <w:separator/>
      </w:r>
    </w:p>
  </w:endnote>
  <w:endnote w:type="continuationSeparator" w:id="0">
    <w:p w14:paraId="01694D66" w14:textId="77777777" w:rsidR="00D14B5D" w:rsidRDefault="00D14B5D" w:rsidP="00A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878340"/>
      <w:docPartObj>
        <w:docPartGallery w:val="Page Numbers (Bottom of Page)"/>
        <w:docPartUnique/>
      </w:docPartObj>
    </w:sdtPr>
    <w:sdtContent>
      <w:p w14:paraId="79A5B089" w14:textId="12C287A0" w:rsidR="004F64BB" w:rsidRDefault="004F64BB" w:rsidP="000B0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FE3DF" w14:textId="77777777" w:rsidR="004F64BB" w:rsidRDefault="004F64BB" w:rsidP="004F64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390733"/>
      <w:docPartObj>
        <w:docPartGallery w:val="Page Numbers (Bottom of Page)"/>
        <w:docPartUnique/>
      </w:docPartObj>
    </w:sdtPr>
    <w:sdtEndPr>
      <w:rPr>
        <w:rStyle w:val="PageNumber"/>
        <w:rFonts w:ascii="Times New Roman" w:hAnsi="Times New Roman" w:cs="Times New Roman"/>
      </w:rPr>
    </w:sdtEndPr>
    <w:sdtContent>
      <w:p w14:paraId="52A81FCE" w14:textId="17EBAE16" w:rsidR="004F64BB" w:rsidRPr="004F64BB" w:rsidRDefault="004F64BB" w:rsidP="000B025A">
        <w:pPr>
          <w:pStyle w:val="Footer"/>
          <w:framePr w:wrap="none" w:vAnchor="text" w:hAnchor="margin" w:xAlign="right" w:y="1"/>
          <w:rPr>
            <w:rStyle w:val="PageNumber"/>
            <w:rFonts w:ascii="Times New Roman" w:hAnsi="Times New Roman" w:cs="Times New Roman"/>
          </w:rPr>
        </w:pPr>
        <w:r w:rsidRPr="004F64BB">
          <w:rPr>
            <w:rStyle w:val="PageNumber"/>
            <w:rFonts w:ascii="Times New Roman" w:hAnsi="Times New Roman" w:cs="Times New Roman"/>
          </w:rPr>
          <w:fldChar w:fldCharType="begin"/>
        </w:r>
        <w:r w:rsidRPr="004F64BB">
          <w:rPr>
            <w:rStyle w:val="PageNumber"/>
            <w:rFonts w:ascii="Times New Roman" w:hAnsi="Times New Roman" w:cs="Times New Roman"/>
          </w:rPr>
          <w:instrText xml:space="preserve"> PAGE </w:instrText>
        </w:r>
        <w:r w:rsidRPr="004F64BB">
          <w:rPr>
            <w:rStyle w:val="PageNumber"/>
            <w:rFonts w:ascii="Times New Roman" w:hAnsi="Times New Roman" w:cs="Times New Roman"/>
          </w:rPr>
          <w:fldChar w:fldCharType="separate"/>
        </w:r>
        <w:r w:rsidRPr="004F64BB">
          <w:rPr>
            <w:rStyle w:val="PageNumber"/>
            <w:rFonts w:ascii="Times New Roman" w:hAnsi="Times New Roman" w:cs="Times New Roman"/>
            <w:noProof/>
          </w:rPr>
          <w:t>2</w:t>
        </w:r>
        <w:r w:rsidRPr="004F64BB">
          <w:rPr>
            <w:rStyle w:val="PageNumber"/>
            <w:rFonts w:ascii="Times New Roman" w:hAnsi="Times New Roman" w:cs="Times New Roman"/>
          </w:rPr>
          <w:fldChar w:fldCharType="end"/>
        </w:r>
      </w:p>
    </w:sdtContent>
  </w:sdt>
  <w:p w14:paraId="73490094" w14:textId="77777777" w:rsidR="004F64BB" w:rsidRDefault="004F64BB" w:rsidP="004F64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D7F85" w14:textId="77777777" w:rsidR="00D14B5D" w:rsidRDefault="00D14B5D" w:rsidP="00A86DA9">
      <w:r>
        <w:separator/>
      </w:r>
    </w:p>
  </w:footnote>
  <w:footnote w:type="continuationSeparator" w:id="0">
    <w:p w14:paraId="468160CF" w14:textId="77777777" w:rsidR="00D14B5D" w:rsidRDefault="00D14B5D" w:rsidP="00A86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A7"/>
    <w:multiLevelType w:val="hybridMultilevel"/>
    <w:tmpl w:val="9AE855EA"/>
    <w:lvl w:ilvl="0" w:tplc="EB82580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E41"/>
    <w:multiLevelType w:val="hybridMultilevel"/>
    <w:tmpl w:val="3ED00B96"/>
    <w:lvl w:ilvl="0" w:tplc="FEFCB9B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4277"/>
    <w:multiLevelType w:val="hybridMultilevel"/>
    <w:tmpl w:val="302A2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B59D6"/>
    <w:multiLevelType w:val="hybridMultilevel"/>
    <w:tmpl w:val="346EE0BC"/>
    <w:lvl w:ilvl="0" w:tplc="0B868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4480"/>
    <w:multiLevelType w:val="hybridMultilevel"/>
    <w:tmpl w:val="352C4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2345"/>
    <w:multiLevelType w:val="hybridMultilevel"/>
    <w:tmpl w:val="CD781D24"/>
    <w:lvl w:ilvl="0" w:tplc="3A3A37F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627BAD"/>
    <w:multiLevelType w:val="hybridMultilevel"/>
    <w:tmpl w:val="C4FEC1C6"/>
    <w:lvl w:ilvl="0" w:tplc="9A5AF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A60F0"/>
    <w:multiLevelType w:val="hybridMultilevel"/>
    <w:tmpl w:val="FA38008C"/>
    <w:lvl w:ilvl="0" w:tplc="FBE40A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49129">
    <w:abstractNumId w:val="4"/>
  </w:num>
  <w:num w:numId="2" w16cid:durableId="1767267206">
    <w:abstractNumId w:val="0"/>
  </w:num>
  <w:num w:numId="3" w16cid:durableId="1289163132">
    <w:abstractNumId w:val="3"/>
  </w:num>
  <w:num w:numId="4" w16cid:durableId="1201283940">
    <w:abstractNumId w:val="7"/>
  </w:num>
  <w:num w:numId="5" w16cid:durableId="1958825537">
    <w:abstractNumId w:val="6"/>
  </w:num>
  <w:num w:numId="6" w16cid:durableId="1085227624">
    <w:abstractNumId w:val="2"/>
  </w:num>
  <w:num w:numId="7" w16cid:durableId="1013805120">
    <w:abstractNumId w:val="5"/>
  </w:num>
  <w:num w:numId="8" w16cid:durableId="1278371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B8"/>
    <w:rsid w:val="00004B41"/>
    <w:rsid w:val="0000626B"/>
    <w:rsid w:val="0001114A"/>
    <w:rsid w:val="000130A5"/>
    <w:rsid w:val="00020B75"/>
    <w:rsid w:val="00021647"/>
    <w:rsid w:val="000262D2"/>
    <w:rsid w:val="00031AD0"/>
    <w:rsid w:val="00032B94"/>
    <w:rsid w:val="00032C82"/>
    <w:rsid w:val="000339D5"/>
    <w:rsid w:val="00035791"/>
    <w:rsid w:val="0004167A"/>
    <w:rsid w:val="00042410"/>
    <w:rsid w:val="000430A5"/>
    <w:rsid w:val="000454E1"/>
    <w:rsid w:val="0004646B"/>
    <w:rsid w:val="0005106A"/>
    <w:rsid w:val="000601B7"/>
    <w:rsid w:val="00061859"/>
    <w:rsid w:val="000640BF"/>
    <w:rsid w:val="000655FF"/>
    <w:rsid w:val="0006740C"/>
    <w:rsid w:val="00067470"/>
    <w:rsid w:val="00073C22"/>
    <w:rsid w:val="00076AD3"/>
    <w:rsid w:val="000828BA"/>
    <w:rsid w:val="00082EA8"/>
    <w:rsid w:val="00086FA2"/>
    <w:rsid w:val="000964A2"/>
    <w:rsid w:val="000A0BBB"/>
    <w:rsid w:val="000A35A4"/>
    <w:rsid w:val="000A7FE3"/>
    <w:rsid w:val="000B0735"/>
    <w:rsid w:val="000B27C1"/>
    <w:rsid w:val="000B2A72"/>
    <w:rsid w:val="000D339B"/>
    <w:rsid w:val="000E6CB4"/>
    <w:rsid w:val="000F2CAD"/>
    <w:rsid w:val="000F505E"/>
    <w:rsid w:val="00104053"/>
    <w:rsid w:val="00112969"/>
    <w:rsid w:val="00112AEF"/>
    <w:rsid w:val="00114C7A"/>
    <w:rsid w:val="00116E7E"/>
    <w:rsid w:val="001223D4"/>
    <w:rsid w:val="001271DD"/>
    <w:rsid w:val="00130D22"/>
    <w:rsid w:val="001343FB"/>
    <w:rsid w:val="00136BDD"/>
    <w:rsid w:val="001406DD"/>
    <w:rsid w:val="00143443"/>
    <w:rsid w:val="00145A18"/>
    <w:rsid w:val="00154BBA"/>
    <w:rsid w:val="00162C22"/>
    <w:rsid w:val="00170631"/>
    <w:rsid w:val="0017279F"/>
    <w:rsid w:val="00173402"/>
    <w:rsid w:val="00174687"/>
    <w:rsid w:val="00175550"/>
    <w:rsid w:val="00176E06"/>
    <w:rsid w:val="0018012B"/>
    <w:rsid w:val="0018052E"/>
    <w:rsid w:val="00180A16"/>
    <w:rsid w:val="00180D37"/>
    <w:rsid w:val="001814F0"/>
    <w:rsid w:val="00185E40"/>
    <w:rsid w:val="00192B98"/>
    <w:rsid w:val="001931DA"/>
    <w:rsid w:val="00194659"/>
    <w:rsid w:val="00194B2A"/>
    <w:rsid w:val="00197346"/>
    <w:rsid w:val="001A1C19"/>
    <w:rsid w:val="001A348C"/>
    <w:rsid w:val="001A416F"/>
    <w:rsid w:val="001A5498"/>
    <w:rsid w:val="001A71FF"/>
    <w:rsid w:val="001B20CB"/>
    <w:rsid w:val="001B2611"/>
    <w:rsid w:val="001B34DE"/>
    <w:rsid w:val="001C1A32"/>
    <w:rsid w:val="001C2842"/>
    <w:rsid w:val="001D1767"/>
    <w:rsid w:val="001E22EA"/>
    <w:rsid w:val="001E341F"/>
    <w:rsid w:val="001E3BE1"/>
    <w:rsid w:val="001F0C50"/>
    <w:rsid w:val="00202039"/>
    <w:rsid w:val="002042E7"/>
    <w:rsid w:val="00205AF4"/>
    <w:rsid w:val="00207741"/>
    <w:rsid w:val="002148BB"/>
    <w:rsid w:val="0021737C"/>
    <w:rsid w:val="002243A0"/>
    <w:rsid w:val="002314B8"/>
    <w:rsid w:val="002329B0"/>
    <w:rsid w:val="00234E83"/>
    <w:rsid w:val="00234FF4"/>
    <w:rsid w:val="00235865"/>
    <w:rsid w:val="002361F8"/>
    <w:rsid w:val="00237507"/>
    <w:rsid w:val="002477B1"/>
    <w:rsid w:val="00247892"/>
    <w:rsid w:val="00253F38"/>
    <w:rsid w:val="002652BD"/>
    <w:rsid w:val="00275912"/>
    <w:rsid w:val="0028078A"/>
    <w:rsid w:val="00282524"/>
    <w:rsid w:val="002918BD"/>
    <w:rsid w:val="00292766"/>
    <w:rsid w:val="00295513"/>
    <w:rsid w:val="002A00C3"/>
    <w:rsid w:val="002A779C"/>
    <w:rsid w:val="002B3974"/>
    <w:rsid w:val="002B6953"/>
    <w:rsid w:val="002B77DF"/>
    <w:rsid w:val="002C0698"/>
    <w:rsid w:val="002C41FE"/>
    <w:rsid w:val="002C6902"/>
    <w:rsid w:val="002C708D"/>
    <w:rsid w:val="002C7883"/>
    <w:rsid w:val="002D0A03"/>
    <w:rsid w:val="002D2CF4"/>
    <w:rsid w:val="002D3E4C"/>
    <w:rsid w:val="002D408E"/>
    <w:rsid w:val="002D4A2D"/>
    <w:rsid w:val="002E27F9"/>
    <w:rsid w:val="002E6592"/>
    <w:rsid w:val="002E73C3"/>
    <w:rsid w:val="002F0EC5"/>
    <w:rsid w:val="002F6B62"/>
    <w:rsid w:val="00303F0F"/>
    <w:rsid w:val="0031169B"/>
    <w:rsid w:val="003117F9"/>
    <w:rsid w:val="0032110D"/>
    <w:rsid w:val="00331B8D"/>
    <w:rsid w:val="00332413"/>
    <w:rsid w:val="00342029"/>
    <w:rsid w:val="00342883"/>
    <w:rsid w:val="00346B6E"/>
    <w:rsid w:val="00353692"/>
    <w:rsid w:val="00361050"/>
    <w:rsid w:val="00372690"/>
    <w:rsid w:val="00374797"/>
    <w:rsid w:val="003801E0"/>
    <w:rsid w:val="00380C47"/>
    <w:rsid w:val="00385601"/>
    <w:rsid w:val="00385893"/>
    <w:rsid w:val="00390DF3"/>
    <w:rsid w:val="003A52AC"/>
    <w:rsid w:val="003B5F71"/>
    <w:rsid w:val="003C2297"/>
    <w:rsid w:val="003C248D"/>
    <w:rsid w:val="003C5129"/>
    <w:rsid w:val="003C6090"/>
    <w:rsid w:val="003C62B2"/>
    <w:rsid w:val="003C7E84"/>
    <w:rsid w:val="003D09BE"/>
    <w:rsid w:val="003D3C53"/>
    <w:rsid w:val="003F1404"/>
    <w:rsid w:val="003F3DA7"/>
    <w:rsid w:val="00401E72"/>
    <w:rsid w:val="00405BF1"/>
    <w:rsid w:val="004216CA"/>
    <w:rsid w:val="004316C9"/>
    <w:rsid w:val="0043539B"/>
    <w:rsid w:val="00435ADC"/>
    <w:rsid w:val="00435D63"/>
    <w:rsid w:val="00437336"/>
    <w:rsid w:val="00442B24"/>
    <w:rsid w:val="004433CE"/>
    <w:rsid w:val="004451FC"/>
    <w:rsid w:val="004453E2"/>
    <w:rsid w:val="004463D8"/>
    <w:rsid w:val="00447ACD"/>
    <w:rsid w:val="0045663E"/>
    <w:rsid w:val="00462F10"/>
    <w:rsid w:val="004630ED"/>
    <w:rsid w:val="004715BC"/>
    <w:rsid w:val="00472D8E"/>
    <w:rsid w:val="00476FD0"/>
    <w:rsid w:val="00477BEF"/>
    <w:rsid w:val="0048062F"/>
    <w:rsid w:val="004854C1"/>
    <w:rsid w:val="00487132"/>
    <w:rsid w:val="00493A8F"/>
    <w:rsid w:val="00496FE2"/>
    <w:rsid w:val="004A1E60"/>
    <w:rsid w:val="004A456D"/>
    <w:rsid w:val="004A60F2"/>
    <w:rsid w:val="004A6F5A"/>
    <w:rsid w:val="004B2334"/>
    <w:rsid w:val="004B6229"/>
    <w:rsid w:val="004B6F91"/>
    <w:rsid w:val="004B72A8"/>
    <w:rsid w:val="004C619F"/>
    <w:rsid w:val="004C6572"/>
    <w:rsid w:val="004D2F8A"/>
    <w:rsid w:val="004E1F25"/>
    <w:rsid w:val="004E5E3B"/>
    <w:rsid w:val="004E5FFE"/>
    <w:rsid w:val="004E6723"/>
    <w:rsid w:val="004E6E06"/>
    <w:rsid w:val="004F03CD"/>
    <w:rsid w:val="004F1163"/>
    <w:rsid w:val="004F153B"/>
    <w:rsid w:val="004F3C1E"/>
    <w:rsid w:val="004F5635"/>
    <w:rsid w:val="004F64BB"/>
    <w:rsid w:val="004F7D68"/>
    <w:rsid w:val="0050097C"/>
    <w:rsid w:val="00505D1D"/>
    <w:rsid w:val="005107DA"/>
    <w:rsid w:val="00510B97"/>
    <w:rsid w:val="0051263F"/>
    <w:rsid w:val="00513EAA"/>
    <w:rsid w:val="005215A3"/>
    <w:rsid w:val="00530DA6"/>
    <w:rsid w:val="00532E94"/>
    <w:rsid w:val="00535881"/>
    <w:rsid w:val="00536309"/>
    <w:rsid w:val="00537DE9"/>
    <w:rsid w:val="005401D5"/>
    <w:rsid w:val="00540204"/>
    <w:rsid w:val="00542ECA"/>
    <w:rsid w:val="00547788"/>
    <w:rsid w:val="00550342"/>
    <w:rsid w:val="00550870"/>
    <w:rsid w:val="00550B41"/>
    <w:rsid w:val="005523DA"/>
    <w:rsid w:val="00553A89"/>
    <w:rsid w:val="005548FB"/>
    <w:rsid w:val="0056523A"/>
    <w:rsid w:val="00570ED8"/>
    <w:rsid w:val="00573B2B"/>
    <w:rsid w:val="00577205"/>
    <w:rsid w:val="005866D6"/>
    <w:rsid w:val="00586906"/>
    <w:rsid w:val="00586D7B"/>
    <w:rsid w:val="005953A6"/>
    <w:rsid w:val="00595568"/>
    <w:rsid w:val="00597FC2"/>
    <w:rsid w:val="005A4262"/>
    <w:rsid w:val="005A51D7"/>
    <w:rsid w:val="005B1808"/>
    <w:rsid w:val="005B2ABD"/>
    <w:rsid w:val="005B71B6"/>
    <w:rsid w:val="005C383A"/>
    <w:rsid w:val="005C39F7"/>
    <w:rsid w:val="005C692B"/>
    <w:rsid w:val="005D039F"/>
    <w:rsid w:val="005D43DA"/>
    <w:rsid w:val="005E368D"/>
    <w:rsid w:val="005E6333"/>
    <w:rsid w:val="005E6FB4"/>
    <w:rsid w:val="005F30CA"/>
    <w:rsid w:val="006023D4"/>
    <w:rsid w:val="006065DA"/>
    <w:rsid w:val="0060712C"/>
    <w:rsid w:val="00616C90"/>
    <w:rsid w:val="0062137B"/>
    <w:rsid w:val="00626908"/>
    <w:rsid w:val="006277C4"/>
    <w:rsid w:val="00627AD6"/>
    <w:rsid w:val="00635E0D"/>
    <w:rsid w:val="00636DA6"/>
    <w:rsid w:val="00642819"/>
    <w:rsid w:val="006507E7"/>
    <w:rsid w:val="00664818"/>
    <w:rsid w:val="00673B24"/>
    <w:rsid w:val="006747E8"/>
    <w:rsid w:val="00677CB8"/>
    <w:rsid w:val="006A0E67"/>
    <w:rsid w:val="006A2F8A"/>
    <w:rsid w:val="006A6E79"/>
    <w:rsid w:val="006B153D"/>
    <w:rsid w:val="006C1485"/>
    <w:rsid w:val="006C3817"/>
    <w:rsid w:val="006D70F4"/>
    <w:rsid w:val="006E7D81"/>
    <w:rsid w:val="006F4402"/>
    <w:rsid w:val="006F4570"/>
    <w:rsid w:val="00703C18"/>
    <w:rsid w:val="0070427C"/>
    <w:rsid w:val="00704B41"/>
    <w:rsid w:val="007067D7"/>
    <w:rsid w:val="00711B01"/>
    <w:rsid w:val="00711FB2"/>
    <w:rsid w:val="0071254D"/>
    <w:rsid w:val="00715623"/>
    <w:rsid w:val="0072102E"/>
    <w:rsid w:val="0072518E"/>
    <w:rsid w:val="00730C68"/>
    <w:rsid w:val="0073357E"/>
    <w:rsid w:val="007345E7"/>
    <w:rsid w:val="007347D2"/>
    <w:rsid w:val="007359F3"/>
    <w:rsid w:val="00740734"/>
    <w:rsid w:val="00744793"/>
    <w:rsid w:val="007510EC"/>
    <w:rsid w:val="00753AC4"/>
    <w:rsid w:val="00753FF4"/>
    <w:rsid w:val="00755B64"/>
    <w:rsid w:val="007562B8"/>
    <w:rsid w:val="007751FA"/>
    <w:rsid w:val="00780CAB"/>
    <w:rsid w:val="00781FCC"/>
    <w:rsid w:val="0079279E"/>
    <w:rsid w:val="007A639C"/>
    <w:rsid w:val="007B50B1"/>
    <w:rsid w:val="007B5D4F"/>
    <w:rsid w:val="007B6997"/>
    <w:rsid w:val="007B6DF2"/>
    <w:rsid w:val="007B71D6"/>
    <w:rsid w:val="007C2397"/>
    <w:rsid w:val="007C3870"/>
    <w:rsid w:val="007C6269"/>
    <w:rsid w:val="007C6360"/>
    <w:rsid w:val="007D0DB4"/>
    <w:rsid w:val="007E1814"/>
    <w:rsid w:val="007E228A"/>
    <w:rsid w:val="007E3B75"/>
    <w:rsid w:val="007E4FFA"/>
    <w:rsid w:val="007F0817"/>
    <w:rsid w:val="007F3B7D"/>
    <w:rsid w:val="00803295"/>
    <w:rsid w:val="008056C0"/>
    <w:rsid w:val="00805861"/>
    <w:rsid w:val="00805C8B"/>
    <w:rsid w:val="008064BF"/>
    <w:rsid w:val="0081190B"/>
    <w:rsid w:val="00812973"/>
    <w:rsid w:val="00812AEF"/>
    <w:rsid w:val="008210CD"/>
    <w:rsid w:val="00824B9A"/>
    <w:rsid w:val="00824DD6"/>
    <w:rsid w:val="00825663"/>
    <w:rsid w:val="0084097E"/>
    <w:rsid w:val="00845521"/>
    <w:rsid w:val="00845955"/>
    <w:rsid w:val="00855D62"/>
    <w:rsid w:val="00856AB6"/>
    <w:rsid w:val="008613C4"/>
    <w:rsid w:val="00862D4D"/>
    <w:rsid w:val="00863417"/>
    <w:rsid w:val="0086407E"/>
    <w:rsid w:val="00866496"/>
    <w:rsid w:val="00871B69"/>
    <w:rsid w:val="00875EBA"/>
    <w:rsid w:val="00876FF3"/>
    <w:rsid w:val="0088200C"/>
    <w:rsid w:val="008934D3"/>
    <w:rsid w:val="008A10F8"/>
    <w:rsid w:val="008A1DFE"/>
    <w:rsid w:val="008A21ED"/>
    <w:rsid w:val="008A28CD"/>
    <w:rsid w:val="008A34B1"/>
    <w:rsid w:val="008A405F"/>
    <w:rsid w:val="008A7DA6"/>
    <w:rsid w:val="008B6B47"/>
    <w:rsid w:val="008B6E22"/>
    <w:rsid w:val="008C073D"/>
    <w:rsid w:val="008D4919"/>
    <w:rsid w:val="008D55C5"/>
    <w:rsid w:val="008D72F9"/>
    <w:rsid w:val="008E105E"/>
    <w:rsid w:val="008E32E8"/>
    <w:rsid w:val="008F39F9"/>
    <w:rsid w:val="008F3EB7"/>
    <w:rsid w:val="008F4403"/>
    <w:rsid w:val="008F54FF"/>
    <w:rsid w:val="008F5D0C"/>
    <w:rsid w:val="00903314"/>
    <w:rsid w:val="00903F19"/>
    <w:rsid w:val="009101C6"/>
    <w:rsid w:val="0091215A"/>
    <w:rsid w:val="00913205"/>
    <w:rsid w:val="00915339"/>
    <w:rsid w:val="00916C4E"/>
    <w:rsid w:val="00921A75"/>
    <w:rsid w:val="00922BF7"/>
    <w:rsid w:val="00923C35"/>
    <w:rsid w:val="00930D75"/>
    <w:rsid w:val="00934F39"/>
    <w:rsid w:val="00942E61"/>
    <w:rsid w:val="00944ABA"/>
    <w:rsid w:val="00946BDD"/>
    <w:rsid w:val="009621FA"/>
    <w:rsid w:val="009645DD"/>
    <w:rsid w:val="009661EC"/>
    <w:rsid w:val="009763AF"/>
    <w:rsid w:val="009815A5"/>
    <w:rsid w:val="00985B2F"/>
    <w:rsid w:val="0099017F"/>
    <w:rsid w:val="009936D8"/>
    <w:rsid w:val="009A05E4"/>
    <w:rsid w:val="009A2196"/>
    <w:rsid w:val="009A404E"/>
    <w:rsid w:val="009A47BB"/>
    <w:rsid w:val="009A48F9"/>
    <w:rsid w:val="009B7155"/>
    <w:rsid w:val="009C0BD1"/>
    <w:rsid w:val="009C530C"/>
    <w:rsid w:val="009C60E1"/>
    <w:rsid w:val="009C6470"/>
    <w:rsid w:val="009D30AC"/>
    <w:rsid w:val="009D4104"/>
    <w:rsid w:val="009E4171"/>
    <w:rsid w:val="009F12FA"/>
    <w:rsid w:val="00A03CF2"/>
    <w:rsid w:val="00A0443D"/>
    <w:rsid w:val="00A045CD"/>
    <w:rsid w:val="00A04A1F"/>
    <w:rsid w:val="00A14AD7"/>
    <w:rsid w:val="00A21827"/>
    <w:rsid w:val="00A25235"/>
    <w:rsid w:val="00A26CD4"/>
    <w:rsid w:val="00A3156A"/>
    <w:rsid w:val="00A332A8"/>
    <w:rsid w:val="00A351DD"/>
    <w:rsid w:val="00A352AB"/>
    <w:rsid w:val="00A35605"/>
    <w:rsid w:val="00A36C17"/>
    <w:rsid w:val="00A41C94"/>
    <w:rsid w:val="00A4660B"/>
    <w:rsid w:val="00A517D4"/>
    <w:rsid w:val="00A51D23"/>
    <w:rsid w:val="00A55810"/>
    <w:rsid w:val="00A561A4"/>
    <w:rsid w:val="00A579DA"/>
    <w:rsid w:val="00A61B50"/>
    <w:rsid w:val="00A63447"/>
    <w:rsid w:val="00A66A0F"/>
    <w:rsid w:val="00A76B96"/>
    <w:rsid w:val="00A77E19"/>
    <w:rsid w:val="00A80316"/>
    <w:rsid w:val="00A864C3"/>
    <w:rsid w:val="00A86DA9"/>
    <w:rsid w:val="00A90A8F"/>
    <w:rsid w:val="00A90CA5"/>
    <w:rsid w:val="00A91108"/>
    <w:rsid w:val="00A92870"/>
    <w:rsid w:val="00A92C43"/>
    <w:rsid w:val="00A933BB"/>
    <w:rsid w:val="00A966A5"/>
    <w:rsid w:val="00A972A8"/>
    <w:rsid w:val="00A97DC8"/>
    <w:rsid w:val="00AD0481"/>
    <w:rsid w:val="00AD112C"/>
    <w:rsid w:val="00AE5B49"/>
    <w:rsid w:val="00AF0A90"/>
    <w:rsid w:val="00AF0DEE"/>
    <w:rsid w:val="00AF18EA"/>
    <w:rsid w:val="00AF2C27"/>
    <w:rsid w:val="00AF6898"/>
    <w:rsid w:val="00AF722B"/>
    <w:rsid w:val="00B06B5C"/>
    <w:rsid w:val="00B11CC6"/>
    <w:rsid w:val="00B227EE"/>
    <w:rsid w:val="00B42EFE"/>
    <w:rsid w:val="00B47CA4"/>
    <w:rsid w:val="00B5528D"/>
    <w:rsid w:val="00B5592F"/>
    <w:rsid w:val="00B56A25"/>
    <w:rsid w:val="00B62952"/>
    <w:rsid w:val="00B63D10"/>
    <w:rsid w:val="00B67363"/>
    <w:rsid w:val="00B70961"/>
    <w:rsid w:val="00B72E83"/>
    <w:rsid w:val="00B84D6C"/>
    <w:rsid w:val="00B97D00"/>
    <w:rsid w:val="00BA2ED3"/>
    <w:rsid w:val="00BB100E"/>
    <w:rsid w:val="00BB298A"/>
    <w:rsid w:val="00BB3AB4"/>
    <w:rsid w:val="00BC16CD"/>
    <w:rsid w:val="00BD2C69"/>
    <w:rsid w:val="00BD479B"/>
    <w:rsid w:val="00BD7DE1"/>
    <w:rsid w:val="00BE0224"/>
    <w:rsid w:val="00BE4E45"/>
    <w:rsid w:val="00BE635C"/>
    <w:rsid w:val="00BE71DC"/>
    <w:rsid w:val="00BF4ACC"/>
    <w:rsid w:val="00BF617E"/>
    <w:rsid w:val="00C035FF"/>
    <w:rsid w:val="00C06403"/>
    <w:rsid w:val="00C11DFB"/>
    <w:rsid w:val="00C25B6D"/>
    <w:rsid w:val="00C3141A"/>
    <w:rsid w:val="00C344D2"/>
    <w:rsid w:val="00C4141F"/>
    <w:rsid w:val="00C4194D"/>
    <w:rsid w:val="00C41AA0"/>
    <w:rsid w:val="00C41BD0"/>
    <w:rsid w:val="00C42877"/>
    <w:rsid w:val="00C43221"/>
    <w:rsid w:val="00C46480"/>
    <w:rsid w:val="00C5253F"/>
    <w:rsid w:val="00C52575"/>
    <w:rsid w:val="00C54438"/>
    <w:rsid w:val="00C56DB1"/>
    <w:rsid w:val="00C57DA0"/>
    <w:rsid w:val="00C60547"/>
    <w:rsid w:val="00C6062E"/>
    <w:rsid w:val="00C60C57"/>
    <w:rsid w:val="00C70276"/>
    <w:rsid w:val="00C812B9"/>
    <w:rsid w:val="00C82AE6"/>
    <w:rsid w:val="00C83360"/>
    <w:rsid w:val="00C92698"/>
    <w:rsid w:val="00C94B98"/>
    <w:rsid w:val="00CA0FE8"/>
    <w:rsid w:val="00CA1AB1"/>
    <w:rsid w:val="00CA1F7D"/>
    <w:rsid w:val="00CA7DEE"/>
    <w:rsid w:val="00CC4D7E"/>
    <w:rsid w:val="00CE309B"/>
    <w:rsid w:val="00CE47CA"/>
    <w:rsid w:val="00CE6946"/>
    <w:rsid w:val="00CE6BBC"/>
    <w:rsid w:val="00D01211"/>
    <w:rsid w:val="00D05648"/>
    <w:rsid w:val="00D06861"/>
    <w:rsid w:val="00D14B5D"/>
    <w:rsid w:val="00D24B3B"/>
    <w:rsid w:val="00D2654B"/>
    <w:rsid w:val="00D265B4"/>
    <w:rsid w:val="00D3284B"/>
    <w:rsid w:val="00D40684"/>
    <w:rsid w:val="00D432AC"/>
    <w:rsid w:val="00D448B0"/>
    <w:rsid w:val="00D44FD0"/>
    <w:rsid w:val="00D540FC"/>
    <w:rsid w:val="00D546A4"/>
    <w:rsid w:val="00D56561"/>
    <w:rsid w:val="00D56C6A"/>
    <w:rsid w:val="00D75D51"/>
    <w:rsid w:val="00D827A9"/>
    <w:rsid w:val="00D84219"/>
    <w:rsid w:val="00D868F2"/>
    <w:rsid w:val="00D87DCD"/>
    <w:rsid w:val="00D87DDE"/>
    <w:rsid w:val="00D92564"/>
    <w:rsid w:val="00D96FB9"/>
    <w:rsid w:val="00D97BA1"/>
    <w:rsid w:val="00DA12D6"/>
    <w:rsid w:val="00DA31A1"/>
    <w:rsid w:val="00DA6BA4"/>
    <w:rsid w:val="00DA7951"/>
    <w:rsid w:val="00DB135A"/>
    <w:rsid w:val="00DB1CA6"/>
    <w:rsid w:val="00DB4B94"/>
    <w:rsid w:val="00DB4C52"/>
    <w:rsid w:val="00DB7D77"/>
    <w:rsid w:val="00DD20D3"/>
    <w:rsid w:val="00DD2185"/>
    <w:rsid w:val="00DE18FE"/>
    <w:rsid w:val="00DF3D25"/>
    <w:rsid w:val="00DF4719"/>
    <w:rsid w:val="00DF6F0B"/>
    <w:rsid w:val="00E0265D"/>
    <w:rsid w:val="00E02DD4"/>
    <w:rsid w:val="00E11F27"/>
    <w:rsid w:val="00E13E39"/>
    <w:rsid w:val="00E21496"/>
    <w:rsid w:val="00E21E0D"/>
    <w:rsid w:val="00E22995"/>
    <w:rsid w:val="00E23034"/>
    <w:rsid w:val="00E259A1"/>
    <w:rsid w:val="00E25B83"/>
    <w:rsid w:val="00E3110E"/>
    <w:rsid w:val="00E31B81"/>
    <w:rsid w:val="00E35007"/>
    <w:rsid w:val="00E3774A"/>
    <w:rsid w:val="00E42E5A"/>
    <w:rsid w:val="00E44ABC"/>
    <w:rsid w:val="00E5141F"/>
    <w:rsid w:val="00E55757"/>
    <w:rsid w:val="00E578B2"/>
    <w:rsid w:val="00E658C2"/>
    <w:rsid w:val="00E65D9D"/>
    <w:rsid w:val="00E674BC"/>
    <w:rsid w:val="00E67850"/>
    <w:rsid w:val="00E722C3"/>
    <w:rsid w:val="00E77ADC"/>
    <w:rsid w:val="00E81226"/>
    <w:rsid w:val="00E87E90"/>
    <w:rsid w:val="00E91BD4"/>
    <w:rsid w:val="00E945EF"/>
    <w:rsid w:val="00EB20A4"/>
    <w:rsid w:val="00EB5EAE"/>
    <w:rsid w:val="00EB65AF"/>
    <w:rsid w:val="00EC406A"/>
    <w:rsid w:val="00EC5726"/>
    <w:rsid w:val="00ED0ED3"/>
    <w:rsid w:val="00EE306C"/>
    <w:rsid w:val="00EE44C1"/>
    <w:rsid w:val="00EE6214"/>
    <w:rsid w:val="00EF52A4"/>
    <w:rsid w:val="00F02E80"/>
    <w:rsid w:val="00F031A9"/>
    <w:rsid w:val="00F04F70"/>
    <w:rsid w:val="00F12838"/>
    <w:rsid w:val="00F14E7E"/>
    <w:rsid w:val="00F302DC"/>
    <w:rsid w:val="00F4046B"/>
    <w:rsid w:val="00F41883"/>
    <w:rsid w:val="00F464BD"/>
    <w:rsid w:val="00F5717F"/>
    <w:rsid w:val="00F573C2"/>
    <w:rsid w:val="00F63E57"/>
    <w:rsid w:val="00F653C7"/>
    <w:rsid w:val="00F7067A"/>
    <w:rsid w:val="00F712DB"/>
    <w:rsid w:val="00F73117"/>
    <w:rsid w:val="00F73B20"/>
    <w:rsid w:val="00F742EB"/>
    <w:rsid w:val="00F80143"/>
    <w:rsid w:val="00F80810"/>
    <w:rsid w:val="00F84F65"/>
    <w:rsid w:val="00F910CD"/>
    <w:rsid w:val="00F9222B"/>
    <w:rsid w:val="00FA3F80"/>
    <w:rsid w:val="00FA4D69"/>
    <w:rsid w:val="00FB2B0F"/>
    <w:rsid w:val="00FC7AA2"/>
    <w:rsid w:val="00FD7F90"/>
    <w:rsid w:val="00FE3871"/>
    <w:rsid w:val="00FE4531"/>
    <w:rsid w:val="00FE526D"/>
    <w:rsid w:val="00FE7D6B"/>
    <w:rsid w:val="00FF00D5"/>
    <w:rsid w:val="00FF01EE"/>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B993"/>
  <w15:docId w15:val="{2C4ECF06-7C4B-2744-AE78-82004B16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E2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42"/>
    <w:pPr>
      <w:ind w:left="720"/>
      <w:contextualSpacing/>
    </w:pPr>
  </w:style>
  <w:style w:type="character" w:customStyle="1" w:styleId="Heading1Char">
    <w:name w:val="Heading 1 Char"/>
    <w:basedOn w:val="DefaultParagraphFont"/>
    <w:link w:val="Heading1"/>
    <w:uiPriority w:val="9"/>
    <w:rsid w:val="008B6E22"/>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F04F70"/>
    <w:rPr>
      <w:color w:val="808080"/>
    </w:rPr>
  </w:style>
  <w:style w:type="character" w:styleId="Hyperlink">
    <w:name w:val="Hyperlink"/>
    <w:basedOn w:val="DefaultParagraphFont"/>
    <w:uiPriority w:val="99"/>
    <w:unhideWhenUsed/>
    <w:rsid w:val="00540204"/>
    <w:rPr>
      <w:color w:val="0563C1" w:themeColor="hyperlink"/>
      <w:u w:val="single"/>
    </w:rPr>
  </w:style>
  <w:style w:type="character" w:styleId="UnresolvedMention">
    <w:name w:val="Unresolved Mention"/>
    <w:basedOn w:val="DefaultParagraphFont"/>
    <w:uiPriority w:val="99"/>
    <w:semiHidden/>
    <w:unhideWhenUsed/>
    <w:rsid w:val="00540204"/>
    <w:rPr>
      <w:color w:val="605E5C"/>
      <w:shd w:val="clear" w:color="auto" w:fill="E1DFDD"/>
    </w:rPr>
  </w:style>
  <w:style w:type="paragraph" w:styleId="Header">
    <w:name w:val="header"/>
    <w:basedOn w:val="Normal"/>
    <w:link w:val="HeaderChar"/>
    <w:uiPriority w:val="99"/>
    <w:unhideWhenUsed/>
    <w:rsid w:val="00A86DA9"/>
    <w:pPr>
      <w:tabs>
        <w:tab w:val="center" w:pos="4680"/>
        <w:tab w:val="right" w:pos="9360"/>
      </w:tabs>
    </w:pPr>
  </w:style>
  <w:style w:type="character" w:customStyle="1" w:styleId="HeaderChar">
    <w:name w:val="Header Char"/>
    <w:basedOn w:val="DefaultParagraphFont"/>
    <w:link w:val="Header"/>
    <w:uiPriority w:val="99"/>
    <w:rsid w:val="00A86DA9"/>
  </w:style>
  <w:style w:type="paragraph" w:styleId="Footer">
    <w:name w:val="footer"/>
    <w:basedOn w:val="Normal"/>
    <w:link w:val="FooterChar"/>
    <w:uiPriority w:val="99"/>
    <w:unhideWhenUsed/>
    <w:rsid w:val="00A86DA9"/>
    <w:pPr>
      <w:tabs>
        <w:tab w:val="center" w:pos="4680"/>
        <w:tab w:val="right" w:pos="9360"/>
      </w:tabs>
    </w:pPr>
  </w:style>
  <w:style w:type="character" w:customStyle="1" w:styleId="FooterChar">
    <w:name w:val="Footer Char"/>
    <w:basedOn w:val="DefaultParagraphFont"/>
    <w:link w:val="Footer"/>
    <w:uiPriority w:val="99"/>
    <w:rsid w:val="00A86DA9"/>
  </w:style>
  <w:style w:type="paragraph" w:styleId="NormalWeb">
    <w:name w:val="Normal (Web)"/>
    <w:basedOn w:val="Normal"/>
    <w:uiPriority w:val="99"/>
    <w:unhideWhenUsed/>
    <w:rsid w:val="004B2334"/>
    <w:pPr>
      <w:spacing w:before="100" w:beforeAutospacing="1" w:after="100" w:afterAutospacing="1"/>
    </w:pPr>
    <w:rPr>
      <w:rFonts w:ascii="Times New Roman" w:eastAsia="Times New Roman" w:hAnsi="Times New Roman" w:cs="Times New Roman"/>
    </w:rPr>
  </w:style>
  <w:style w:type="paragraph" w:customStyle="1" w:styleId="text-left">
    <w:name w:val="text-left"/>
    <w:basedOn w:val="Normal"/>
    <w:rsid w:val="006B153D"/>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F64BB"/>
  </w:style>
  <w:style w:type="paragraph" w:styleId="FootnoteText">
    <w:name w:val="footnote text"/>
    <w:basedOn w:val="Normal"/>
    <w:link w:val="FootnoteTextChar"/>
    <w:uiPriority w:val="99"/>
    <w:semiHidden/>
    <w:unhideWhenUsed/>
    <w:rsid w:val="006C3817"/>
    <w:rPr>
      <w:sz w:val="20"/>
      <w:szCs w:val="20"/>
    </w:rPr>
  </w:style>
  <w:style w:type="character" w:customStyle="1" w:styleId="FootnoteTextChar">
    <w:name w:val="Footnote Text Char"/>
    <w:basedOn w:val="DefaultParagraphFont"/>
    <w:link w:val="FootnoteText"/>
    <w:uiPriority w:val="99"/>
    <w:semiHidden/>
    <w:rsid w:val="006C3817"/>
    <w:rPr>
      <w:sz w:val="20"/>
      <w:szCs w:val="20"/>
    </w:rPr>
  </w:style>
  <w:style w:type="character" w:styleId="FootnoteReference">
    <w:name w:val="footnote reference"/>
    <w:basedOn w:val="DefaultParagraphFont"/>
    <w:uiPriority w:val="99"/>
    <w:semiHidden/>
    <w:unhideWhenUsed/>
    <w:rsid w:val="006C38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878">
      <w:bodyDiv w:val="1"/>
      <w:marLeft w:val="0"/>
      <w:marRight w:val="0"/>
      <w:marTop w:val="0"/>
      <w:marBottom w:val="0"/>
      <w:divBdr>
        <w:top w:val="none" w:sz="0" w:space="0" w:color="auto"/>
        <w:left w:val="none" w:sz="0" w:space="0" w:color="auto"/>
        <w:bottom w:val="none" w:sz="0" w:space="0" w:color="auto"/>
        <w:right w:val="none" w:sz="0" w:space="0" w:color="auto"/>
      </w:divBdr>
    </w:div>
    <w:div w:id="111705260">
      <w:bodyDiv w:val="1"/>
      <w:marLeft w:val="0"/>
      <w:marRight w:val="0"/>
      <w:marTop w:val="0"/>
      <w:marBottom w:val="0"/>
      <w:divBdr>
        <w:top w:val="none" w:sz="0" w:space="0" w:color="auto"/>
        <w:left w:val="none" w:sz="0" w:space="0" w:color="auto"/>
        <w:bottom w:val="none" w:sz="0" w:space="0" w:color="auto"/>
        <w:right w:val="none" w:sz="0" w:space="0" w:color="auto"/>
      </w:divBdr>
    </w:div>
    <w:div w:id="120464709">
      <w:bodyDiv w:val="1"/>
      <w:marLeft w:val="0"/>
      <w:marRight w:val="0"/>
      <w:marTop w:val="0"/>
      <w:marBottom w:val="0"/>
      <w:divBdr>
        <w:top w:val="none" w:sz="0" w:space="0" w:color="auto"/>
        <w:left w:val="none" w:sz="0" w:space="0" w:color="auto"/>
        <w:bottom w:val="none" w:sz="0" w:space="0" w:color="auto"/>
        <w:right w:val="none" w:sz="0" w:space="0" w:color="auto"/>
      </w:divBdr>
    </w:div>
    <w:div w:id="126431425">
      <w:bodyDiv w:val="1"/>
      <w:marLeft w:val="0"/>
      <w:marRight w:val="0"/>
      <w:marTop w:val="0"/>
      <w:marBottom w:val="0"/>
      <w:divBdr>
        <w:top w:val="none" w:sz="0" w:space="0" w:color="auto"/>
        <w:left w:val="none" w:sz="0" w:space="0" w:color="auto"/>
        <w:bottom w:val="none" w:sz="0" w:space="0" w:color="auto"/>
        <w:right w:val="none" w:sz="0" w:space="0" w:color="auto"/>
      </w:divBdr>
      <w:divsChild>
        <w:div w:id="1518304809">
          <w:marLeft w:val="0"/>
          <w:marRight w:val="0"/>
          <w:marTop w:val="0"/>
          <w:marBottom w:val="0"/>
          <w:divBdr>
            <w:top w:val="none" w:sz="0" w:space="0" w:color="auto"/>
            <w:left w:val="none" w:sz="0" w:space="0" w:color="auto"/>
            <w:bottom w:val="none" w:sz="0" w:space="0" w:color="auto"/>
            <w:right w:val="none" w:sz="0" w:space="0" w:color="auto"/>
          </w:divBdr>
          <w:divsChild>
            <w:div w:id="540288779">
              <w:marLeft w:val="0"/>
              <w:marRight w:val="0"/>
              <w:marTop w:val="0"/>
              <w:marBottom w:val="0"/>
              <w:divBdr>
                <w:top w:val="none" w:sz="0" w:space="0" w:color="auto"/>
                <w:left w:val="none" w:sz="0" w:space="0" w:color="auto"/>
                <w:bottom w:val="none" w:sz="0" w:space="0" w:color="auto"/>
                <w:right w:val="none" w:sz="0" w:space="0" w:color="auto"/>
              </w:divBdr>
              <w:divsChild>
                <w:div w:id="299847610">
                  <w:marLeft w:val="0"/>
                  <w:marRight w:val="0"/>
                  <w:marTop w:val="0"/>
                  <w:marBottom w:val="0"/>
                  <w:divBdr>
                    <w:top w:val="none" w:sz="0" w:space="0" w:color="auto"/>
                    <w:left w:val="none" w:sz="0" w:space="0" w:color="auto"/>
                    <w:bottom w:val="none" w:sz="0" w:space="0" w:color="auto"/>
                    <w:right w:val="none" w:sz="0" w:space="0" w:color="auto"/>
                  </w:divBdr>
                  <w:divsChild>
                    <w:div w:id="968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685">
      <w:bodyDiv w:val="1"/>
      <w:marLeft w:val="0"/>
      <w:marRight w:val="0"/>
      <w:marTop w:val="0"/>
      <w:marBottom w:val="0"/>
      <w:divBdr>
        <w:top w:val="none" w:sz="0" w:space="0" w:color="auto"/>
        <w:left w:val="none" w:sz="0" w:space="0" w:color="auto"/>
        <w:bottom w:val="none" w:sz="0" w:space="0" w:color="auto"/>
        <w:right w:val="none" w:sz="0" w:space="0" w:color="auto"/>
      </w:divBdr>
    </w:div>
    <w:div w:id="195587859">
      <w:bodyDiv w:val="1"/>
      <w:marLeft w:val="0"/>
      <w:marRight w:val="0"/>
      <w:marTop w:val="0"/>
      <w:marBottom w:val="0"/>
      <w:divBdr>
        <w:top w:val="none" w:sz="0" w:space="0" w:color="auto"/>
        <w:left w:val="none" w:sz="0" w:space="0" w:color="auto"/>
        <w:bottom w:val="none" w:sz="0" w:space="0" w:color="auto"/>
        <w:right w:val="none" w:sz="0" w:space="0" w:color="auto"/>
      </w:divBdr>
      <w:divsChild>
        <w:div w:id="258299677">
          <w:marLeft w:val="300"/>
          <w:marRight w:val="0"/>
          <w:marTop w:val="120"/>
          <w:marBottom w:val="120"/>
          <w:divBdr>
            <w:top w:val="none" w:sz="0" w:space="0" w:color="auto"/>
            <w:left w:val="none" w:sz="0" w:space="0" w:color="auto"/>
            <w:bottom w:val="none" w:sz="0" w:space="0" w:color="auto"/>
            <w:right w:val="none" w:sz="0" w:space="0" w:color="auto"/>
          </w:divBdr>
        </w:div>
      </w:divsChild>
    </w:div>
    <w:div w:id="302781405">
      <w:bodyDiv w:val="1"/>
      <w:marLeft w:val="0"/>
      <w:marRight w:val="0"/>
      <w:marTop w:val="0"/>
      <w:marBottom w:val="0"/>
      <w:divBdr>
        <w:top w:val="none" w:sz="0" w:space="0" w:color="auto"/>
        <w:left w:val="none" w:sz="0" w:space="0" w:color="auto"/>
        <w:bottom w:val="none" w:sz="0" w:space="0" w:color="auto"/>
        <w:right w:val="none" w:sz="0" w:space="0" w:color="auto"/>
      </w:divBdr>
    </w:div>
    <w:div w:id="312493201">
      <w:bodyDiv w:val="1"/>
      <w:marLeft w:val="0"/>
      <w:marRight w:val="0"/>
      <w:marTop w:val="0"/>
      <w:marBottom w:val="0"/>
      <w:divBdr>
        <w:top w:val="none" w:sz="0" w:space="0" w:color="auto"/>
        <w:left w:val="none" w:sz="0" w:space="0" w:color="auto"/>
        <w:bottom w:val="none" w:sz="0" w:space="0" w:color="auto"/>
        <w:right w:val="none" w:sz="0" w:space="0" w:color="auto"/>
      </w:divBdr>
    </w:div>
    <w:div w:id="372774510">
      <w:bodyDiv w:val="1"/>
      <w:marLeft w:val="0"/>
      <w:marRight w:val="0"/>
      <w:marTop w:val="0"/>
      <w:marBottom w:val="0"/>
      <w:divBdr>
        <w:top w:val="none" w:sz="0" w:space="0" w:color="auto"/>
        <w:left w:val="none" w:sz="0" w:space="0" w:color="auto"/>
        <w:bottom w:val="none" w:sz="0" w:space="0" w:color="auto"/>
        <w:right w:val="none" w:sz="0" w:space="0" w:color="auto"/>
      </w:divBdr>
    </w:div>
    <w:div w:id="376200491">
      <w:bodyDiv w:val="1"/>
      <w:marLeft w:val="0"/>
      <w:marRight w:val="0"/>
      <w:marTop w:val="0"/>
      <w:marBottom w:val="0"/>
      <w:divBdr>
        <w:top w:val="none" w:sz="0" w:space="0" w:color="auto"/>
        <w:left w:val="none" w:sz="0" w:space="0" w:color="auto"/>
        <w:bottom w:val="none" w:sz="0" w:space="0" w:color="auto"/>
        <w:right w:val="none" w:sz="0" w:space="0" w:color="auto"/>
      </w:divBdr>
      <w:divsChild>
        <w:div w:id="1318725582">
          <w:marLeft w:val="0"/>
          <w:marRight w:val="0"/>
          <w:marTop w:val="0"/>
          <w:marBottom w:val="0"/>
          <w:divBdr>
            <w:top w:val="none" w:sz="0" w:space="0" w:color="auto"/>
            <w:left w:val="none" w:sz="0" w:space="0" w:color="auto"/>
            <w:bottom w:val="none" w:sz="0" w:space="0" w:color="auto"/>
            <w:right w:val="none" w:sz="0" w:space="0" w:color="auto"/>
          </w:divBdr>
          <w:divsChild>
            <w:div w:id="1856309330">
              <w:marLeft w:val="0"/>
              <w:marRight w:val="0"/>
              <w:marTop w:val="0"/>
              <w:marBottom w:val="0"/>
              <w:divBdr>
                <w:top w:val="none" w:sz="0" w:space="0" w:color="auto"/>
                <w:left w:val="none" w:sz="0" w:space="0" w:color="auto"/>
                <w:bottom w:val="none" w:sz="0" w:space="0" w:color="auto"/>
                <w:right w:val="none" w:sz="0" w:space="0" w:color="auto"/>
              </w:divBdr>
              <w:divsChild>
                <w:div w:id="483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618">
      <w:bodyDiv w:val="1"/>
      <w:marLeft w:val="0"/>
      <w:marRight w:val="0"/>
      <w:marTop w:val="0"/>
      <w:marBottom w:val="0"/>
      <w:divBdr>
        <w:top w:val="none" w:sz="0" w:space="0" w:color="auto"/>
        <w:left w:val="none" w:sz="0" w:space="0" w:color="auto"/>
        <w:bottom w:val="none" w:sz="0" w:space="0" w:color="auto"/>
        <w:right w:val="none" w:sz="0" w:space="0" w:color="auto"/>
      </w:divBdr>
    </w:div>
    <w:div w:id="424035774">
      <w:bodyDiv w:val="1"/>
      <w:marLeft w:val="0"/>
      <w:marRight w:val="0"/>
      <w:marTop w:val="0"/>
      <w:marBottom w:val="0"/>
      <w:divBdr>
        <w:top w:val="none" w:sz="0" w:space="0" w:color="auto"/>
        <w:left w:val="none" w:sz="0" w:space="0" w:color="auto"/>
        <w:bottom w:val="none" w:sz="0" w:space="0" w:color="auto"/>
        <w:right w:val="none" w:sz="0" w:space="0" w:color="auto"/>
      </w:divBdr>
    </w:div>
    <w:div w:id="466317378">
      <w:bodyDiv w:val="1"/>
      <w:marLeft w:val="0"/>
      <w:marRight w:val="0"/>
      <w:marTop w:val="0"/>
      <w:marBottom w:val="0"/>
      <w:divBdr>
        <w:top w:val="none" w:sz="0" w:space="0" w:color="auto"/>
        <w:left w:val="none" w:sz="0" w:space="0" w:color="auto"/>
        <w:bottom w:val="none" w:sz="0" w:space="0" w:color="auto"/>
        <w:right w:val="none" w:sz="0" w:space="0" w:color="auto"/>
      </w:divBdr>
      <w:divsChild>
        <w:div w:id="52167304">
          <w:marLeft w:val="0"/>
          <w:marRight w:val="0"/>
          <w:marTop w:val="0"/>
          <w:marBottom w:val="0"/>
          <w:divBdr>
            <w:top w:val="none" w:sz="0" w:space="0" w:color="auto"/>
            <w:left w:val="none" w:sz="0" w:space="0" w:color="auto"/>
            <w:bottom w:val="none" w:sz="0" w:space="0" w:color="auto"/>
            <w:right w:val="none" w:sz="0" w:space="0" w:color="auto"/>
          </w:divBdr>
          <w:divsChild>
            <w:div w:id="92166691">
              <w:marLeft w:val="0"/>
              <w:marRight w:val="0"/>
              <w:marTop w:val="0"/>
              <w:marBottom w:val="0"/>
              <w:divBdr>
                <w:top w:val="none" w:sz="0" w:space="0" w:color="auto"/>
                <w:left w:val="none" w:sz="0" w:space="0" w:color="auto"/>
                <w:bottom w:val="none" w:sz="0" w:space="0" w:color="auto"/>
                <w:right w:val="none" w:sz="0" w:space="0" w:color="auto"/>
              </w:divBdr>
              <w:divsChild>
                <w:div w:id="1895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7532">
      <w:bodyDiv w:val="1"/>
      <w:marLeft w:val="0"/>
      <w:marRight w:val="0"/>
      <w:marTop w:val="0"/>
      <w:marBottom w:val="0"/>
      <w:divBdr>
        <w:top w:val="none" w:sz="0" w:space="0" w:color="auto"/>
        <w:left w:val="none" w:sz="0" w:space="0" w:color="auto"/>
        <w:bottom w:val="none" w:sz="0" w:space="0" w:color="auto"/>
        <w:right w:val="none" w:sz="0" w:space="0" w:color="auto"/>
      </w:divBdr>
      <w:divsChild>
        <w:div w:id="66151759">
          <w:marLeft w:val="0"/>
          <w:marRight w:val="0"/>
          <w:marTop w:val="0"/>
          <w:marBottom w:val="0"/>
          <w:divBdr>
            <w:top w:val="none" w:sz="0" w:space="0" w:color="auto"/>
            <w:left w:val="none" w:sz="0" w:space="0" w:color="auto"/>
            <w:bottom w:val="none" w:sz="0" w:space="0" w:color="auto"/>
            <w:right w:val="none" w:sz="0" w:space="0" w:color="auto"/>
          </w:divBdr>
          <w:divsChild>
            <w:div w:id="1751153256">
              <w:marLeft w:val="0"/>
              <w:marRight w:val="0"/>
              <w:marTop w:val="0"/>
              <w:marBottom w:val="0"/>
              <w:divBdr>
                <w:top w:val="none" w:sz="0" w:space="0" w:color="auto"/>
                <w:left w:val="none" w:sz="0" w:space="0" w:color="auto"/>
                <w:bottom w:val="none" w:sz="0" w:space="0" w:color="auto"/>
                <w:right w:val="none" w:sz="0" w:space="0" w:color="auto"/>
              </w:divBdr>
              <w:divsChild>
                <w:div w:id="3242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913">
      <w:bodyDiv w:val="1"/>
      <w:marLeft w:val="0"/>
      <w:marRight w:val="0"/>
      <w:marTop w:val="0"/>
      <w:marBottom w:val="0"/>
      <w:divBdr>
        <w:top w:val="none" w:sz="0" w:space="0" w:color="auto"/>
        <w:left w:val="none" w:sz="0" w:space="0" w:color="auto"/>
        <w:bottom w:val="none" w:sz="0" w:space="0" w:color="auto"/>
        <w:right w:val="none" w:sz="0" w:space="0" w:color="auto"/>
      </w:divBdr>
    </w:div>
    <w:div w:id="499779896">
      <w:bodyDiv w:val="1"/>
      <w:marLeft w:val="0"/>
      <w:marRight w:val="0"/>
      <w:marTop w:val="0"/>
      <w:marBottom w:val="0"/>
      <w:divBdr>
        <w:top w:val="none" w:sz="0" w:space="0" w:color="auto"/>
        <w:left w:val="none" w:sz="0" w:space="0" w:color="auto"/>
        <w:bottom w:val="none" w:sz="0" w:space="0" w:color="auto"/>
        <w:right w:val="none" w:sz="0" w:space="0" w:color="auto"/>
      </w:divBdr>
      <w:divsChild>
        <w:div w:id="1695761847">
          <w:marLeft w:val="0"/>
          <w:marRight w:val="0"/>
          <w:marTop w:val="0"/>
          <w:marBottom w:val="0"/>
          <w:divBdr>
            <w:top w:val="none" w:sz="0" w:space="0" w:color="auto"/>
            <w:left w:val="none" w:sz="0" w:space="0" w:color="auto"/>
            <w:bottom w:val="none" w:sz="0" w:space="0" w:color="auto"/>
            <w:right w:val="none" w:sz="0" w:space="0" w:color="auto"/>
          </w:divBdr>
          <w:divsChild>
            <w:div w:id="161818529">
              <w:marLeft w:val="0"/>
              <w:marRight w:val="0"/>
              <w:marTop w:val="0"/>
              <w:marBottom w:val="0"/>
              <w:divBdr>
                <w:top w:val="none" w:sz="0" w:space="0" w:color="auto"/>
                <w:left w:val="none" w:sz="0" w:space="0" w:color="auto"/>
                <w:bottom w:val="none" w:sz="0" w:space="0" w:color="auto"/>
                <w:right w:val="none" w:sz="0" w:space="0" w:color="auto"/>
              </w:divBdr>
              <w:divsChild>
                <w:div w:id="2041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7722">
      <w:bodyDiv w:val="1"/>
      <w:marLeft w:val="0"/>
      <w:marRight w:val="0"/>
      <w:marTop w:val="0"/>
      <w:marBottom w:val="0"/>
      <w:divBdr>
        <w:top w:val="none" w:sz="0" w:space="0" w:color="auto"/>
        <w:left w:val="none" w:sz="0" w:space="0" w:color="auto"/>
        <w:bottom w:val="none" w:sz="0" w:space="0" w:color="auto"/>
        <w:right w:val="none" w:sz="0" w:space="0" w:color="auto"/>
      </w:divBdr>
    </w:div>
    <w:div w:id="536628951">
      <w:bodyDiv w:val="1"/>
      <w:marLeft w:val="0"/>
      <w:marRight w:val="0"/>
      <w:marTop w:val="0"/>
      <w:marBottom w:val="0"/>
      <w:divBdr>
        <w:top w:val="none" w:sz="0" w:space="0" w:color="auto"/>
        <w:left w:val="none" w:sz="0" w:space="0" w:color="auto"/>
        <w:bottom w:val="none" w:sz="0" w:space="0" w:color="auto"/>
        <w:right w:val="none" w:sz="0" w:space="0" w:color="auto"/>
      </w:divBdr>
    </w:div>
    <w:div w:id="550267520">
      <w:bodyDiv w:val="1"/>
      <w:marLeft w:val="0"/>
      <w:marRight w:val="0"/>
      <w:marTop w:val="0"/>
      <w:marBottom w:val="0"/>
      <w:divBdr>
        <w:top w:val="none" w:sz="0" w:space="0" w:color="auto"/>
        <w:left w:val="none" w:sz="0" w:space="0" w:color="auto"/>
        <w:bottom w:val="none" w:sz="0" w:space="0" w:color="auto"/>
        <w:right w:val="none" w:sz="0" w:space="0" w:color="auto"/>
      </w:divBdr>
    </w:div>
    <w:div w:id="680401414">
      <w:bodyDiv w:val="1"/>
      <w:marLeft w:val="0"/>
      <w:marRight w:val="0"/>
      <w:marTop w:val="0"/>
      <w:marBottom w:val="0"/>
      <w:divBdr>
        <w:top w:val="none" w:sz="0" w:space="0" w:color="auto"/>
        <w:left w:val="none" w:sz="0" w:space="0" w:color="auto"/>
        <w:bottom w:val="none" w:sz="0" w:space="0" w:color="auto"/>
        <w:right w:val="none" w:sz="0" w:space="0" w:color="auto"/>
      </w:divBdr>
    </w:div>
    <w:div w:id="743454505">
      <w:bodyDiv w:val="1"/>
      <w:marLeft w:val="0"/>
      <w:marRight w:val="0"/>
      <w:marTop w:val="0"/>
      <w:marBottom w:val="0"/>
      <w:divBdr>
        <w:top w:val="none" w:sz="0" w:space="0" w:color="auto"/>
        <w:left w:val="none" w:sz="0" w:space="0" w:color="auto"/>
        <w:bottom w:val="none" w:sz="0" w:space="0" w:color="auto"/>
        <w:right w:val="none" w:sz="0" w:space="0" w:color="auto"/>
      </w:divBdr>
    </w:div>
    <w:div w:id="761680607">
      <w:bodyDiv w:val="1"/>
      <w:marLeft w:val="0"/>
      <w:marRight w:val="0"/>
      <w:marTop w:val="0"/>
      <w:marBottom w:val="0"/>
      <w:divBdr>
        <w:top w:val="none" w:sz="0" w:space="0" w:color="auto"/>
        <w:left w:val="none" w:sz="0" w:space="0" w:color="auto"/>
        <w:bottom w:val="none" w:sz="0" w:space="0" w:color="auto"/>
        <w:right w:val="none" w:sz="0" w:space="0" w:color="auto"/>
      </w:divBdr>
      <w:divsChild>
        <w:div w:id="1786192623">
          <w:marLeft w:val="0"/>
          <w:marRight w:val="0"/>
          <w:marTop w:val="0"/>
          <w:marBottom w:val="0"/>
          <w:divBdr>
            <w:top w:val="none" w:sz="0" w:space="0" w:color="auto"/>
            <w:left w:val="none" w:sz="0" w:space="0" w:color="auto"/>
            <w:bottom w:val="none" w:sz="0" w:space="0" w:color="auto"/>
            <w:right w:val="none" w:sz="0" w:space="0" w:color="auto"/>
          </w:divBdr>
          <w:divsChild>
            <w:div w:id="1418867104">
              <w:marLeft w:val="0"/>
              <w:marRight w:val="0"/>
              <w:marTop w:val="0"/>
              <w:marBottom w:val="0"/>
              <w:divBdr>
                <w:top w:val="none" w:sz="0" w:space="0" w:color="auto"/>
                <w:left w:val="none" w:sz="0" w:space="0" w:color="auto"/>
                <w:bottom w:val="none" w:sz="0" w:space="0" w:color="auto"/>
                <w:right w:val="none" w:sz="0" w:space="0" w:color="auto"/>
              </w:divBdr>
              <w:divsChild>
                <w:div w:id="17999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3832">
      <w:bodyDiv w:val="1"/>
      <w:marLeft w:val="0"/>
      <w:marRight w:val="0"/>
      <w:marTop w:val="0"/>
      <w:marBottom w:val="0"/>
      <w:divBdr>
        <w:top w:val="none" w:sz="0" w:space="0" w:color="auto"/>
        <w:left w:val="none" w:sz="0" w:space="0" w:color="auto"/>
        <w:bottom w:val="none" w:sz="0" w:space="0" w:color="auto"/>
        <w:right w:val="none" w:sz="0" w:space="0" w:color="auto"/>
      </w:divBdr>
    </w:div>
    <w:div w:id="925000984">
      <w:bodyDiv w:val="1"/>
      <w:marLeft w:val="0"/>
      <w:marRight w:val="0"/>
      <w:marTop w:val="0"/>
      <w:marBottom w:val="0"/>
      <w:divBdr>
        <w:top w:val="none" w:sz="0" w:space="0" w:color="auto"/>
        <w:left w:val="none" w:sz="0" w:space="0" w:color="auto"/>
        <w:bottom w:val="none" w:sz="0" w:space="0" w:color="auto"/>
        <w:right w:val="none" w:sz="0" w:space="0" w:color="auto"/>
      </w:divBdr>
      <w:divsChild>
        <w:div w:id="1747342048">
          <w:marLeft w:val="0"/>
          <w:marRight w:val="0"/>
          <w:marTop w:val="0"/>
          <w:marBottom w:val="0"/>
          <w:divBdr>
            <w:top w:val="none" w:sz="0" w:space="0" w:color="auto"/>
            <w:left w:val="none" w:sz="0" w:space="0" w:color="auto"/>
            <w:bottom w:val="none" w:sz="0" w:space="0" w:color="auto"/>
            <w:right w:val="none" w:sz="0" w:space="0" w:color="auto"/>
          </w:divBdr>
        </w:div>
      </w:divsChild>
    </w:div>
    <w:div w:id="991132103">
      <w:bodyDiv w:val="1"/>
      <w:marLeft w:val="0"/>
      <w:marRight w:val="0"/>
      <w:marTop w:val="0"/>
      <w:marBottom w:val="0"/>
      <w:divBdr>
        <w:top w:val="none" w:sz="0" w:space="0" w:color="auto"/>
        <w:left w:val="none" w:sz="0" w:space="0" w:color="auto"/>
        <w:bottom w:val="none" w:sz="0" w:space="0" w:color="auto"/>
        <w:right w:val="none" w:sz="0" w:space="0" w:color="auto"/>
      </w:divBdr>
    </w:div>
    <w:div w:id="1015427878">
      <w:bodyDiv w:val="1"/>
      <w:marLeft w:val="0"/>
      <w:marRight w:val="0"/>
      <w:marTop w:val="0"/>
      <w:marBottom w:val="0"/>
      <w:divBdr>
        <w:top w:val="none" w:sz="0" w:space="0" w:color="auto"/>
        <w:left w:val="none" w:sz="0" w:space="0" w:color="auto"/>
        <w:bottom w:val="none" w:sz="0" w:space="0" w:color="auto"/>
        <w:right w:val="none" w:sz="0" w:space="0" w:color="auto"/>
      </w:divBdr>
    </w:div>
    <w:div w:id="1038550920">
      <w:bodyDiv w:val="1"/>
      <w:marLeft w:val="0"/>
      <w:marRight w:val="0"/>
      <w:marTop w:val="0"/>
      <w:marBottom w:val="0"/>
      <w:divBdr>
        <w:top w:val="none" w:sz="0" w:space="0" w:color="auto"/>
        <w:left w:val="none" w:sz="0" w:space="0" w:color="auto"/>
        <w:bottom w:val="none" w:sz="0" w:space="0" w:color="auto"/>
        <w:right w:val="none" w:sz="0" w:space="0" w:color="auto"/>
      </w:divBdr>
    </w:div>
    <w:div w:id="1041393947">
      <w:bodyDiv w:val="1"/>
      <w:marLeft w:val="0"/>
      <w:marRight w:val="0"/>
      <w:marTop w:val="0"/>
      <w:marBottom w:val="0"/>
      <w:divBdr>
        <w:top w:val="none" w:sz="0" w:space="0" w:color="auto"/>
        <w:left w:val="none" w:sz="0" w:space="0" w:color="auto"/>
        <w:bottom w:val="none" w:sz="0" w:space="0" w:color="auto"/>
        <w:right w:val="none" w:sz="0" w:space="0" w:color="auto"/>
      </w:divBdr>
    </w:div>
    <w:div w:id="1134062948">
      <w:bodyDiv w:val="1"/>
      <w:marLeft w:val="0"/>
      <w:marRight w:val="0"/>
      <w:marTop w:val="0"/>
      <w:marBottom w:val="0"/>
      <w:divBdr>
        <w:top w:val="none" w:sz="0" w:space="0" w:color="auto"/>
        <w:left w:val="none" w:sz="0" w:space="0" w:color="auto"/>
        <w:bottom w:val="none" w:sz="0" w:space="0" w:color="auto"/>
        <w:right w:val="none" w:sz="0" w:space="0" w:color="auto"/>
      </w:divBdr>
    </w:div>
    <w:div w:id="1206941879">
      <w:bodyDiv w:val="1"/>
      <w:marLeft w:val="0"/>
      <w:marRight w:val="0"/>
      <w:marTop w:val="0"/>
      <w:marBottom w:val="0"/>
      <w:divBdr>
        <w:top w:val="none" w:sz="0" w:space="0" w:color="auto"/>
        <w:left w:val="none" w:sz="0" w:space="0" w:color="auto"/>
        <w:bottom w:val="none" w:sz="0" w:space="0" w:color="auto"/>
        <w:right w:val="none" w:sz="0" w:space="0" w:color="auto"/>
      </w:divBdr>
      <w:divsChild>
        <w:div w:id="1849251734">
          <w:marLeft w:val="0"/>
          <w:marRight w:val="0"/>
          <w:marTop w:val="0"/>
          <w:marBottom w:val="75"/>
          <w:divBdr>
            <w:top w:val="none" w:sz="0" w:space="0" w:color="auto"/>
            <w:left w:val="none" w:sz="0" w:space="0" w:color="auto"/>
            <w:bottom w:val="none" w:sz="0" w:space="0" w:color="auto"/>
            <w:right w:val="none" w:sz="0" w:space="0" w:color="auto"/>
          </w:divBdr>
        </w:div>
      </w:divsChild>
    </w:div>
    <w:div w:id="1231966625">
      <w:bodyDiv w:val="1"/>
      <w:marLeft w:val="0"/>
      <w:marRight w:val="0"/>
      <w:marTop w:val="0"/>
      <w:marBottom w:val="0"/>
      <w:divBdr>
        <w:top w:val="none" w:sz="0" w:space="0" w:color="auto"/>
        <w:left w:val="none" w:sz="0" w:space="0" w:color="auto"/>
        <w:bottom w:val="none" w:sz="0" w:space="0" w:color="auto"/>
        <w:right w:val="none" w:sz="0" w:space="0" w:color="auto"/>
      </w:divBdr>
    </w:div>
    <w:div w:id="1267425570">
      <w:bodyDiv w:val="1"/>
      <w:marLeft w:val="0"/>
      <w:marRight w:val="0"/>
      <w:marTop w:val="0"/>
      <w:marBottom w:val="0"/>
      <w:divBdr>
        <w:top w:val="none" w:sz="0" w:space="0" w:color="auto"/>
        <w:left w:val="none" w:sz="0" w:space="0" w:color="auto"/>
        <w:bottom w:val="none" w:sz="0" w:space="0" w:color="auto"/>
        <w:right w:val="none" w:sz="0" w:space="0" w:color="auto"/>
      </w:divBdr>
    </w:div>
    <w:div w:id="1332484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722">
          <w:marLeft w:val="0"/>
          <w:marRight w:val="0"/>
          <w:marTop w:val="0"/>
          <w:marBottom w:val="0"/>
          <w:divBdr>
            <w:top w:val="none" w:sz="0" w:space="0" w:color="auto"/>
            <w:left w:val="none" w:sz="0" w:space="0" w:color="auto"/>
            <w:bottom w:val="none" w:sz="0" w:space="0" w:color="auto"/>
            <w:right w:val="none" w:sz="0" w:space="0" w:color="auto"/>
          </w:divBdr>
          <w:divsChild>
            <w:div w:id="1818453722">
              <w:marLeft w:val="0"/>
              <w:marRight w:val="0"/>
              <w:marTop w:val="0"/>
              <w:marBottom w:val="0"/>
              <w:divBdr>
                <w:top w:val="none" w:sz="0" w:space="0" w:color="auto"/>
                <w:left w:val="none" w:sz="0" w:space="0" w:color="auto"/>
                <w:bottom w:val="none" w:sz="0" w:space="0" w:color="auto"/>
                <w:right w:val="none" w:sz="0" w:space="0" w:color="auto"/>
              </w:divBdr>
              <w:divsChild>
                <w:div w:id="7193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8731">
      <w:bodyDiv w:val="1"/>
      <w:marLeft w:val="0"/>
      <w:marRight w:val="0"/>
      <w:marTop w:val="0"/>
      <w:marBottom w:val="0"/>
      <w:divBdr>
        <w:top w:val="none" w:sz="0" w:space="0" w:color="auto"/>
        <w:left w:val="none" w:sz="0" w:space="0" w:color="auto"/>
        <w:bottom w:val="none" w:sz="0" w:space="0" w:color="auto"/>
        <w:right w:val="none" w:sz="0" w:space="0" w:color="auto"/>
      </w:divBdr>
    </w:div>
    <w:div w:id="1376393591">
      <w:bodyDiv w:val="1"/>
      <w:marLeft w:val="0"/>
      <w:marRight w:val="0"/>
      <w:marTop w:val="0"/>
      <w:marBottom w:val="0"/>
      <w:divBdr>
        <w:top w:val="none" w:sz="0" w:space="0" w:color="auto"/>
        <w:left w:val="none" w:sz="0" w:space="0" w:color="auto"/>
        <w:bottom w:val="none" w:sz="0" w:space="0" w:color="auto"/>
        <w:right w:val="none" w:sz="0" w:space="0" w:color="auto"/>
      </w:divBdr>
      <w:divsChild>
        <w:div w:id="1670404644">
          <w:marLeft w:val="0"/>
          <w:marRight w:val="0"/>
          <w:marTop w:val="0"/>
          <w:marBottom w:val="0"/>
          <w:divBdr>
            <w:top w:val="none" w:sz="0" w:space="0" w:color="auto"/>
            <w:left w:val="none" w:sz="0" w:space="0" w:color="auto"/>
            <w:bottom w:val="none" w:sz="0" w:space="0" w:color="auto"/>
            <w:right w:val="none" w:sz="0" w:space="0" w:color="auto"/>
          </w:divBdr>
        </w:div>
      </w:divsChild>
    </w:div>
    <w:div w:id="1385445203">
      <w:bodyDiv w:val="1"/>
      <w:marLeft w:val="0"/>
      <w:marRight w:val="0"/>
      <w:marTop w:val="0"/>
      <w:marBottom w:val="0"/>
      <w:divBdr>
        <w:top w:val="none" w:sz="0" w:space="0" w:color="auto"/>
        <w:left w:val="none" w:sz="0" w:space="0" w:color="auto"/>
        <w:bottom w:val="none" w:sz="0" w:space="0" w:color="auto"/>
        <w:right w:val="none" w:sz="0" w:space="0" w:color="auto"/>
      </w:divBdr>
    </w:div>
    <w:div w:id="1395615709">
      <w:bodyDiv w:val="1"/>
      <w:marLeft w:val="0"/>
      <w:marRight w:val="0"/>
      <w:marTop w:val="0"/>
      <w:marBottom w:val="0"/>
      <w:divBdr>
        <w:top w:val="none" w:sz="0" w:space="0" w:color="auto"/>
        <w:left w:val="none" w:sz="0" w:space="0" w:color="auto"/>
        <w:bottom w:val="none" w:sz="0" w:space="0" w:color="auto"/>
        <w:right w:val="none" w:sz="0" w:space="0" w:color="auto"/>
      </w:divBdr>
    </w:div>
    <w:div w:id="1407536023">
      <w:bodyDiv w:val="1"/>
      <w:marLeft w:val="0"/>
      <w:marRight w:val="0"/>
      <w:marTop w:val="0"/>
      <w:marBottom w:val="0"/>
      <w:divBdr>
        <w:top w:val="none" w:sz="0" w:space="0" w:color="auto"/>
        <w:left w:val="none" w:sz="0" w:space="0" w:color="auto"/>
        <w:bottom w:val="none" w:sz="0" w:space="0" w:color="auto"/>
        <w:right w:val="none" w:sz="0" w:space="0" w:color="auto"/>
      </w:divBdr>
    </w:div>
    <w:div w:id="1421102956">
      <w:bodyDiv w:val="1"/>
      <w:marLeft w:val="0"/>
      <w:marRight w:val="0"/>
      <w:marTop w:val="0"/>
      <w:marBottom w:val="0"/>
      <w:divBdr>
        <w:top w:val="none" w:sz="0" w:space="0" w:color="auto"/>
        <w:left w:val="none" w:sz="0" w:space="0" w:color="auto"/>
        <w:bottom w:val="none" w:sz="0" w:space="0" w:color="auto"/>
        <w:right w:val="none" w:sz="0" w:space="0" w:color="auto"/>
      </w:divBdr>
      <w:divsChild>
        <w:div w:id="412557568">
          <w:marLeft w:val="0"/>
          <w:marRight w:val="0"/>
          <w:marTop w:val="0"/>
          <w:marBottom w:val="0"/>
          <w:divBdr>
            <w:top w:val="none" w:sz="0" w:space="0" w:color="auto"/>
            <w:left w:val="none" w:sz="0" w:space="0" w:color="auto"/>
            <w:bottom w:val="none" w:sz="0" w:space="0" w:color="auto"/>
            <w:right w:val="none" w:sz="0" w:space="0" w:color="auto"/>
          </w:divBdr>
        </w:div>
      </w:divsChild>
    </w:div>
    <w:div w:id="1447694305">
      <w:bodyDiv w:val="1"/>
      <w:marLeft w:val="0"/>
      <w:marRight w:val="0"/>
      <w:marTop w:val="0"/>
      <w:marBottom w:val="0"/>
      <w:divBdr>
        <w:top w:val="none" w:sz="0" w:space="0" w:color="auto"/>
        <w:left w:val="none" w:sz="0" w:space="0" w:color="auto"/>
        <w:bottom w:val="none" w:sz="0" w:space="0" w:color="auto"/>
        <w:right w:val="none" w:sz="0" w:space="0" w:color="auto"/>
      </w:divBdr>
    </w:div>
    <w:div w:id="1483352414">
      <w:bodyDiv w:val="1"/>
      <w:marLeft w:val="0"/>
      <w:marRight w:val="0"/>
      <w:marTop w:val="0"/>
      <w:marBottom w:val="0"/>
      <w:divBdr>
        <w:top w:val="none" w:sz="0" w:space="0" w:color="auto"/>
        <w:left w:val="none" w:sz="0" w:space="0" w:color="auto"/>
        <w:bottom w:val="none" w:sz="0" w:space="0" w:color="auto"/>
        <w:right w:val="none" w:sz="0" w:space="0" w:color="auto"/>
      </w:divBdr>
    </w:div>
    <w:div w:id="1525090639">
      <w:bodyDiv w:val="1"/>
      <w:marLeft w:val="0"/>
      <w:marRight w:val="0"/>
      <w:marTop w:val="0"/>
      <w:marBottom w:val="0"/>
      <w:divBdr>
        <w:top w:val="none" w:sz="0" w:space="0" w:color="auto"/>
        <w:left w:val="none" w:sz="0" w:space="0" w:color="auto"/>
        <w:bottom w:val="none" w:sz="0" w:space="0" w:color="auto"/>
        <w:right w:val="none" w:sz="0" w:space="0" w:color="auto"/>
      </w:divBdr>
    </w:div>
    <w:div w:id="1539002262">
      <w:bodyDiv w:val="1"/>
      <w:marLeft w:val="0"/>
      <w:marRight w:val="0"/>
      <w:marTop w:val="0"/>
      <w:marBottom w:val="0"/>
      <w:divBdr>
        <w:top w:val="none" w:sz="0" w:space="0" w:color="auto"/>
        <w:left w:val="none" w:sz="0" w:space="0" w:color="auto"/>
        <w:bottom w:val="none" w:sz="0" w:space="0" w:color="auto"/>
        <w:right w:val="none" w:sz="0" w:space="0" w:color="auto"/>
      </w:divBdr>
    </w:div>
    <w:div w:id="1572538818">
      <w:bodyDiv w:val="1"/>
      <w:marLeft w:val="0"/>
      <w:marRight w:val="0"/>
      <w:marTop w:val="0"/>
      <w:marBottom w:val="0"/>
      <w:divBdr>
        <w:top w:val="none" w:sz="0" w:space="0" w:color="auto"/>
        <w:left w:val="none" w:sz="0" w:space="0" w:color="auto"/>
        <w:bottom w:val="none" w:sz="0" w:space="0" w:color="auto"/>
        <w:right w:val="none" w:sz="0" w:space="0" w:color="auto"/>
      </w:divBdr>
    </w:div>
    <w:div w:id="1621912609">
      <w:bodyDiv w:val="1"/>
      <w:marLeft w:val="0"/>
      <w:marRight w:val="0"/>
      <w:marTop w:val="0"/>
      <w:marBottom w:val="0"/>
      <w:divBdr>
        <w:top w:val="none" w:sz="0" w:space="0" w:color="auto"/>
        <w:left w:val="none" w:sz="0" w:space="0" w:color="auto"/>
        <w:bottom w:val="none" w:sz="0" w:space="0" w:color="auto"/>
        <w:right w:val="none" w:sz="0" w:space="0" w:color="auto"/>
      </w:divBdr>
    </w:div>
    <w:div w:id="1673992572">
      <w:bodyDiv w:val="1"/>
      <w:marLeft w:val="0"/>
      <w:marRight w:val="0"/>
      <w:marTop w:val="0"/>
      <w:marBottom w:val="0"/>
      <w:divBdr>
        <w:top w:val="none" w:sz="0" w:space="0" w:color="auto"/>
        <w:left w:val="none" w:sz="0" w:space="0" w:color="auto"/>
        <w:bottom w:val="none" w:sz="0" w:space="0" w:color="auto"/>
        <w:right w:val="none" w:sz="0" w:space="0" w:color="auto"/>
      </w:divBdr>
      <w:divsChild>
        <w:div w:id="562300868">
          <w:marLeft w:val="0"/>
          <w:marRight w:val="0"/>
          <w:marTop w:val="0"/>
          <w:marBottom w:val="0"/>
          <w:divBdr>
            <w:top w:val="none" w:sz="0" w:space="0" w:color="auto"/>
            <w:left w:val="none" w:sz="0" w:space="0" w:color="auto"/>
            <w:bottom w:val="none" w:sz="0" w:space="0" w:color="auto"/>
            <w:right w:val="none" w:sz="0" w:space="0" w:color="auto"/>
          </w:divBdr>
          <w:divsChild>
            <w:div w:id="1822580086">
              <w:marLeft w:val="0"/>
              <w:marRight w:val="0"/>
              <w:marTop w:val="0"/>
              <w:marBottom w:val="0"/>
              <w:divBdr>
                <w:top w:val="none" w:sz="0" w:space="0" w:color="auto"/>
                <w:left w:val="none" w:sz="0" w:space="0" w:color="auto"/>
                <w:bottom w:val="none" w:sz="0" w:space="0" w:color="auto"/>
                <w:right w:val="none" w:sz="0" w:space="0" w:color="auto"/>
              </w:divBdr>
            </w:div>
          </w:divsChild>
        </w:div>
        <w:div w:id="1119059245">
          <w:marLeft w:val="0"/>
          <w:marRight w:val="0"/>
          <w:marTop w:val="0"/>
          <w:marBottom w:val="0"/>
          <w:divBdr>
            <w:top w:val="none" w:sz="0" w:space="0" w:color="auto"/>
            <w:left w:val="none" w:sz="0" w:space="0" w:color="auto"/>
            <w:bottom w:val="none" w:sz="0" w:space="0" w:color="auto"/>
            <w:right w:val="none" w:sz="0" w:space="0" w:color="auto"/>
          </w:divBdr>
          <w:divsChild>
            <w:div w:id="107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6898">
      <w:bodyDiv w:val="1"/>
      <w:marLeft w:val="0"/>
      <w:marRight w:val="0"/>
      <w:marTop w:val="0"/>
      <w:marBottom w:val="0"/>
      <w:divBdr>
        <w:top w:val="none" w:sz="0" w:space="0" w:color="auto"/>
        <w:left w:val="none" w:sz="0" w:space="0" w:color="auto"/>
        <w:bottom w:val="none" w:sz="0" w:space="0" w:color="auto"/>
        <w:right w:val="none" w:sz="0" w:space="0" w:color="auto"/>
      </w:divBdr>
    </w:div>
    <w:div w:id="1682049657">
      <w:bodyDiv w:val="1"/>
      <w:marLeft w:val="0"/>
      <w:marRight w:val="0"/>
      <w:marTop w:val="0"/>
      <w:marBottom w:val="0"/>
      <w:divBdr>
        <w:top w:val="none" w:sz="0" w:space="0" w:color="auto"/>
        <w:left w:val="none" w:sz="0" w:space="0" w:color="auto"/>
        <w:bottom w:val="none" w:sz="0" w:space="0" w:color="auto"/>
        <w:right w:val="none" w:sz="0" w:space="0" w:color="auto"/>
      </w:divBdr>
      <w:divsChild>
        <w:div w:id="1733962407">
          <w:marLeft w:val="0"/>
          <w:marRight w:val="0"/>
          <w:marTop w:val="240"/>
          <w:marBottom w:val="0"/>
          <w:divBdr>
            <w:top w:val="none" w:sz="0" w:space="0" w:color="auto"/>
            <w:left w:val="none" w:sz="0" w:space="0" w:color="auto"/>
            <w:bottom w:val="none" w:sz="0" w:space="0" w:color="auto"/>
            <w:right w:val="none" w:sz="0" w:space="0" w:color="auto"/>
          </w:divBdr>
        </w:div>
      </w:divsChild>
    </w:div>
    <w:div w:id="1700623951">
      <w:bodyDiv w:val="1"/>
      <w:marLeft w:val="0"/>
      <w:marRight w:val="0"/>
      <w:marTop w:val="0"/>
      <w:marBottom w:val="0"/>
      <w:divBdr>
        <w:top w:val="none" w:sz="0" w:space="0" w:color="auto"/>
        <w:left w:val="none" w:sz="0" w:space="0" w:color="auto"/>
        <w:bottom w:val="none" w:sz="0" w:space="0" w:color="auto"/>
        <w:right w:val="none" w:sz="0" w:space="0" w:color="auto"/>
      </w:divBdr>
    </w:div>
    <w:div w:id="1745957872">
      <w:bodyDiv w:val="1"/>
      <w:marLeft w:val="0"/>
      <w:marRight w:val="0"/>
      <w:marTop w:val="0"/>
      <w:marBottom w:val="0"/>
      <w:divBdr>
        <w:top w:val="none" w:sz="0" w:space="0" w:color="auto"/>
        <w:left w:val="none" w:sz="0" w:space="0" w:color="auto"/>
        <w:bottom w:val="none" w:sz="0" w:space="0" w:color="auto"/>
        <w:right w:val="none" w:sz="0" w:space="0" w:color="auto"/>
      </w:divBdr>
    </w:div>
    <w:div w:id="1816487720">
      <w:bodyDiv w:val="1"/>
      <w:marLeft w:val="0"/>
      <w:marRight w:val="0"/>
      <w:marTop w:val="0"/>
      <w:marBottom w:val="0"/>
      <w:divBdr>
        <w:top w:val="none" w:sz="0" w:space="0" w:color="auto"/>
        <w:left w:val="none" w:sz="0" w:space="0" w:color="auto"/>
        <w:bottom w:val="none" w:sz="0" w:space="0" w:color="auto"/>
        <w:right w:val="none" w:sz="0" w:space="0" w:color="auto"/>
      </w:divBdr>
    </w:div>
    <w:div w:id="1858276968">
      <w:bodyDiv w:val="1"/>
      <w:marLeft w:val="0"/>
      <w:marRight w:val="0"/>
      <w:marTop w:val="0"/>
      <w:marBottom w:val="0"/>
      <w:divBdr>
        <w:top w:val="none" w:sz="0" w:space="0" w:color="auto"/>
        <w:left w:val="none" w:sz="0" w:space="0" w:color="auto"/>
        <w:bottom w:val="none" w:sz="0" w:space="0" w:color="auto"/>
        <w:right w:val="none" w:sz="0" w:space="0" w:color="auto"/>
      </w:divBdr>
      <w:divsChild>
        <w:div w:id="1689913758">
          <w:marLeft w:val="0"/>
          <w:marRight w:val="0"/>
          <w:marTop w:val="0"/>
          <w:marBottom w:val="0"/>
          <w:divBdr>
            <w:top w:val="none" w:sz="0" w:space="0" w:color="auto"/>
            <w:left w:val="none" w:sz="0" w:space="0" w:color="auto"/>
            <w:bottom w:val="none" w:sz="0" w:space="0" w:color="auto"/>
            <w:right w:val="none" w:sz="0" w:space="0" w:color="auto"/>
          </w:divBdr>
          <w:divsChild>
            <w:div w:id="2126151535">
              <w:marLeft w:val="0"/>
              <w:marRight w:val="0"/>
              <w:marTop w:val="0"/>
              <w:marBottom w:val="0"/>
              <w:divBdr>
                <w:top w:val="none" w:sz="0" w:space="0" w:color="auto"/>
                <w:left w:val="none" w:sz="0" w:space="0" w:color="auto"/>
                <w:bottom w:val="none" w:sz="0" w:space="0" w:color="auto"/>
                <w:right w:val="none" w:sz="0" w:space="0" w:color="auto"/>
              </w:divBdr>
              <w:divsChild>
                <w:div w:id="1283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5459">
      <w:bodyDiv w:val="1"/>
      <w:marLeft w:val="0"/>
      <w:marRight w:val="0"/>
      <w:marTop w:val="0"/>
      <w:marBottom w:val="0"/>
      <w:divBdr>
        <w:top w:val="none" w:sz="0" w:space="0" w:color="auto"/>
        <w:left w:val="none" w:sz="0" w:space="0" w:color="auto"/>
        <w:bottom w:val="none" w:sz="0" w:space="0" w:color="auto"/>
        <w:right w:val="none" w:sz="0" w:space="0" w:color="auto"/>
      </w:divBdr>
      <w:divsChild>
        <w:div w:id="1361854641">
          <w:marLeft w:val="0"/>
          <w:marRight w:val="0"/>
          <w:marTop w:val="0"/>
          <w:marBottom w:val="0"/>
          <w:divBdr>
            <w:top w:val="none" w:sz="0" w:space="0" w:color="auto"/>
            <w:left w:val="none" w:sz="0" w:space="0" w:color="auto"/>
            <w:bottom w:val="none" w:sz="0" w:space="0" w:color="auto"/>
            <w:right w:val="none" w:sz="0" w:space="0" w:color="auto"/>
          </w:divBdr>
          <w:divsChild>
            <w:div w:id="260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649">
      <w:bodyDiv w:val="1"/>
      <w:marLeft w:val="0"/>
      <w:marRight w:val="0"/>
      <w:marTop w:val="0"/>
      <w:marBottom w:val="0"/>
      <w:divBdr>
        <w:top w:val="none" w:sz="0" w:space="0" w:color="auto"/>
        <w:left w:val="none" w:sz="0" w:space="0" w:color="auto"/>
        <w:bottom w:val="none" w:sz="0" w:space="0" w:color="auto"/>
        <w:right w:val="none" w:sz="0" w:space="0" w:color="auto"/>
      </w:divBdr>
      <w:divsChild>
        <w:div w:id="368141899">
          <w:marLeft w:val="0"/>
          <w:marRight w:val="0"/>
          <w:marTop w:val="0"/>
          <w:marBottom w:val="0"/>
          <w:divBdr>
            <w:top w:val="none" w:sz="0" w:space="0" w:color="auto"/>
            <w:left w:val="none" w:sz="0" w:space="0" w:color="auto"/>
            <w:bottom w:val="none" w:sz="0" w:space="0" w:color="auto"/>
            <w:right w:val="none" w:sz="0" w:space="0" w:color="auto"/>
          </w:divBdr>
        </w:div>
      </w:divsChild>
    </w:div>
    <w:div w:id="1912696702">
      <w:bodyDiv w:val="1"/>
      <w:marLeft w:val="0"/>
      <w:marRight w:val="0"/>
      <w:marTop w:val="0"/>
      <w:marBottom w:val="0"/>
      <w:divBdr>
        <w:top w:val="none" w:sz="0" w:space="0" w:color="auto"/>
        <w:left w:val="none" w:sz="0" w:space="0" w:color="auto"/>
        <w:bottom w:val="none" w:sz="0" w:space="0" w:color="auto"/>
        <w:right w:val="none" w:sz="0" w:space="0" w:color="auto"/>
      </w:divBdr>
    </w:div>
    <w:div w:id="1927877215">
      <w:bodyDiv w:val="1"/>
      <w:marLeft w:val="0"/>
      <w:marRight w:val="0"/>
      <w:marTop w:val="0"/>
      <w:marBottom w:val="0"/>
      <w:divBdr>
        <w:top w:val="none" w:sz="0" w:space="0" w:color="auto"/>
        <w:left w:val="none" w:sz="0" w:space="0" w:color="auto"/>
        <w:bottom w:val="none" w:sz="0" w:space="0" w:color="auto"/>
        <w:right w:val="none" w:sz="0" w:space="0" w:color="auto"/>
      </w:divBdr>
    </w:div>
    <w:div w:id="1946573910">
      <w:bodyDiv w:val="1"/>
      <w:marLeft w:val="0"/>
      <w:marRight w:val="0"/>
      <w:marTop w:val="0"/>
      <w:marBottom w:val="0"/>
      <w:divBdr>
        <w:top w:val="none" w:sz="0" w:space="0" w:color="auto"/>
        <w:left w:val="none" w:sz="0" w:space="0" w:color="auto"/>
        <w:bottom w:val="none" w:sz="0" w:space="0" w:color="auto"/>
        <w:right w:val="none" w:sz="0" w:space="0" w:color="auto"/>
      </w:divBdr>
      <w:divsChild>
        <w:div w:id="2111778585">
          <w:marLeft w:val="0"/>
          <w:marRight w:val="0"/>
          <w:marTop w:val="0"/>
          <w:marBottom w:val="0"/>
          <w:divBdr>
            <w:top w:val="none" w:sz="0" w:space="0" w:color="auto"/>
            <w:left w:val="none" w:sz="0" w:space="0" w:color="auto"/>
            <w:bottom w:val="none" w:sz="0" w:space="0" w:color="auto"/>
            <w:right w:val="none" w:sz="0" w:space="0" w:color="auto"/>
          </w:divBdr>
          <w:divsChild>
            <w:div w:id="1622417784">
              <w:marLeft w:val="0"/>
              <w:marRight w:val="0"/>
              <w:marTop w:val="0"/>
              <w:marBottom w:val="0"/>
              <w:divBdr>
                <w:top w:val="none" w:sz="0" w:space="0" w:color="auto"/>
                <w:left w:val="none" w:sz="0" w:space="0" w:color="auto"/>
                <w:bottom w:val="none" w:sz="0" w:space="0" w:color="auto"/>
                <w:right w:val="none" w:sz="0" w:space="0" w:color="auto"/>
              </w:divBdr>
              <w:divsChild>
                <w:div w:id="1624923652">
                  <w:marLeft w:val="0"/>
                  <w:marRight w:val="0"/>
                  <w:marTop w:val="0"/>
                  <w:marBottom w:val="0"/>
                  <w:divBdr>
                    <w:top w:val="none" w:sz="0" w:space="0" w:color="auto"/>
                    <w:left w:val="none" w:sz="0" w:space="0" w:color="auto"/>
                    <w:bottom w:val="none" w:sz="0" w:space="0" w:color="auto"/>
                    <w:right w:val="none" w:sz="0" w:space="0" w:color="auto"/>
                  </w:divBdr>
                  <w:divsChild>
                    <w:div w:id="18053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9894">
      <w:bodyDiv w:val="1"/>
      <w:marLeft w:val="0"/>
      <w:marRight w:val="0"/>
      <w:marTop w:val="0"/>
      <w:marBottom w:val="0"/>
      <w:divBdr>
        <w:top w:val="none" w:sz="0" w:space="0" w:color="auto"/>
        <w:left w:val="none" w:sz="0" w:space="0" w:color="auto"/>
        <w:bottom w:val="none" w:sz="0" w:space="0" w:color="auto"/>
        <w:right w:val="none" w:sz="0" w:space="0" w:color="auto"/>
      </w:divBdr>
      <w:divsChild>
        <w:div w:id="263004312">
          <w:marLeft w:val="300"/>
          <w:marRight w:val="0"/>
          <w:marTop w:val="120"/>
          <w:marBottom w:val="120"/>
          <w:divBdr>
            <w:top w:val="none" w:sz="0" w:space="0" w:color="auto"/>
            <w:left w:val="none" w:sz="0" w:space="0" w:color="auto"/>
            <w:bottom w:val="none" w:sz="0" w:space="0" w:color="auto"/>
            <w:right w:val="none" w:sz="0" w:space="0" w:color="auto"/>
          </w:divBdr>
        </w:div>
      </w:divsChild>
    </w:div>
    <w:div w:id="1963032139">
      <w:bodyDiv w:val="1"/>
      <w:marLeft w:val="0"/>
      <w:marRight w:val="0"/>
      <w:marTop w:val="0"/>
      <w:marBottom w:val="0"/>
      <w:divBdr>
        <w:top w:val="none" w:sz="0" w:space="0" w:color="auto"/>
        <w:left w:val="none" w:sz="0" w:space="0" w:color="auto"/>
        <w:bottom w:val="none" w:sz="0" w:space="0" w:color="auto"/>
        <w:right w:val="none" w:sz="0" w:space="0" w:color="auto"/>
      </w:divBdr>
    </w:div>
    <w:div w:id="1967422556">
      <w:bodyDiv w:val="1"/>
      <w:marLeft w:val="0"/>
      <w:marRight w:val="0"/>
      <w:marTop w:val="0"/>
      <w:marBottom w:val="0"/>
      <w:divBdr>
        <w:top w:val="none" w:sz="0" w:space="0" w:color="auto"/>
        <w:left w:val="none" w:sz="0" w:space="0" w:color="auto"/>
        <w:bottom w:val="none" w:sz="0" w:space="0" w:color="auto"/>
        <w:right w:val="none" w:sz="0" w:space="0" w:color="auto"/>
      </w:divBdr>
    </w:div>
    <w:div w:id="2002079369">
      <w:bodyDiv w:val="1"/>
      <w:marLeft w:val="0"/>
      <w:marRight w:val="0"/>
      <w:marTop w:val="0"/>
      <w:marBottom w:val="0"/>
      <w:divBdr>
        <w:top w:val="none" w:sz="0" w:space="0" w:color="auto"/>
        <w:left w:val="none" w:sz="0" w:space="0" w:color="auto"/>
        <w:bottom w:val="none" w:sz="0" w:space="0" w:color="auto"/>
        <w:right w:val="none" w:sz="0" w:space="0" w:color="auto"/>
      </w:divBdr>
    </w:div>
    <w:div w:id="2025285879">
      <w:bodyDiv w:val="1"/>
      <w:marLeft w:val="0"/>
      <w:marRight w:val="0"/>
      <w:marTop w:val="0"/>
      <w:marBottom w:val="0"/>
      <w:divBdr>
        <w:top w:val="none" w:sz="0" w:space="0" w:color="auto"/>
        <w:left w:val="none" w:sz="0" w:space="0" w:color="auto"/>
        <w:bottom w:val="none" w:sz="0" w:space="0" w:color="auto"/>
        <w:right w:val="none" w:sz="0" w:space="0" w:color="auto"/>
      </w:divBdr>
    </w:div>
    <w:div w:id="2035963274">
      <w:bodyDiv w:val="1"/>
      <w:marLeft w:val="0"/>
      <w:marRight w:val="0"/>
      <w:marTop w:val="0"/>
      <w:marBottom w:val="0"/>
      <w:divBdr>
        <w:top w:val="none" w:sz="0" w:space="0" w:color="auto"/>
        <w:left w:val="none" w:sz="0" w:space="0" w:color="auto"/>
        <w:bottom w:val="none" w:sz="0" w:space="0" w:color="auto"/>
        <w:right w:val="none" w:sz="0" w:space="0" w:color="auto"/>
      </w:divBdr>
    </w:div>
    <w:div w:id="2084981431">
      <w:bodyDiv w:val="1"/>
      <w:marLeft w:val="0"/>
      <w:marRight w:val="0"/>
      <w:marTop w:val="0"/>
      <w:marBottom w:val="0"/>
      <w:divBdr>
        <w:top w:val="none" w:sz="0" w:space="0" w:color="auto"/>
        <w:left w:val="none" w:sz="0" w:space="0" w:color="auto"/>
        <w:bottom w:val="none" w:sz="0" w:space="0" w:color="auto"/>
        <w:right w:val="none" w:sz="0" w:space="0" w:color="auto"/>
      </w:divBdr>
    </w:div>
    <w:div w:id="214060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D837-252B-1049-973D-559B873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26</Pages>
  <Words>7365</Words>
  <Characters>41984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James Winkley</dc:creator>
  <cp:keywords/>
  <dc:description/>
  <cp:lastModifiedBy>myles winkley</cp:lastModifiedBy>
  <cp:revision>23</cp:revision>
  <cp:lastPrinted>2024-01-26T15:06:00Z</cp:lastPrinted>
  <dcterms:created xsi:type="dcterms:W3CDTF">2022-05-09T21:04:00Z</dcterms:created>
  <dcterms:modified xsi:type="dcterms:W3CDTF">2024-01-31T10:09:00Z</dcterms:modified>
</cp:coreProperties>
</file>