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Piotr R. pismem z dnia 11 kwietnia 2025 r. zawiadomił Prokuraturę Rejonową w P., że „został oszukany w dniu 3 stycznia 2025 r. w P., przez Jana W. i Krzysztofa D., działających jako osoby fizyczne w ramach dwuosobowej spółki cywilnej o nazwie „Solidni”, mającej zajmować się robotami remontowymi w domach i mieszkaniach, w ten sposób, że po uzgodnieniu z ww. osobami warunków finansowych i technicznych ułożenia podłogi z paneli podłogowych w jego domu  jednorodzinnym znajdującym się przy ul. Rekinowej 7 w P., przekazał im tego samego dnia z tego tytułu gotówkę w kwocie 10.000 zł (otrzymał na tę okoliczność stosowne pokwitowanie). Położenie paneli miało być zrealizowane profesjonalnie – zgodnie z podpisaną umową PP 17/25 z 3.01.2025 r.  – w terminie do końca stycznia 2025 r., jednak czynność ta nie została w ogóle zrealizowana, zaś Jan W. i Krzysztof D. unikają z nim kontaktu pisemnego, telefonicznego, mailowego i osobistego”. Do zawiadomienia pokrzywdzony dołączył umowę i pokwitowanie przyjęcia przez Jana W. i Krzysztofa D. gotówki. Prokurator wszczął w sprawie postępowanie przygotowawcze o czyn z art. 286 § 1 k.k.  </w:t>
      </w:r>
    </w:p>
    <w:p w:rsidR="00000000" w:rsidDel="00000000" w:rsidP="00000000" w:rsidRDefault="00000000" w:rsidRPr="00000000" w14:paraId="00000004">
      <w:pPr>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Po dokonaniu niezbędnych czynności dowodowych (m.in. przesłuchaniu pokrzywdzonego, analizie umowy PP 17/25 oraz pokwitowania; dokonaniu oględzin domu pokrzywdzonego, które wykazały, że umowa w istocie nie została zrealizowana) i przedstawieniu przez prokuratora w dniu 25 kwietnia 2025 r. zarzutu Janowi W. i Krzysztofowi D.  z art. 286 § 1 k.k. w formule działania wspólnie i w porozumieniu, podejrzani złożyli krótkie wyjaśnienia wskazując, że „zrozumieli co się im zarzuca, jednak nie przyznają się do postawionego im zarzutu oraz winy i odmawiają składania dalszych wyjaśnień”.  </w:t>
      </w:r>
    </w:p>
    <w:p w:rsidR="00000000" w:rsidDel="00000000" w:rsidP="00000000" w:rsidRDefault="00000000" w:rsidRPr="00000000" w14:paraId="00000005">
      <w:pPr>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Podejrzany Jan W., bezpośrednio po przeprowadzonej czynności przedstawienia zarzutu i przesłuchaniu, udał się do Kancelarii Radcy Prawnego Izydora F. „Dura lex sed lex” w P., w celu uzyskania porady prawnej. Udzielił ww. radcy prawnemu pisemnego upoważnienia do obrony w prowadzonej sprawie karnej z art. 286 § 1 k.k. Przedstawił następnie radcy prawnemu swoją sytuację, okoliczności zawarcia umowy PP 17/25, przyjęcia pieniędzy od Piotra R. na poczet realizacji tej umowy. W prowadzonej rozmowie, odnosząc się do powodów niewywiązania się z umowy, ograniczył się do stwierdzenia, że „generalnie nie mają one sensownego usprawiedliwienia”. Radca prawny Izydor F., na pytanie Jana W. jak ma się dalej w procesie zachować,  poradził mu, aby „nadal nie przyznawał się do winy, bo nie ma na niego mocnych dowodów”.  Nic więcej swemu klientowi nie powiedział, bo nie należał do ludzi rozmownych, hołdował zasadzie, iż „mówienie jest srebrem, zaś milczenie złotem”. Jan W., po uregulowaniu wynagrodzenia z tytułu umocowania obrońcy do udziału w sprawie i udzielonej porady,  opuścił Kancelarię i udał się do siedziby Prokuratury Rejonowej w P., gdzie złożył do akt sprawy pisemne upoważnienie do obrony, którego udzielił radcy prawnemu Izydorowi F., a następnie udał się do domu. Myślał wieczorem i w nocy (trapiła go bezsenność) o swojej sytuacji, w tym o wizycie u radcy prawnego. Po tych przemyśleniach finalnie doszedł do wniosku, że nie jest z tej wizyty zadowolony. Radca prawny Izydor F. wydał mu się, oceniając rzecz „na chłodno”, gburowaty i mrukowaty, nieskory do dłuższej rozmowy. Nie tak zaś wyobrażał sobie dobrego „mecenasa”. Rano, 26 kwietnia 2025 r., ponownie stawił się więc w Kancelarii Radcy Prawnego Izydora F. „Dura lex sed lex” w P. i pisemnie wypowiedział stosunek obrończy, wręczając pismo wypowiadające bezpośrednio radcy prawnemu. Udał się następnie do innego radcy prawnego – Leona Majstra, działającego w ramach Kancelarii „Ius et lex” w P. i uznawszy po rozmowie z nim, że jest to osoba „wygadana”, niezwykle kompetentna, wręcz błyskotliwa – radcę prawnego Leona Majstra   pisemnie umocował jako swego obrońcę w toczącym się postępowaniu karnym z art. 286 § 1 k.k. Następnie dokument wypowiadający stosunek obrończy radcy prawnemu Izydorowi F. oraz upoważnienie do obrony udzielone radcy prawnemu Leonowi Majstrowi podejrzany zaniósł do siedziby Prokuratury Rejonowej w P. Oba dokumenty dołączono do akt sprawy. </w:t>
      </w:r>
    </w:p>
    <w:p w:rsidR="00000000" w:rsidDel="00000000" w:rsidP="00000000" w:rsidRDefault="00000000" w:rsidRPr="00000000" w14:paraId="00000006">
      <w:pPr>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Prokurator Prokuratury Rejonowej w P., w dniu 12 czerwca 2025 r., po zgromadzeniu niezbędnych dowodów w postępowaniu przygotowawczym i dopełniwszy wszystkich czynności formalnych związanych z jego zakończeniem, wniósł do Sądu Rejonowego w P. akt oskarżenia, w którym zarzucił Janowi W. i Krzysztofowi D., iż działając wspólnie i w porozumieniu, w celu osiągnięcia korzyści majątkowej w P., doprowadzili w dniu 3 stycznia 2025 r. Piotra R. do niekorzystnego rozporządzenia własnym mieniem w kwocie 10.000 zł w ten sposób, że – mimo otrzymanych od pokrzywdzonego pieniędzy tytułem umowy PP 17/25 z 3 stycznia 2025 r. określającej m.in. warunki techniczne i termin na ułożenie podłogi z paneli podłogowych w domu jednorodzinnym Piotra R., znajdującym się przy ul. Rekinowej 7 w P. – usługi tej nie wykonali, czym dopuścili się przestępstwa z art. 286 § 1 k.k. </w:t>
      </w:r>
    </w:p>
    <w:p w:rsidR="00000000" w:rsidDel="00000000" w:rsidP="00000000" w:rsidRDefault="00000000" w:rsidRPr="00000000" w14:paraId="00000007">
      <w:pPr>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Termin rozprawy głównej wyznaczony został na 17 września 2025 r. Wezwano na ten termin obu oskarżonych oraz pokrzywdzonego Piotra R. w charakterze świadka. W charakterze  świadka wezwany został także radca prawny Izydor F. O terminie rozprawy zawiadomiono także Leona Majstra - obrońcę oskarżonego Jana W. oraz prokuratora. Oskarżony Krzysztof D., po otrzymaniu wezwania na rozprawę, przesłał do sądu pismo, iż nie stawi się na wskazany termin, gdyż uległ wypadkowi komunikacyjnemu w dniu 1 września 2025 r. W wyniku tego wypadku doznał wieloodłamowego, skomplikowanego złamania uda nogi prawej, co uniemożliwia mu stawiennictwo na rozprawie głównej, gdyż odczuwa silne bóle nogi, ma założony gips i musi czasowo pozostawać w pozycji leżącej. Do pisma zostało dołączone zaświadczenie od lekarza sądowego stwierdzające, iż oskarżony Krzysztof D. nie jest aktualnie zdolny do udziału w rozprawie i nie jest możliwe precyzyjne ustalenie, kiedy będzie to możliwe. W zaistniałej sytuacji termin rozprawy głównej został odwołany. Sąd Rejonowy w P. wydał 15 września 2025 r. postanowienie o wyłączeniu materiałów postępowania w zakresie czynu zarzuconego Krzysztofowi D. do odrębnego rozpoznania i po ich rejestracji pod nową sygnaturą „K”, zawieszono co do oskarżonego Krzysztofa D. postępowanie karne, na czas trwania przeszkody. </w:t>
      </w:r>
    </w:p>
    <w:p w:rsidR="00000000" w:rsidDel="00000000" w:rsidP="00000000" w:rsidRDefault="00000000" w:rsidRPr="00000000" w14:paraId="00000008">
      <w:pPr>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 sprawie oskarżonego Jana W. wyznaczony został kolejny termin rozprawy głównej. Wezwano na ten termin - przypadający w dniu 22 października 2025 r.  - oskarżonego Jana W. oraz pokrzywdzonego Piotra R. w charakterze świadka. W charakterze  świadka wezwany został także radca prawny Izydor F. O terminie zawiadomiono obrońcę oskarżonego Jana W. oraz prokuratora. W dniu 15 października 2025 r. – po uprzednim wydaniu przez sąd stosownego postanowienia w trybie art. 177 § 2 k.p.k. i dopełnieniu wymogów zawiadomienia o czynności przesłuchania w miejscu zamieszkania uczestników postępowania karnego prowadzonego wobec Jana W. – przesłuchany został w domu przy ul. Spornej 3 w P., w charakterze świadka, Krzysztof D. Z informacji przekazanej mu przez sędziego przewodniczącego w sprawie Jana W., jednocześnie realizującego jako wyznaczony sędzia czynność przesłuchania wynikało, że Krzysztof D. składać będzie zeznania w związku z toczącym się postępowaniem wobec Jana W. Pouczono Krzysztofa D. o obowiązku mówienia prawdy, o odpowiedzialności karnej za składanie fałszywych zeznań oraz – informując go, że zobowiązany jest do złożenia zeznań – został on przez sędziego pouczony o treści art. 183 § 1 k.p.k. Zeznając jako świadek Krzysztof D., mając na uwadze obowiązek mówienia prawdy i grożącą mu odpowiedzialność karną za składanie fałszywych zeznań, potwierdził w swych depozycjach to co wynikało z treści aktu oskarżenia wniesionego przez prokuratora dodając, że „w istocie ich zachowanie z kolegą Janem W. polegało na wprowadzeniu w błąd pokrzywdzonego co do zamiaru wykonania usługi, mimo podpisanej z nim umowy i otrzymanych środków pieniężnych; od początku nie mieli zamiaru wykonania tej roboty, choć zapewnili pokrzywdzonego, że zostanie ona fachowo i terminowo zrealizowana”. </w:t>
      </w:r>
    </w:p>
    <w:p w:rsidR="00000000" w:rsidDel="00000000" w:rsidP="00000000" w:rsidRDefault="00000000" w:rsidRPr="00000000" w14:paraId="00000009">
      <w:pPr>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 toku rozprawy głównej w dniu 22 października 2025 r., po otwarciu przewodu sądowego i realizacji przez oskarżyciela publicznego czynności w trybie art. 385 § 1 k.p.k.,   przesłuchany został oskarżony Jan W. (dopełniono wymogów z art. 386 k.p.k.). Nie przyznał się on do winy, odmawiając złożenia dalszych wyjaśnień. Odczytano oskarżonemu uprzednio złożone wyjaśnienia z postępowania przygotowawczego, które podtrzymał. Co do swojej sytuacji materialnej wskazał on dodatkowo, że „pracuje obecnie dorywczo, na tyle na ile znajduje pracę, uzyskując miesięczny dochód w kwocie 2000 zł, jednak ma na utrzymaniu żonę i trójkę dzieci, zaś same opłaty mieszkaniowe wynoszą go 700 zł”.  </w:t>
      </w:r>
    </w:p>
    <w:p w:rsidR="00000000" w:rsidDel="00000000" w:rsidP="00000000" w:rsidRDefault="00000000" w:rsidRPr="00000000" w14:paraId="0000000A">
      <w:pPr>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 toku rozprawy głównej w dniu 22 października 2025 r. przesłuchano też, po pouczeniu o obowiązku mówienia prawdy i odpowiedzialności karnej za składanie fałszywych zeznań, pokrzywdzonego Piotra R. Złożył on zeznania generalnie zgodne z treścią zawiadomienia o przestępstwie. Ponieważ pewnych okoliczności już dokładnie nie pamiętał, odczytano mu jego zeznania złożone w postępowaniu przygotowawczym, które w całości podtrzymał. Zeznania te były w pełni zgodne z treścią zawiadomienia o przestępstwie. W charakterze świadka, po pouczeniu o obowiązku mówienia prawdy i odpowiedzialności karnej za składanie fałszywych zeznań, został przesłuchany także – na  okoliczność faktów, o których dowiedział się będąc ówczesnym obrońcą  Jana W., w trakcie udzielanej mu porady prawnej – radca  prawny Izydor F. Sąd dopuszczając ten dowód uznał, że „przesłuchanie Izydora F. przed sądem może mieć miejsce, bo nie był już obrońcą Jana W. Posiada ważne procesowo informacje. Treść art. 2 § 1 pkt 1 k.p.k. i art. 2 § 2 k.p.k. wymaga więc uzyskania jego zeznań”. Świadek Izydor F. zeznał to, co powiedział mu w dniu 25 kwietnia 2025 r. w Kancelarii „Dura lex sed lex”, oskarżony Jan W. (treści te konweniowały z zawartością aktu oskarżenia) oraz to co doradził wówczas ówczesnemu podejrzanemu. </w:t>
      </w:r>
    </w:p>
    <w:p w:rsidR="00000000" w:rsidDel="00000000" w:rsidP="00000000" w:rsidRDefault="00000000" w:rsidRPr="00000000" w14:paraId="0000000B">
      <w:pPr>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 toku tej rozprawy głównej ujawniono procesowo protokół przesłuchania w miejscu zamieszkania świadka Krzysztofa D. Odczytano też m.in. dane o karalności (kartę karną) Jana W., prawomocny wyrok skazujący dotyczący tego oskarżonego (skazanie z 15 maja 2023 r. na karę 3 miesięcy pozbawienia wolności za czyn z art. 286 § 3 k.k. popełniony 30 listopada 2022 r.; wyrok uprawomocnił się 23 maja 2023 r.; kara odbyta w całości), umowę PP 17/25 z 3.01.2025 r., pokwitowanie przyjęcia gotówki, protokół oględzin oraz ujawniono procesowo pozostałe dokumenty zgromadzone w toku postępowania przygotowawczego i sądowego. Po zamknięciu przewodu sądowego, a przed udzieleniem głosu stronom w ramach przemówień końcowych, pokrzywdzony, obecny w sali rozpraw (art. 384 § 2 k.p.k.), wniósł „o nałożenie na oskarżonego Jana W. obowiązku naprawienia szkody w całości w kwocie 10.000 zł, gdyż usługa nie została wykonana, zaś pobranej kwoty mu nie zwrócono”. </w:t>
      </w:r>
    </w:p>
    <w:p w:rsidR="00000000" w:rsidDel="00000000" w:rsidP="00000000" w:rsidRDefault="00000000" w:rsidRPr="00000000" w14:paraId="0000000C">
      <w:pPr>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 głosach stron oskarżyciel publiczny wniósł o uznanie oskarżonego Jana W. za winnego popełnienia zarzucanego mu czynu i wymierzenie mu na podstawie art. 286 § 1 k.k. kary roku pozbawienia wolności, nałożenie obowiązku naprawienia szkody zgodnie z wnioskiem pokrzywdzonego oraz obciążenie Jana W. kosztami procesu.  Obrońca i oskarżony zgodnie wnieśli o uniewinnienie i obciążenie Skarbu Państwa kosztami procesu oraz o zasądzenie od Skarbu Państwa na rzecz oskarżonego zwrotu kosztów ustanowienia obrońcy w toku postępowania karnego, zgodnych z obowiązującymi w tym zakresie przepisami prawa (art. 632 pkt 2 k.p.k.).  </w:t>
      </w:r>
    </w:p>
    <w:p w:rsidR="00000000" w:rsidDel="00000000" w:rsidP="00000000" w:rsidRDefault="00000000" w:rsidRPr="00000000" w14:paraId="0000000D">
      <w:pPr>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Wyrokiem z dnia 22 października 2025 r., sygn. akt II K 111/25, Sąd Rejonowy          w P.: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uznał oskarżonego Jana W. za winnego popełnienia zarzucanego mu czynu, z tą modyfikacją, że dopuścił się go z inną ustaloną osobą, tj. przestępstwa z art. 286 § 1 k.k. i za to przestępstwo, na podstawie art. 286 § 1 k.k., wymierzył mu karę roku pozbawienia wolności;</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na podstawie art. 46 § 1 k.k. zasądził od oskarżonego na rzecz pokrzywdzonego Piotra R. żądaną przez niego kwotę 10.000 zł tytułem naprawienia szkody wynikającej z przestępstwa;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zwolnił oskarżonego od ponoszenia kosztów sądowych, w tym od uiszczenia opłaty, a wydatkami tego postępowania obciążył Skarb Państwa. </w:t>
      </w:r>
    </w:p>
    <w:p w:rsidR="00000000" w:rsidDel="00000000" w:rsidP="00000000" w:rsidRDefault="00000000" w:rsidRPr="00000000" w14:paraId="00000011">
      <w:pPr>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 uzasadnieniu wyroku sąd wskazał m.in., że „ustalając sprawstwo Jana W. oparł się, poza zgromadzonymi w sprawie dokumentami, na zeznaniach pokrzywdzonego, zeznaniach Krzysztofa D. oraz Izydora F. Sąd orzekł o środku kompensacyjnym na podstawie art. 46 § 1 k.k., wobec zgodnego z prawem wniosku sformułowanego w tym zakresie przez pokrzywdzonego. Nie obciążył oskarżonego kosztami sądowymi, mając na uwadze jego trudną sytuację materialną oraz wskazania art. 624 § 1 k.p.k.”</w:t>
      </w:r>
    </w:p>
    <w:p w:rsidR="00000000" w:rsidDel="00000000" w:rsidP="00000000" w:rsidRDefault="00000000" w:rsidRPr="00000000" w14:paraId="00000012">
      <w:pPr>
        <w:jc w:val="both"/>
        <w:rPr>
          <w:rFonts w:ascii="Times New Roman" w:cs="Times New Roman" w:eastAsia="Times New Roman" w:hAnsi="Times New Roman"/>
          <w:b w:val="1"/>
          <w:bCs w:val="1"/>
          <w:i w:val="1"/>
          <w:iCs w:val="1"/>
          <w:sz w:val="27"/>
          <w:szCs w:val="27"/>
        </w:rPr>
      </w:pPr>
      <w:r w:rsidDel="00000000" w:rsidR="00000000" w:rsidRPr="00000000">
        <w:rPr>
          <w:rFonts w:ascii="Times New Roman" w:cs="Times New Roman" w:eastAsia="Times New Roman" w:hAnsi="Times New Roman"/>
          <w:b w:val="1"/>
          <w:bCs w:val="1"/>
          <w:i w:val="1"/>
          <w:iCs w:val="1"/>
          <w:sz w:val="27"/>
          <w:szCs w:val="27"/>
          <w:rtl w:val="0"/>
        </w:rPr>
        <w:t xml:space="preserve">Oceń jako obrońca oskarżonego Jana W. - radca prawny Leon Majster (uwzględniając interes reprezentowanej strony) prawidłowość procedowania sądu i trafność wydanego wyroku. W zależności od zajętego stanowiska sporządź apelację (określając zakres zaskarżenia) zawierającą wszystkie możliwe do postawienia zarzuty, sformułuj wniosek odwoławczy/wnioski odwoławcze i uzasadnienie tego środka odwoławczego lub też sporządź umotywowaną opinię o braku podstaw do wywiedzenia apelacji. </w:t>
      </w:r>
    </w:p>
    <w:p w:rsidR="00000000" w:rsidDel="00000000" w:rsidP="00000000" w:rsidRDefault="00000000" w:rsidRPr="00000000" w14:paraId="00000013">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t>
      </w:r>
    </w:p>
    <w:p w:rsidR="00000000" w:rsidDel="00000000" w:rsidP="00000000" w:rsidRDefault="00000000" w:rsidRPr="00000000" w14:paraId="00000014">
      <w:pPr>
        <w:jc w:val="both"/>
        <w:rPr>
          <w:rFonts w:ascii="Times New Roman" w:cs="Times New Roman" w:eastAsia="Times New Roman" w:hAnsi="Times New Roman"/>
          <w:b w:val="1"/>
          <w:bCs w:val="1"/>
          <w:i w:val="1"/>
          <w:iCs w:val="1"/>
          <w:sz w:val="27"/>
          <w:szCs w:val="27"/>
        </w:rPr>
      </w:pPr>
      <w:r w:rsidDel="00000000" w:rsidR="00000000" w:rsidRPr="00000000">
        <w:rPr>
          <w:rFonts w:ascii="Times New Roman" w:cs="Times New Roman" w:eastAsia="Times New Roman" w:hAnsi="Times New Roman"/>
          <w:b w:val="1"/>
          <w:bCs w:val="1"/>
          <w:i w:val="1"/>
          <w:iCs w:val="1"/>
          <w:sz w:val="27"/>
          <w:szCs w:val="27"/>
          <w:rtl w:val="0"/>
        </w:rPr>
        <w:t xml:space="preserve">W niniejszej sprawie należało wnieść apelację, zaskarżyć wyrok w całości                      i podnieść następujące zarzuty:</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1"/>
          <w:iCs w:val="1"/>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
          <w:szCs w:val="27"/>
          <w:u w:val="none"/>
          <w:shd w:fill="auto" w:val="clear"/>
          <w:vertAlign w:val="baseline"/>
          <w:rtl w:val="0"/>
        </w:rPr>
        <w:t xml:space="preserve">naruszenia przepisu prawa karnego materialnego (art. 438 pkt 1 k.p.k.) </w:t>
      </w:r>
      <w:r w:rsidDel="00000000" w:rsidR="00000000" w:rsidRPr="00000000">
        <w:rPr>
          <w:rFonts w:ascii="Times New Roman" w:cs="Times New Roman" w:eastAsia="Times New Roman" w:hAnsi="Times New Roman"/>
          <w:b w:val="0"/>
          <w:bCs w:val="0"/>
          <w:i w:val="1"/>
          <w:iCs w:val="1"/>
          <w:smallCaps w:val="0"/>
          <w:strike w:val="0"/>
          <w:color w:val="000000"/>
          <w:sz w:val="27"/>
          <w:szCs w:val="27"/>
          <w:u w:val="none"/>
          <w:shd w:fill="auto" w:val="clear"/>
          <w:vertAlign w:val="baseline"/>
          <w:rtl w:val="0"/>
        </w:rPr>
        <w:t xml:space="preserve">tj. art. 286 § 1 k.k. poprzez jego zastosowanie, choć zachowanie oskarżonego opisane w części dyspozytywnej wyroku nie wyczerpywało wszystkich znamion przestępstwa z art. 286 § 1 k.k. (brak w tenorze wyroku wskazania i tym samym wyczerpania znamienia „za pomocą wprowadzenia jej w błąd/wyzyskania błędu/wyzyskania niezdolności do należytego pojmowania przedsiębranego działania”);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1"/>
          <w:iCs w:val="1"/>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
          <w:szCs w:val="27"/>
          <w:u w:val="none"/>
          <w:shd w:fill="auto" w:val="clear"/>
          <w:vertAlign w:val="baseline"/>
          <w:rtl w:val="0"/>
        </w:rPr>
        <w:t xml:space="preserve">naruszenia przepisów prawa karnego procesowego, co mogło mieć wpływ na treść wyroku (art. 438 pkt 2 k.p.k.) tj.:</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1134" w:right="0" w:hanging="425"/>
        <w:jc w:val="both"/>
        <w:rPr>
          <w:b w:val="0"/>
          <w:bCs w:val="0"/>
          <w:i w:val="1"/>
          <w:iCs w:val="1"/>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
          <w:szCs w:val="27"/>
          <w:u w:val="none"/>
          <w:shd w:fill="auto" w:val="clear"/>
          <w:vertAlign w:val="baseline"/>
          <w:rtl w:val="0"/>
        </w:rPr>
        <w:t xml:space="preserve">art. 178 pkt 1 k.p.k. poprzez przesłuchanie w charakterze świadka – mimo istnienia w tym zakresie jednoznacznego zakazu dowodowego – byłego obrońcy Jana W., radcy prawnego Izydora F., na  okoliczność faktów, o których dowiedział się będąc obrońcą, w trakcie udzielanej Janowi W. porady prawnej</w:t>
      </w:r>
      <w:r w:rsidDel="00000000" w:rsidR="00000000" w:rsidRPr="00000000">
        <w:rPr>
          <w:rFonts w:ascii="Times New Roman" w:cs="Times New Roman" w:eastAsia="Times New Roman" w:hAnsi="Times New Roman"/>
          <w:b w:val="0"/>
          <w:bCs w:val="0"/>
          <w:i w:val="1"/>
          <w:iCs w:val="1"/>
          <w:smallCaps w:val="0"/>
          <w:strike w:val="0"/>
          <w:color w:val="000000"/>
          <w:sz w:val="27"/>
          <w:szCs w:val="27"/>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bCs w:val="0"/>
          <w:i w:val="1"/>
          <w:iCs w:val="1"/>
          <w:smallCaps w:val="0"/>
          <w:strike w:val="0"/>
          <w:color w:val="000000"/>
          <w:sz w:val="27"/>
          <w:szCs w:val="27"/>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1134" w:right="0" w:hanging="425"/>
        <w:jc w:val="both"/>
        <w:rPr>
          <w:b w:val="0"/>
          <w:bCs w:val="0"/>
          <w:i w:val="1"/>
          <w:iCs w:val="1"/>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
          <w:szCs w:val="27"/>
          <w:u w:val="none"/>
          <w:shd w:fill="auto" w:val="clear"/>
          <w:vertAlign w:val="baseline"/>
          <w:rtl w:val="0"/>
        </w:rPr>
        <w:t xml:space="preserve">art. 182 § 3 k.p.k. w zw. z art. 191 § 2 k.p.k. w zw. z art. 186 § 1 k.p.k. poprzez niepouczenie świadka Krzysztofa D. o przysługującym mu prawie do odmowy składania zeznań jako osobie, „która w innej toczącej się sprawie jest oskarżona o współudział w przestępstwie objętym postępowaniem”, co skutkowało tym, iż świadek ten złożył zeznania stanowiące jedną z podstaw skazania oskarżonego;</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1134" w:right="0" w:hanging="425"/>
        <w:jc w:val="both"/>
        <w:rPr>
          <w:b w:val="0"/>
          <w:bCs w:val="0"/>
          <w:i w:val="1"/>
          <w:iCs w:val="1"/>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
          <w:szCs w:val="27"/>
          <w:u w:val="none"/>
          <w:shd w:fill="auto" w:val="clear"/>
          <w:vertAlign w:val="baseline"/>
          <w:rtl w:val="0"/>
        </w:rPr>
        <w:t xml:space="preserve"> art. 49a § 1 k.p.k. poprzez orzeczenie tytułem środka kompensacyjnego obowiązku naprawienia szkody, mimo iż żądanie pokrzywdzonego w tym zakresie zostało sformułowane po upływie stanowczego terminu wskazanego w tym przepisie (po zamknięciu przewodu sądowego);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1134" w:right="0" w:firstLine="0"/>
        <w:jc w:val="both"/>
        <w:rPr>
          <w:rFonts w:ascii="Times New Roman" w:cs="Times New Roman" w:eastAsia="Times New Roman" w:hAnsi="Times New Roman"/>
          <w:b w:val="0"/>
          <w:bCs w:val="0"/>
          <w:i w:val="1"/>
          <w:iCs w:val="1"/>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1134" w:right="0" w:hanging="425"/>
        <w:jc w:val="both"/>
        <w:rPr>
          <w:rFonts w:ascii="Times New Roman" w:cs="Times New Roman" w:eastAsia="Times New Roman" w:hAnsi="Times New Roman"/>
          <w:b w:val="0"/>
          <w:bCs w:val="0"/>
          <w:i w:val="1"/>
          <w:iCs w:val="1"/>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
          <w:szCs w:val="27"/>
          <w:u w:val="none"/>
          <w:shd w:fill="auto" w:val="clear"/>
          <w:vertAlign w:val="baseline"/>
          <w:rtl w:val="0"/>
        </w:rPr>
        <w:t xml:space="preserve">* w przedmiotowej sprawie nie byłoby wykluczone podniesienie łącznie z zarzutami z pkt. 2 tiret pierwsze i drugie także zarzutów błędu w ustaleniach faktycznych mogącego mieć wpływ na treść wyroku (eliminacja dowodów z zeznań Izydora F. i Krzysztofa D. pozwala na podważanie na płaszczyźnie faktycznej trafności tezy sądu o sprawstwie Jana W.); zastrzec jednak trzeba, że zarzuty błędu w ustaleniach faktycznych są wtórne wobec zarzutów obrazy przepisów prawa procesowego z pkt. 2 tiret pierwsze i drugie, stąd też jako wzorcową sugeruję odpowiedź ujętą w formule zarzutów opisanych wyżej w pkt. 1 i 2;</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1134" w:right="0" w:hanging="425"/>
        <w:jc w:val="both"/>
        <w:rPr>
          <w:rFonts w:ascii="Times New Roman" w:cs="Times New Roman" w:eastAsia="Times New Roman" w:hAnsi="Times New Roman"/>
          <w:b w:val="0"/>
          <w:bCs w:val="0"/>
          <w:i w:val="1"/>
          <w:iCs w:val="1"/>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
          <w:szCs w:val="27"/>
          <w:u w:val="none"/>
          <w:shd w:fill="auto" w:val="clear"/>
          <w:vertAlign w:val="baseline"/>
          <w:rtl w:val="0"/>
        </w:rPr>
        <w:t xml:space="preserve">** zarzuty z pkt. 2 mogą być też – w zależności od przyjętej koncepcji osoby zdającej – sformułowane w apelacji jako ewentualne („na wypadek, gdyby sąd nie uwzględnił zarzutu z pkt. 1”), choć interes klienta moim zdaniem wymaga, aby podnieść wszystkie zarzuty z pkt. 1 i 2 jako podstawowe.   </w:t>
      </w:r>
    </w:p>
    <w:p w:rsidR="00000000" w:rsidDel="00000000" w:rsidP="00000000" w:rsidRDefault="00000000" w:rsidRPr="00000000" w14:paraId="0000001D">
      <w:pPr>
        <w:ind w:left="360" w:firstLine="0"/>
        <w:jc w:val="both"/>
        <w:rPr>
          <w:rFonts w:ascii="Times New Roman" w:cs="Times New Roman" w:eastAsia="Times New Roman" w:hAnsi="Times New Roman"/>
          <w:b w:val="1"/>
          <w:bCs w:val="1"/>
          <w:i w:val="1"/>
          <w:iCs w:val="1"/>
          <w:sz w:val="27"/>
          <w:szCs w:val="27"/>
        </w:rPr>
      </w:pPr>
      <w:r w:rsidDel="00000000" w:rsidR="00000000" w:rsidRPr="00000000">
        <w:rPr>
          <w:rFonts w:ascii="Times New Roman" w:cs="Times New Roman" w:eastAsia="Times New Roman" w:hAnsi="Times New Roman"/>
          <w:b w:val="1"/>
          <w:bCs w:val="1"/>
          <w:i w:val="1"/>
          <w:iCs w:val="1"/>
          <w:sz w:val="27"/>
          <w:szCs w:val="27"/>
          <w:rtl w:val="0"/>
        </w:rPr>
        <w:t xml:space="preserve">Wniosek odwoławczy:</w:t>
      </w:r>
    </w:p>
    <w:p w:rsidR="00000000" w:rsidDel="00000000" w:rsidP="00000000" w:rsidRDefault="00000000" w:rsidRPr="00000000" w14:paraId="0000001E">
      <w:pPr>
        <w:ind w:left="360" w:firstLine="0"/>
        <w:jc w:val="both"/>
        <w:rPr>
          <w:rFonts w:ascii="Times New Roman" w:cs="Times New Roman" w:eastAsia="Times New Roman" w:hAnsi="Times New Roman"/>
          <w:b w:val="1"/>
          <w:bCs w:val="1"/>
          <w:i w:val="1"/>
          <w:iCs w:val="1"/>
          <w:sz w:val="27"/>
          <w:szCs w:val="27"/>
        </w:rPr>
      </w:pPr>
      <w:r w:rsidDel="00000000" w:rsidR="00000000" w:rsidRPr="00000000">
        <w:rPr>
          <w:rFonts w:ascii="Times New Roman" w:cs="Times New Roman" w:eastAsia="Times New Roman" w:hAnsi="Times New Roman"/>
          <w:b w:val="1"/>
          <w:bCs w:val="1"/>
          <w:i w:val="1"/>
          <w:iCs w:val="1"/>
          <w:sz w:val="27"/>
          <w:szCs w:val="27"/>
          <w:rtl w:val="0"/>
        </w:rPr>
        <w:t xml:space="preserve">-  o zmianę wyroku i uniewinnienie oskarżonego od popełnienia zarzucanego mu czynu, mając na uwadze zarzuty zamieszczone wyżej w pkt. 1 i 2 tiret pierwsze i drugie oraz obciążenie kosztami procesu Skarbu Państwa ,</w:t>
      </w:r>
    </w:p>
    <w:p w:rsidR="00000000" w:rsidDel="00000000" w:rsidP="00000000" w:rsidRDefault="00000000" w:rsidRPr="00000000" w14:paraId="0000001F">
      <w:pPr>
        <w:ind w:left="360" w:firstLine="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i w:val="1"/>
          <w:iCs w:val="1"/>
          <w:sz w:val="27"/>
          <w:szCs w:val="27"/>
          <w:rtl w:val="0"/>
        </w:rPr>
        <w:t xml:space="preserve">- o zasądzenie od Skarbu Państwa na rzecz oskarżonego zwrotu kosztów ustanowienia obrońcy w toku postępowania karnego, zgodnych z obowiązującymi w tym zakresie przepisami prawa (art. 632 pkt 2 k.p.k.).  </w:t>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i w:val="1"/>
          <w:iCs w:val="1"/>
          <w:sz w:val="27"/>
          <w:szCs w:val="27"/>
        </w:rPr>
      </w:pP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bCs w:val="1"/>
          <w:i w:val="1"/>
          <w:iCs w:val="1"/>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i w:val="1"/>
          <w:iCs w:val="1"/>
          <w:sz w:val="27"/>
          <w:szCs w:val="27"/>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7"/>
          <w:szCs w:val="27"/>
        </w:rPr>
      </w:pPr>
      <w:r w:rsidDel="00000000" w:rsidR="00000000" w:rsidRPr="00000000">
        <w:rPr>
          <w:rtl w:val="0"/>
        </w:rPr>
      </w:r>
    </w:p>
    <w:sectPr>
      <w:footerReference r:id="rId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Zakaz z art. 178 pkt 1 k.p.k. nie doznaje ograniczeń czasowych, rozciąga się także na byłego obrońcę – vide J. Zagrodnik (red.), Kodeks postępowania Karnego. Komentarz, WKP 2024, teza 1 do art. 178; R. Stefański (red.), S. Zabłocki (red.), Kodeks postępowania Karnego. Komentarz (tom II), WKP 2019, teza 1 do art. 178.</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636"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