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EF844" w14:textId="4D7B06DD" w:rsidR="00EE1DF7" w:rsidRDefault="004142BC" w:rsidP="004142BC">
      <w:pPr>
        <w:pStyle w:val="Nagwek1"/>
        <w:jc w:val="center"/>
      </w:pPr>
      <w:r>
        <w:t>04.02.2025</w:t>
      </w:r>
    </w:p>
    <w:p w14:paraId="655D4342" w14:textId="59A4A796" w:rsidR="004142BC" w:rsidRDefault="00296DD8" w:rsidP="004142BC">
      <w:pPr>
        <w:jc w:val="both"/>
      </w:pPr>
      <w:r>
        <w:t>Komentarz</w:t>
      </w:r>
      <w:r w:rsidR="00011D64">
        <w:t xml:space="preserve"> pod redakcją </w:t>
      </w:r>
      <w:r w:rsidR="00492C61">
        <w:t>Konarska-</w:t>
      </w:r>
      <w:proofErr w:type="spellStart"/>
      <w:r w:rsidR="00492C61">
        <w:t>Wrzosek</w:t>
      </w:r>
      <w:proofErr w:type="spellEnd"/>
      <w:r w:rsidR="00011D64">
        <w:t xml:space="preserve"> </w:t>
      </w:r>
      <w:r>
        <w:t xml:space="preserve">– on też tam pisał. </w:t>
      </w:r>
    </w:p>
    <w:p w14:paraId="11FE4704" w14:textId="4198483E" w:rsidR="003B3ADE" w:rsidRDefault="003B3ADE" w:rsidP="004142BC">
      <w:pPr>
        <w:jc w:val="both"/>
      </w:pPr>
      <w:r>
        <w:t xml:space="preserve">Komentarzowe czytanie przepisów </w:t>
      </w:r>
    </w:p>
    <w:p w14:paraId="257929C0" w14:textId="5DE85CFA" w:rsidR="00CF5A9E" w:rsidRDefault="00CF5A9E" w:rsidP="004142BC">
      <w:pPr>
        <w:jc w:val="both"/>
      </w:pPr>
      <w:r>
        <w:t xml:space="preserve">Sprawdzać koszty, czy są zgodne z rozporządzeniem </w:t>
      </w:r>
      <w:r w:rsidR="00E75AD5">
        <w:t>–</w:t>
      </w:r>
      <w:r>
        <w:t xml:space="preserve"> </w:t>
      </w:r>
      <w:r w:rsidR="00E75AD5">
        <w:t xml:space="preserve">bo łatwo tym sobie podbić ocenę. </w:t>
      </w:r>
    </w:p>
    <w:p w14:paraId="5FEB8E17" w14:textId="2CF1B60C" w:rsidR="00E75AD5" w:rsidRDefault="00E75AD5" w:rsidP="004142BC">
      <w:pPr>
        <w:jc w:val="both"/>
      </w:pPr>
      <w:r>
        <w:t>W karcie karnej jest wiele istotnych rzeczy – np. powrót do przestępstwa</w:t>
      </w:r>
      <w:r w:rsidR="001473D3">
        <w:t xml:space="preserve">, zatarcie przestępstwa, którego nie zaliczono. </w:t>
      </w:r>
    </w:p>
    <w:p w14:paraId="74ADB534" w14:textId="00054EE4" w:rsidR="00F13465" w:rsidRDefault="00F13465" w:rsidP="004142BC">
      <w:pPr>
        <w:jc w:val="both"/>
      </w:pPr>
      <w:r>
        <w:t xml:space="preserve">Akta czytamy od końca. </w:t>
      </w:r>
    </w:p>
    <w:p w14:paraId="6DDFEA52" w14:textId="69B16DD5" w:rsidR="00296DD8" w:rsidRDefault="008939F1" w:rsidP="004142BC">
      <w:pPr>
        <w:jc w:val="both"/>
      </w:pPr>
      <w:r>
        <w:t xml:space="preserve">Przestępstwo </w:t>
      </w:r>
      <w:r w:rsidR="00C4087D">
        <w:t>–</w:t>
      </w:r>
      <w:r>
        <w:t xml:space="preserve"> </w:t>
      </w:r>
      <w:r w:rsidR="00C4087D">
        <w:t xml:space="preserve">zawinione, społecznie szkodliwe w stopniu większym niż znikome </w:t>
      </w:r>
    </w:p>
    <w:p w14:paraId="26342CAA" w14:textId="5BD08346" w:rsidR="00300EBD" w:rsidRDefault="00300EBD" w:rsidP="004142BC">
      <w:pPr>
        <w:jc w:val="both"/>
      </w:pPr>
      <w:r>
        <w:t>Sprawdzać, czy sąd dobrze od</w:t>
      </w:r>
      <w:r w:rsidR="00BF3E46">
        <w:t xml:space="preserve">zwierciedlił znamiona z przepisu. </w:t>
      </w:r>
      <w:r w:rsidR="009A58AC">
        <w:t xml:space="preserve">Bo może być tak, że nie ustalono wszystkich znamion czynu i nie można według tego przepisu skazać. </w:t>
      </w:r>
      <w:r w:rsidR="00B67091">
        <w:t xml:space="preserve">I wtedy w przypadku apelacji tylko po stronie obrończej sąd odwoławczy może tylko uniewinnić. </w:t>
      </w:r>
    </w:p>
    <w:p w14:paraId="18CB5832" w14:textId="37885B72" w:rsidR="00147BC0" w:rsidRDefault="00147BC0" w:rsidP="004142BC">
      <w:pPr>
        <w:jc w:val="both"/>
      </w:pPr>
      <w:r>
        <w:t>Sprawdzać, czy sprawca nie jest młodociany</w:t>
      </w:r>
    </w:p>
    <w:p w14:paraId="0E533072" w14:textId="3DD1247F" w:rsidR="00147BC0" w:rsidRDefault="00147BC0" w:rsidP="004142BC">
      <w:pPr>
        <w:jc w:val="both"/>
      </w:pPr>
      <w:r>
        <w:t>Sprawdzać, czy się nie przedawniło</w:t>
      </w:r>
    </w:p>
    <w:p w14:paraId="77AAF1D0" w14:textId="7B728286" w:rsidR="005F0996" w:rsidRDefault="00002F19" w:rsidP="004142BC">
      <w:pPr>
        <w:jc w:val="both"/>
      </w:pPr>
      <w:r>
        <w:t xml:space="preserve">Jeżeli sąd stosuje art. 4 to powinien to uwzględnić przy pisaniu podstawy wymiaru kary </w:t>
      </w:r>
    </w:p>
    <w:p w14:paraId="1910D5E4" w14:textId="77777777" w:rsidR="00147A05" w:rsidRPr="00147A05" w:rsidRDefault="00147A05" w:rsidP="00147A05">
      <w:pPr>
        <w:jc w:val="both"/>
        <w:rPr>
          <w:b/>
          <w:bCs/>
        </w:rPr>
      </w:pPr>
      <w:r w:rsidRPr="00147A05">
        <w:rPr>
          <w:b/>
          <w:bCs/>
        </w:rPr>
        <w:t>Art.  46.  [Orzeczenie obowiązku naprawienia szkody]</w:t>
      </w:r>
    </w:p>
    <w:p w14:paraId="35EA4A65" w14:textId="77777777" w:rsidR="00147A05" w:rsidRDefault="00147A05" w:rsidP="00147A05">
      <w:pPr>
        <w:jc w:val="both"/>
      </w:pPr>
      <w:r>
        <w:t xml:space="preserve">§  1. </w:t>
      </w:r>
      <w:r>
        <w:tab/>
        <w:t>W razie skazania sąd może orzec, a na wniosek pokrzywdzonego lub innej osoby uprawnionej orzeka, stosując przepisy prawa cywilnego, obowiązek naprawienia, w całości albo w części, wyrządzonej przestępstwem szkody lub zadośćuczynienia za doznaną krzywdę; przepisów prawa cywilnego o możliwości zasądzenia renty nie stosuje się.</w:t>
      </w:r>
    </w:p>
    <w:p w14:paraId="7834D1DD" w14:textId="25C37878" w:rsidR="00147A05" w:rsidRDefault="00147A05" w:rsidP="00147A05">
      <w:pPr>
        <w:jc w:val="both"/>
      </w:pPr>
      <w:r>
        <w:t xml:space="preserve">§  2. </w:t>
      </w:r>
      <w:r>
        <w:tab/>
      </w:r>
      <w:r w:rsidRPr="008F74FF">
        <w:rPr>
          <w:b/>
          <w:bCs/>
        </w:rPr>
        <w:t>Jeżeli orzeczenie obowiązku określonego w § 1 jest znacznie utrudnione</w:t>
      </w:r>
      <w:r w:rsidR="008F74FF">
        <w:t xml:space="preserve"> </w:t>
      </w:r>
      <w:r w:rsidR="008F74FF" w:rsidRPr="008F74FF">
        <w:rPr>
          <w:b/>
          <w:bCs/>
        </w:rPr>
        <w:t>(chodzi o trudności dowodowe)</w:t>
      </w:r>
      <w:r>
        <w:t>, sąd może orzec zamiast tego obowiązku nawiązkę w wysokości do 200 000 złotych na rzecz pokrzywdzonego, a w razie jego śmierci w wyniku popełnionego przez skazanego przestępstwa nawiązkę na rzecz osoby najbliższej, której sytuacja życiowa wskutek śmierci pokrzywdzonego uległa znacznemu pogorszeniu. W razie gdy ustalono więcej niż jedną taką osobę, nawiązki orzeka się na rzecz każdej z nich.</w:t>
      </w:r>
    </w:p>
    <w:p w14:paraId="3B9FDC1A" w14:textId="1D640EF0" w:rsidR="00147A05" w:rsidRDefault="00147A05" w:rsidP="00147A05">
      <w:pPr>
        <w:jc w:val="both"/>
      </w:pPr>
      <w:r>
        <w:t xml:space="preserve">§  3. </w:t>
      </w:r>
      <w:r>
        <w:tab/>
        <w:t>Orzeczenie odszkodowania lub zadośćuczynienia na podstawie § 1 albo nawiązki na podstawie § 2 nie stoi na przeszkodzie dochodzeniu niezaspokojonej części roszczenia w drodze postępowania cywilnego.</w:t>
      </w:r>
    </w:p>
    <w:p w14:paraId="3AA637EE" w14:textId="4D3D3F84" w:rsidR="00F32061" w:rsidRDefault="00926E00" w:rsidP="00926E00">
      <w:pPr>
        <w:pStyle w:val="Nagwek1"/>
        <w:jc w:val="center"/>
      </w:pPr>
      <w:r>
        <w:t>11.03.2025</w:t>
      </w:r>
    </w:p>
    <w:p w14:paraId="2D53FC99" w14:textId="0F52B060" w:rsidR="00926E00" w:rsidRDefault="00926E00" w:rsidP="00926E00">
      <w:pPr>
        <w:jc w:val="both"/>
      </w:pPr>
      <w:r>
        <w:t xml:space="preserve">Prawo karne skarbowe – nie ma pozakodeksowych norm. Ale ustawodawca wsadził do jednego kodeksu normy prawa materialnego, proceduralnego i wykonawczego. </w:t>
      </w:r>
    </w:p>
    <w:p w14:paraId="25901C16" w14:textId="77777777" w:rsidR="00926E00" w:rsidRDefault="00926E00" w:rsidP="00926E00">
      <w:pPr>
        <w:jc w:val="both"/>
      </w:pPr>
      <w:r>
        <w:t>Art.  20. [Zastosowanie przepisów]</w:t>
      </w:r>
    </w:p>
    <w:p w14:paraId="24924D6A" w14:textId="77777777" w:rsidR="00926E00" w:rsidRDefault="00926E00" w:rsidP="00926E00">
      <w:pPr>
        <w:jc w:val="both"/>
      </w:pPr>
      <w:r>
        <w:t>§  1.</w:t>
      </w:r>
      <w:r>
        <w:tab/>
        <w:t xml:space="preserve"> Do przestępstw skarbowych nie mają zastosowania przepisy części ogólnej i rozdziału XXXVIII Kodeksu karnego, z zastrzeżeniem § 2.</w:t>
      </w:r>
    </w:p>
    <w:p w14:paraId="1BB091AF" w14:textId="77777777" w:rsidR="00926E00" w:rsidRDefault="00926E00" w:rsidP="00926E00">
      <w:pPr>
        <w:jc w:val="both"/>
      </w:pPr>
      <w:r>
        <w:lastRenderedPageBreak/>
        <w:t>§  2.</w:t>
      </w:r>
      <w:r>
        <w:tab/>
        <w:t xml:space="preserve"> Przepisy art. 18 § 2 i 3, art. 19, art. 20, art. 21 § 2 i 3, art. 22-24, art. 27 § 1, art. 40 § 1, art. 41, art. 43 § 2, art. 43c, art. 57, art. 58 § 1 i 2a, art. 60 § 1 i 2, art. 62, art. 63, art. 66 § 1, art. 67, art. 68, art. 69 § 1 i 2, art. 70, art. 72-77, art. 78 § 1 i 3, art. 80 § 1 i 3, art. 81-83, art. 85, art. 86 § 2 i 3, art. 87, art. 88, art. 89, art. 89a § 3 zdanie pierwsze, art. 90, art. 93b-93g, art. 103 § 1, art. 106, art. 107, art. 108, art. 114 oraz art. 114a, a także wskazane w innych przepisach niniejszego rozdziału przepisy części ogólnej Kodeksu karnego stosuje się odpowiednio do przestępstw skarbowych; do żołnierzy, którzy dopuścili się czynu zabronionego jako przestępstwo skarbowe, stosuje się odpowiednio także przepisy art. 318, art. 321, art. 322 § 1 i 3, art. 323, art. 324 § 1, art. 326-333, art. 335 oraz art. 336 Kodeksu karnego.</w:t>
      </w:r>
    </w:p>
    <w:p w14:paraId="5FD1A690" w14:textId="77777777" w:rsidR="00926E00" w:rsidRDefault="00926E00" w:rsidP="00926E00">
      <w:pPr>
        <w:jc w:val="both"/>
      </w:pPr>
      <w:r>
        <w:t>§  3.</w:t>
      </w:r>
      <w:r>
        <w:tab/>
        <w:t xml:space="preserve"> W wypadku określonym w art. 21 § 3 Kodeksu karnego sąd może także odstąpić od wymierzenia kary lub środka karnego wymienionego w art. 22 § 2 pkt 2, 3, 5 i 6 niniejszego kodeksu, chyba że przepadek dotyczy przedmiotów określonych w art. 29 pkt 4.</w:t>
      </w:r>
    </w:p>
    <w:p w14:paraId="08EFC0CD" w14:textId="77777777" w:rsidR="00926E00" w:rsidRDefault="00926E00" w:rsidP="00926E00">
      <w:pPr>
        <w:jc w:val="both"/>
      </w:pPr>
      <w:r>
        <w:t>§  4.</w:t>
      </w:r>
      <w:r>
        <w:tab/>
        <w:t xml:space="preserve"> Wymieniona w art. 23 Kodeksu karnego przesłanka "dobrowolności" nie ma zastosowania do przestępstw skarbowych.</w:t>
      </w:r>
    </w:p>
    <w:p w14:paraId="70C42DD2" w14:textId="77777777" w:rsidR="00926E00" w:rsidRDefault="00926E00" w:rsidP="00926E00">
      <w:pPr>
        <w:jc w:val="both"/>
      </w:pPr>
      <w:r>
        <w:t>§  5.</w:t>
      </w:r>
      <w:r>
        <w:tab/>
        <w:t xml:space="preserve"> W wypadku określonym w art. 27 § 1 Kodeksu karnego dopuszczalny eksperyment dotyczy tylko eksperymentu ekonomicznego lub technicznego.</w:t>
      </w:r>
    </w:p>
    <w:p w14:paraId="5F47C2E3" w14:textId="311EB7B8" w:rsidR="00926E00" w:rsidRDefault="00926E00" w:rsidP="00926E00">
      <w:pPr>
        <w:jc w:val="both"/>
      </w:pPr>
      <w:r>
        <w:t>§  6.</w:t>
      </w:r>
      <w:r>
        <w:tab/>
        <w:t xml:space="preserve"> Wymienione w § 2 oraz w art. 21 § 3, art. 26 § 4, art. 40 § 1 i art. 45 przepisy części ogólnej Kodeksu karnego stosuje się odpowiednio także do osób wymienionych w art. 53 § 36, które dopuściły się przestępstwa skarbowego, chyba że część wojskowa Kodeksu karnego zawiera odmienne przepisy ogólne.</w:t>
      </w:r>
    </w:p>
    <w:p w14:paraId="3C17A449" w14:textId="77777777" w:rsidR="00926E00" w:rsidRDefault="00926E00" w:rsidP="00926E00">
      <w:pPr>
        <w:jc w:val="both"/>
      </w:pPr>
    </w:p>
    <w:p w14:paraId="0354DC88" w14:textId="77777777" w:rsidR="00926E00" w:rsidRDefault="00926E00" w:rsidP="00926E00">
      <w:pPr>
        <w:jc w:val="both"/>
      </w:pPr>
      <w:r>
        <w:t>Art.  113. [Odesłanie do przepisów Kodeksu postępowania karnego]</w:t>
      </w:r>
    </w:p>
    <w:p w14:paraId="699CFB2F" w14:textId="77777777" w:rsidR="00926E00" w:rsidRDefault="00926E00" w:rsidP="00926E00">
      <w:pPr>
        <w:jc w:val="both"/>
      </w:pPr>
      <w:r>
        <w:t>§  1.</w:t>
      </w:r>
      <w:r>
        <w:tab/>
        <w:t xml:space="preserve"> W postępowaniu w sprawach o przestępstwa skarbowe i wykroczenia skarbowe stosuje się odpowiednio przepisy Kodeksu postępowania karnego, jeżeli przepisy niniejszego kodeksu nie stanowią inaczej.</w:t>
      </w:r>
    </w:p>
    <w:p w14:paraId="465D399B" w14:textId="77777777" w:rsidR="00926E00" w:rsidRDefault="00926E00" w:rsidP="00926E00">
      <w:pPr>
        <w:jc w:val="both"/>
      </w:pPr>
      <w:r>
        <w:t>§  2.</w:t>
      </w:r>
      <w:r>
        <w:tab/>
        <w:t xml:space="preserve"> Nie stosuje się przepisów:</w:t>
      </w:r>
    </w:p>
    <w:p w14:paraId="0177BFA3" w14:textId="77777777" w:rsidR="00926E00" w:rsidRDefault="00926E00" w:rsidP="00926E00">
      <w:pPr>
        <w:jc w:val="both"/>
      </w:pPr>
      <w:r>
        <w:t>1)</w:t>
      </w:r>
      <w:r>
        <w:tab/>
        <w:t xml:space="preserve"> Kodeksu postępowania karnego dotyczących pokrzywdzonego i mediacji;</w:t>
      </w:r>
    </w:p>
    <w:p w14:paraId="69FF78E6" w14:textId="77777777" w:rsidR="00926E00" w:rsidRDefault="00926E00" w:rsidP="00926E00">
      <w:pPr>
        <w:jc w:val="both"/>
      </w:pPr>
      <w:r>
        <w:t>2)</w:t>
      </w:r>
      <w:r>
        <w:tab/>
        <w:t xml:space="preserve"> art. 325f Kodeksu postępowania karnego.</w:t>
      </w:r>
    </w:p>
    <w:p w14:paraId="08CE019A" w14:textId="77777777" w:rsidR="00926E00" w:rsidRDefault="00926E00" w:rsidP="00926E00">
      <w:pPr>
        <w:jc w:val="both"/>
      </w:pPr>
      <w:r>
        <w:t>§  3.</w:t>
      </w:r>
      <w:r>
        <w:tab/>
        <w:t xml:space="preserve"> W postępowaniu w sprawach o wykroczenia skarbowe nie stosuje się przepisów:</w:t>
      </w:r>
    </w:p>
    <w:p w14:paraId="62201B0E" w14:textId="77777777" w:rsidR="00926E00" w:rsidRDefault="00926E00" w:rsidP="00926E00">
      <w:pPr>
        <w:jc w:val="both"/>
      </w:pPr>
      <w:r>
        <w:t>1)</w:t>
      </w:r>
      <w:r>
        <w:tab/>
        <w:t xml:space="preserve"> Kodeksu postępowania karnego dotyczących środków zapobiegawczych, poszukiwania oskarżonego i listu gończego;</w:t>
      </w:r>
    </w:p>
    <w:p w14:paraId="7AB208D5" w14:textId="04BAC513" w:rsidR="00926E00" w:rsidRDefault="00926E00" w:rsidP="00926E00">
      <w:pPr>
        <w:jc w:val="both"/>
      </w:pPr>
      <w:r>
        <w:t>2)</w:t>
      </w:r>
      <w:r>
        <w:tab/>
        <w:t xml:space="preserve"> art. 18 § 1, art. 400 i art. 589a-589f, art. 590-607zc, art. 611g-611s oraz art. 615 Kodeksu postępowania karnego.</w:t>
      </w:r>
    </w:p>
    <w:p w14:paraId="1EA62CDB" w14:textId="77777777" w:rsidR="00926E00" w:rsidRPr="00926E00" w:rsidRDefault="00926E00" w:rsidP="00926E00">
      <w:pPr>
        <w:jc w:val="both"/>
        <w:rPr>
          <w:b/>
          <w:bCs/>
        </w:rPr>
      </w:pPr>
      <w:r w:rsidRPr="00926E00">
        <w:rPr>
          <w:b/>
          <w:bCs/>
        </w:rPr>
        <w:t>Art.  189. [Ściągnięcie równowartości pieniężnej]</w:t>
      </w:r>
    </w:p>
    <w:p w14:paraId="68139E2E" w14:textId="2BB0A441" w:rsidR="00926E00" w:rsidRPr="00926E00" w:rsidRDefault="00926E00" w:rsidP="00926E00">
      <w:pPr>
        <w:jc w:val="both"/>
      </w:pPr>
      <w:r w:rsidRPr="00926E00">
        <w:t xml:space="preserve">Do wykonania orzeczenia w części dotyczącej środka karnego ściągnięcia równowartości pieniężnej przepadku przedmiotów lub środka karnego ściągnięcia równowartości pieniężnej przepadku korzyści majątkowej stosuje się odpowiednio </w:t>
      </w:r>
      <w:hyperlink r:id="rId4" w:anchor="/document/16798687?unitId=art(27)&amp;cm=DOCUMENT" w:history="1">
        <w:r w:rsidRPr="00926E00">
          <w:rPr>
            <w:rStyle w:val="Hipercze"/>
          </w:rPr>
          <w:t>art. 27</w:t>
        </w:r>
      </w:hyperlink>
      <w:r w:rsidRPr="00926E00">
        <w:t xml:space="preserve">, </w:t>
      </w:r>
      <w:hyperlink r:id="rId5" w:anchor="/document/16798687?unitId=art(44)&amp;cm=DOCUMENT" w:history="1">
        <w:r w:rsidRPr="00926E00">
          <w:rPr>
            <w:rStyle w:val="Hipercze"/>
          </w:rPr>
          <w:t>art. 44</w:t>
        </w:r>
      </w:hyperlink>
      <w:r w:rsidRPr="00926E00">
        <w:t xml:space="preserve">, </w:t>
      </w:r>
      <w:hyperlink r:id="rId6" w:anchor="/document/16798687?unitId=art(49)&amp;cm=DOCUMENT" w:history="1">
        <w:r w:rsidRPr="00926E00">
          <w:rPr>
            <w:rStyle w:val="Hipercze"/>
          </w:rPr>
          <w:t>art. 49-51</w:t>
        </w:r>
      </w:hyperlink>
      <w:r w:rsidRPr="00926E00">
        <w:t xml:space="preserve"> i </w:t>
      </w:r>
      <w:hyperlink r:id="rId7" w:anchor="/document/16798687?unitId=art(187)&amp;cm=DOCUMENT" w:history="1">
        <w:r w:rsidRPr="00926E00">
          <w:rPr>
            <w:rStyle w:val="Hipercze"/>
          </w:rPr>
          <w:t>art. 187-195a</w:t>
        </w:r>
      </w:hyperlink>
      <w:r w:rsidRPr="00926E00">
        <w:t xml:space="preserve"> Kodeksu karnego wykonawczego.</w:t>
      </w:r>
    </w:p>
    <w:p w14:paraId="741B80EB" w14:textId="4CD556F0" w:rsidR="00AD39D5" w:rsidRDefault="00A85797" w:rsidP="00926E00">
      <w:pPr>
        <w:jc w:val="both"/>
      </w:pPr>
      <w:r>
        <w:lastRenderedPageBreak/>
        <w:t xml:space="preserve">Na początku egzaminu sprawdzić, czy jest zarzut z art. 439 </w:t>
      </w:r>
      <w:proofErr w:type="spellStart"/>
      <w:r>
        <w:t>kpk</w:t>
      </w:r>
      <w:proofErr w:type="spellEnd"/>
      <w:r>
        <w:t xml:space="preserve"> i go postawić jako pierwszego. Warto też sprawdzić koszty</w:t>
      </w:r>
    </w:p>
    <w:p w14:paraId="03568691" w14:textId="28FC6DD8" w:rsidR="004E6F7B" w:rsidRDefault="00303C49" w:rsidP="00303C49">
      <w:pPr>
        <w:pStyle w:val="Nagwek1"/>
        <w:jc w:val="center"/>
      </w:pPr>
      <w:r>
        <w:t>10.06.2025</w:t>
      </w:r>
    </w:p>
    <w:p w14:paraId="5600808C" w14:textId="2BCCF435" w:rsidR="00147767" w:rsidRDefault="00147767" w:rsidP="00303C49">
      <w:pPr>
        <w:jc w:val="both"/>
      </w:pPr>
      <w:r w:rsidRPr="00147767">
        <w:rPr>
          <w:b/>
          <w:bCs/>
        </w:rPr>
        <w:t>Egzamin</w:t>
      </w:r>
      <w:r>
        <w:t>:</w:t>
      </w:r>
    </w:p>
    <w:p w14:paraId="0BFF9237" w14:textId="17E56280" w:rsidR="00303C49" w:rsidRDefault="00147767" w:rsidP="00303C49">
      <w:pPr>
        <w:jc w:val="both"/>
      </w:pPr>
      <w:r>
        <w:t xml:space="preserve">Jak się oskarżony nie przyznawał do winy, to wnosić o uniewinnienie. </w:t>
      </w:r>
    </w:p>
    <w:p w14:paraId="3BD2539B" w14:textId="637A57CE" w:rsidR="00147767" w:rsidRDefault="00147767" w:rsidP="00303C49">
      <w:pPr>
        <w:jc w:val="both"/>
      </w:pPr>
      <w:r>
        <w:t>A jeśli się przyznawał, to wówczas najlepiej złożyć wniosek adekwatny do tego, co wynika ze stanu faktycznego.</w:t>
      </w:r>
    </w:p>
    <w:p w14:paraId="7016BE8D" w14:textId="4CAF3231" w:rsidR="000A4CBC" w:rsidRDefault="000A4CBC" w:rsidP="00303C49">
      <w:pPr>
        <w:jc w:val="both"/>
      </w:pPr>
      <w:r>
        <w:t>I odpowiednio to uzasadnić</w:t>
      </w:r>
      <w:r w:rsidR="00CB63A0">
        <w:t xml:space="preserve">. </w:t>
      </w:r>
    </w:p>
    <w:p w14:paraId="3E6F2A13" w14:textId="25F3D4E0" w:rsidR="001E5F81" w:rsidRDefault="001E5F81" w:rsidP="00303C49">
      <w:pPr>
        <w:jc w:val="both"/>
      </w:pPr>
      <w:r>
        <w:t>KKS nie powinno być na egzaminie.</w:t>
      </w:r>
    </w:p>
    <w:p w14:paraId="525EEEF1" w14:textId="29F1AEE2" w:rsidR="00147767" w:rsidRDefault="00CB63A0" w:rsidP="00303C49">
      <w:pPr>
        <w:jc w:val="both"/>
      </w:pPr>
      <w:r>
        <w:t xml:space="preserve">Natomiast realnie, w życiu </w:t>
      </w:r>
      <w:r w:rsidR="00147767">
        <w:t>zawsze iść o uniewinnienie</w:t>
      </w:r>
      <w:r w:rsidR="000A4CBC">
        <w:t>.</w:t>
      </w:r>
    </w:p>
    <w:p w14:paraId="723EECE8" w14:textId="31985441" w:rsidR="00F109CA" w:rsidRDefault="00F109CA" w:rsidP="00303C49">
      <w:pPr>
        <w:jc w:val="both"/>
      </w:pPr>
      <w:r>
        <w:t xml:space="preserve">Odpowiedzialność posiłkowa – organ postępowania, jeśli to widzi, to musi wydać postanowienie o pociągnięciu za to do odpowiedzialności. Jeśli on tego nie zrobi, a sąd zauważy, to sąd musi wprowadzić ten podmiot. Status </w:t>
      </w:r>
      <w:r w:rsidR="006B2BEA">
        <w:t xml:space="preserve">się zmienia </w:t>
      </w:r>
      <w:r>
        <w:t xml:space="preserve">z podmiotu pociągniętego </w:t>
      </w:r>
      <w:r w:rsidR="006B2BEA">
        <w:t>do odpowiedzialności posiłkowej do (po wydaniu wyroku) odpowiedzialnego posiłkowo.</w:t>
      </w:r>
    </w:p>
    <w:p w14:paraId="3970106B" w14:textId="7ACE5F07" w:rsidR="00291ED4" w:rsidRDefault="00D87D8E" w:rsidP="00303C49">
      <w:pPr>
        <w:jc w:val="both"/>
      </w:pPr>
      <w:r>
        <w:t xml:space="preserve">Wytyczne </w:t>
      </w:r>
      <w:r w:rsidR="004565FB">
        <w:t>PK I</w:t>
      </w:r>
      <w:r>
        <w:t xml:space="preserve"> BP 024.13.</w:t>
      </w:r>
      <w:r w:rsidR="007E0586">
        <w:t>2017</w:t>
      </w:r>
    </w:p>
    <w:p w14:paraId="52C160DD" w14:textId="1FEE5FC7" w:rsidR="00A54FEE" w:rsidRDefault="00A54FEE" w:rsidP="00303C49">
      <w:pPr>
        <w:jc w:val="both"/>
      </w:pPr>
      <w:r>
        <w:t xml:space="preserve">Tryby w KKS: </w:t>
      </w:r>
    </w:p>
    <w:p w14:paraId="233C4FCE" w14:textId="7986958E" w:rsidR="00A54FEE" w:rsidRDefault="00A54FEE" w:rsidP="00303C49">
      <w:pPr>
        <w:jc w:val="both"/>
      </w:pPr>
      <w:r>
        <w:t xml:space="preserve">Dobrowolne poddanie się </w:t>
      </w:r>
      <w:r w:rsidR="00F76C8C">
        <w:t>odpowiedzialności</w:t>
      </w:r>
      <w:r w:rsidR="00980101">
        <w:t xml:space="preserve"> – najpierw się płaci, a potem jest dogadanie się. </w:t>
      </w:r>
    </w:p>
    <w:p w14:paraId="71F28448" w14:textId="2535E712" w:rsidR="00A54FEE" w:rsidRDefault="00A54FEE" w:rsidP="00303C49">
      <w:pPr>
        <w:jc w:val="both"/>
      </w:pPr>
      <w:r>
        <w:t>Zwyczajny</w:t>
      </w:r>
    </w:p>
    <w:p w14:paraId="52AA6028" w14:textId="73D1BBDE" w:rsidR="00A54FEE" w:rsidRDefault="00A54FEE" w:rsidP="00303C49">
      <w:pPr>
        <w:jc w:val="both"/>
      </w:pPr>
      <w:r>
        <w:t>Nakazowy</w:t>
      </w:r>
      <w:r w:rsidR="0015121B">
        <w:t xml:space="preserve"> </w:t>
      </w:r>
      <w:r w:rsidR="00C138CE">
        <w:t>–</w:t>
      </w:r>
      <w:r w:rsidR="0015121B">
        <w:t xml:space="preserve"> </w:t>
      </w:r>
      <w:r w:rsidR="00C138CE">
        <w:t xml:space="preserve">jeśli nie chwyci </w:t>
      </w:r>
      <w:r w:rsidR="007C318B">
        <w:t>dobrowolne poddanie się odp</w:t>
      </w:r>
      <w:r w:rsidR="00C138CE">
        <w:t xml:space="preserve">. Jest to tryb uproszczony, jest wniosek o ukaranie i na końcu jest niejawne posiedzenie i wyrok nakazowy. Doręcza się go stronom, jeśli zaskarży to postępowanie zwykłe, a jeśli nie, no to </w:t>
      </w:r>
      <w:r w:rsidR="007C318B">
        <w:t xml:space="preserve">się </w:t>
      </w:r>
      <w:proofErr w:type="spellStart"/>
      <w:r w:rsidR="007C318B">
        <w:t>uprawomacnia</w:t>
      </w:r>
      <w:proofErr w:type="spellEnd"/>
      <w:r w:rsidR="007C318B">
        <w:t xml:space="preserve"> i można działać.</w:t>
      </w:r>
    </w:p>
    <w:p w14:paraId="3BED997A" w14:textId="0AC04C22" w:rsidR="00A54FEE" w:rsidRDefault="00F76C8C" w:rsidP="00303C49">
      <w:pPr>
        <w:jc w:val="both"/>
      </w:pPr>
      <w:r>
        <w:t>W stosunku do nieobecnych</w:t>
      </w:r>
      <w:r w:rsidR="00C4546C">
        <w:t xml:space="preserve"> - </w:t>
      </w:r>
    </w:p>
    <w:p w14:paraId="6266495D" w14:textId="6406C583" w:rsidR="00F76C8C" w:rsidRDefault="00422B75" w:rsidP="00303C49">
      <w:pPr>
        <w:jc w:val="both"/>
      </w:pPr>
      <w:r>
        <w:t xml:space="preserve">106 </w:t>
      </w:r>
      <w:proofErr w:type="spellStart"/>
      <w:r>
        <w:t>kw</w:t>
      </w:r>
      <w:proofErr w:type="spellEnd"/>
      <w:r>
        <w:t xml:space="preserve"> </w:t>
      </w:r>
      <w:r w:rsidR="00A528D8">
        <w:t xml:space="preserve">nie wymaga narażenia na bezpośrednie niebezpieczeństwo, 160kk już tego wymaga </w:t>
      </w:r>
    </w:p>
    <w:p w14:paraId="3C895186" w14:textId="7A96B1CC" w:rsidR="00574D4D" w:rsidRPr="00303C49" w:rsidRDefault="00574D4D" w:rsidP="00574D4D">
      <w:pPr>
        <w:jc w:val="both"/>
      </w:pPr>
      <w:r>
        <w:t>Postanowienie</w:t>
      </w:r>
      <w:r>
        <w:t xml:space="preserve"> SN </w:t>
      </w:r>
      <w:r>
        <w:t>III KK 558/22</w:t>
      </w:r>
    </w:p>
    <w:sectPr w:rsidR="00574D4D" w:rsidRPr="00303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6D4"/>
    <w:rsid w:val="00002F19"/>
    <w:rsid w:val="00011D64"/>
    <w:rsid w:val="000A4CBC"/>
    <w:rsid w:val="000F5B56"/>
    <w:rsid w:val="001223FC"/>
    <w:rsid w:val="0014321D"/>
    <w:rsid w:val="001473D3"/>
    <w:rsid w:val="00147767"/>
    <w:rsid w:val="00147A05"/>
    <w:rsid w:val="00147BC0"/>
    <w:rsid w:val="0015121B"/>
    <w:rsid w:val="001706D4"/>
    <w:rsid w:val="001E5F81"/>
    <w:rsid w:val="00291ED4"/>
    <w:rsid w:val="00296DD8"/>
    <w:rsid w:val="00300EBD"/>
    <w:rsid w:val="00303C49"/>
    <w:rsid w:val="003B3ADE"/>
    <w:rsid w:val="004142BC"/>
    <w:rsid w:val="00422B75"/>
    <w:rsid w:val="00434B44"/>
    <w:rsid w:val="004565FB"/>
    <w:rsid w:val="00492C61"/>
    <w:rsid w:val="004E6F7B"/>
    <w:rsid w:val="00574D4D"/>
    <w:rsid w:val="005822BA"/>
    <w:rsid w:val="005F0996"/>
    <w:rsid w:val="006B2BEA"/>
    <w:rsid w:val="007C318B"/>
    <w:rsid w:val="007E0586"/>
    <w:rsid w:val="008939F1"/>
    <w:rsid w:val="008F681E"/>
    <w:rsid w:val="008F74FF"/>
    <w:rsid w:val="00926E00"/>
    <w:rsid w:val="00980101"/>
    <w:rsid w:val="009A58AC"/>
    <w:rsid w:val="009C1252"/>
    <w:rsid w:val="00A528D8"/>
    <w:rsid w:val="00A54FEE"/>
    <w:rsid w:val="00A85797"/>
    <w:rsid w:val="00AD39D5"/>
    <w:rsid w:val="00B357ED"/>
    <w:rsid w:val="00B67091"/>
    <w:rsid w:val="00B67D16"/>
    <w:rsid w:val="00BF3E46"/>
    <w:rsid w:val="00C138CE"/>
    <w:rsid w:val="00C4087D"/>
    <w:rsid w:val="00C4546C"/>
    <w:rsid w:val="00CB63A0"/>
    <w:rsid w:val="00CF5A9E"/>
    <w:rsid w:val="00D24BFF"/>
    <w:rsid w:val="00D87D8E"/>
    <w:rsid w:val="00DE5D2C"/>
    <w:rsid w:val="00E14DD5"/>
    <w:rsid w:val="00E75AD5"/>
    <w:rsid w:val="00EE1DF7"/>
    <w:rsid w:val="00F109CA"/>
    <w:rsid w:val="00F13465"/>
    <w:rsid w:val="00F32061"/>
    <w:rsid w:val="00F7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F14B"/>
  <w15:chartTrackingRefBased/>
  <w15:docId w15:val="{0115677A-CC41-4148-902D-53B1A8E6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70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70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706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70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706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70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70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70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70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706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706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706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706D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706D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706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706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706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706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70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70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70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70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70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706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706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706D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706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706D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706D4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26E0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26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8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3804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652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827">
              <w:marLeft w:val="360"/>
              <w:marRight w:val="0"/>
              <w:marTop w:val="72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408757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55191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335">
              <w:marLeft w:val="360"/>
              <w:marRight w:val="0"/>
              <w:marTop w:val="72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5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606149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119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94614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971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5754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35469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219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845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732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05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4494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85234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236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022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4976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178">
              <w:marLeft w:val="360"/>
              <w:marRight w:val="0"/>
              <w:marTop w:val="72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298557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7178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474">
              <w:marLeft w:val="360"/>
              <w:marRight w:val="0"/>
              <w:marTop w:val="72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267175">
              <w:marLeft w:val="360"/>
              <w:marRight w:val="0"/>
              <w:marTop w:val="0"/>
              <w:marBottom w:val="7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3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569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669156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22302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63023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4163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32121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0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p.lex.p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p.lex.pl/" TargetMode="External"/><Relationship Id="rId5" Type="http://schemas.openxmlformats.org/officeDocument/2006/relationships/hyperlink" Target="https://sip.lex.pl/" TargetMode="External"/><Relationship Id="rId4" Type="http://schemas.openxmlformats.org/officeDocument/2006/relationships/hyperlink" Target="https://sip.lex.pl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ff24bb-2089-4400-8c8e-f71e680378b2}" enabled="0" method="" siteId="{deff24bb-2089-4400-8c8e-f71e680378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3</Pages>
  <Words>963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KPMG</dc:creator>
  <cp:keywords/>
  <dc:description/>
  <cp:lastModifiedBy>KPMG</cp:lastModifiedBy>
  <cp:revision>54</cp:revision>
  <dcterms:created xsi:type="dcterms:W3CDTF">2025-02-04T13:12:00Z</dcterms:created>
  <dcterms:modified xsi:type="dcterms:W3CDTF">2025-06-10T15:48:00Z</dcterms:modified>
</cp:coreProperties>
</file>