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ABB7256" w14:textId="77777777" w:rsidR="008D7401" w:rsidRPr="00D452A9" w:rsidRDefault="00000000">
      <w:pPr>
        <w:pStyle w:val="Title"/>
        <w:rPr>
          <w:rFonts w:cstheme="majorHAnsi"/>
        </w:rPr>
      </w:pPr>
      <w:r w:rsidRPr="00D452A9">
        <w:rPr>
          <w:rFonts w:cstheme="majorHAnsi"/>
        </w:rPr>
        <w:t>Revisiting the Population Attributable Fraction</w:t>
      </w:r>
    </w:p>
    <w:p w14:paraId="339EFC73" w14:textId="77777777" w:rsidR="00335992" w:rsidRPr="00D452A9" w:rsidRDefault="00335992" w:rsidP="00335992">
      <w:pPr>
        <w:pStyle w:val="Author"/>
        <w:rPr>
          <w:rFonts w:cstheme="majorHAnsi"/>
          <w:vertAlign w:val="superscript"/>
        </w:rPr>
      </w:pPr>
      <w:r w:rsidRPr="00D452A9">
        <w:rPr>
          <w:rFonts w:cstheme="majorHAnsi"/>
        </w:rPr>
        <w:t>Mark Klose</w:t>
      </w:r>
      <w:r w:rsidRPr="00D452A9">
        <w:rPr>
          <w:rFonts w:cstheme="majorHAnsi"/>
          <w:vertAlign w:val="superscript"/>
        </w:rPr>
        <w:t>1</w:t>
      </w:r>
      <w:r w:rsidRPr="00D452A9">
        <w:rPr>
          <w:rFonts w:cstheme="majorHAnsi"/>
        </w:rPr>
        <w:t>, Stephen R. Cole</w:t>
      </w:r>
      <w:r w:rsidRPr="00D452A9">
        <w:rPr>
          <w:rFonts w:cstheme="majorHAnsi"/>
          <w:vertAlign w:val="superscript"/>
        </w:rPr>
        <w:t>1</w:t>
      </w:r>
      <w:r w:rsidRPr="00D452A9">
        <w:rPr>
          <w:rFonts w:cstheme="majorHAnsi"/>
        </w:rPr>
        <w:t>, Paul N. Zivich,</w:t>
      </w:r>
      <w:r w:rsidRPr="00D452A9">
        <w:rPr>
          <w:rFonts w:cstheme="majorHAnsi"/>
          <w:vertAlign w:val="superscript"/>
        </w:rPr>
        <w:t xml:space="preserve">1,2 </w:t>
      </w:r>
      <w:proofErr w:type="spellStart"/>
      <w:r w:rsidRPr="00D452A9">
        <w:rPr>
          <w:rFonts w:cstheme="majorHAnsi"/>
        </w:rPr>
        <w:t>Adaora</w:t>
      </w:r>
      <w:proofErr w:type="spellEnd"/>
      <w:r w:rsidRPr="00D452A9">
        <w:rPr>
          <w:rFonts w:cstheme="majorHAnsi"/>
        </w:rPr>
        <w:t xml:space="preserve"> A. Adimora</w:t>
      </w:r>
      <w:r w:rsidRPr="00D452A9">
        <w:rPr>
          <w:rFonts w:cstheme="majorHAnsi"/>
          <w:vertAlign w:val="superscript"/>
        </w:rPr>
        <w:t>2,3</w:t>
      </w:r>
    </w:p>
    <w:p w14:paraId="296C3D6A" w14:textId="662398CF" w:rsidR="00335992" w:rsidRPr="00D452A9" w:rsidRDefault="00335992" w:rsidP="00335992">
      <w:pPr>
        <w:pStyle w:val="Date"/>
        <w:rPr>
          <w:rFonts w:cstheme="majorHAnsi"/>
        </w:rPr>
      </w:pPr>
      <w:r w:rsidRPr="00D452A9">
        <w:rPr>
          <w:rFonts w:cstheme="majorHAnsi"/>
        </w:rPr>
        <w:t>2023-0</w:t>
      </w:r>
      <w:r w:rsidR="007435BA" w:rsidRPr="00D452A9">
        <w:rPr>
          <w:rFonts w:cstheme="majorHAnsi"/>
        </w:rPr>
        <w:t>8</w:t>
      </w:r>
      <w:r w:rsidRPr="00D452A9">
        <w:rPr>
          <w:rFonts w:cstheme="majorHAnsi"/>
        </w:rPr>
        <w:t>-</w:t>
      </w:r>
      <w:r w:rsidR="007435BA" w:rsidRPr="00D452A9">
        <w:rPr>
          <w:rFonts w:cstheme="majorHAnsi"/>
        </w:rPr>
        <w:t>1</w:t>
      </w:r>
      <w:r w:rsidRPr="00D452A9">
        <w:rPr>
          <w:rFonts w:cstheme="majorHAnsi"/>
        </w:rPr>
        <w:t>5</w:t>
      </w:r>
    </w:p>
    <w:p w14:paraId="77654B05" w14:textId="77777777" w:rsidR="00335992" w:rsidRPr="00D452A9" w:rsidRDefault="00335992" w:rsidP="00335992">
      <w:pPr>
        <w:pStyle w:val="FirstParagraph"/>
      </w:pPr>
      <w:bookmarkStart w:id="0" w:name="funding"/>
      <w:r w:rsidRPr="00D452A9">
        <w:rPr>
          <w:vertAlign w:val="superscript"/>
        </w:rPr>
        <w:t>1</w:t>
      </w:r>
      <w:r w:rsidRPr="00D452A9">
        <w:t xml:space="preserve"> Department of Epidemiology, Gillings School of Global Public Health, UNC Chapel Hill</w:t>
      </w:r>
      <w:r w:rsidRPr="00D452A9">
        <w:br/>
      </w:r>
      <w:r w:rsidRPr="00D452A9">
        <w:rPr>
          <w:vertAlign w:val="superscript"/>
        </w:rPr>
        <w:t>2</w:t>
      </w:r>
      <w:r w:rsidRPr="00D452A9">
        <w:t xml:space="preserve"> Institute of Global Health and Infectious Diseases, UNC Chapel Hill</w:t>
      </w:r>
    </w:p>
    <w:p w14:paraId="03FBF0F0" w14:textId="77777777" w:rsidR="00335992" w:rsidRPr="00D452A9" w:rsidRDefault="00335992" w:rsidP="00335992">
      <w:pPr>
        <w:pStyle w:val="BodyText"/>
        <w:ind w:firstLine="0"/>
      </w:pPr>
      <w:r w:rsidRPr="00D452A9">
        <w:rPr>
          <w:vertAlign w:val="superscript"/>
        </w:rPr>
        <w:t>3</w:t>
      </w:r>
      <w:r w:rsidRPr="00D452A9">
        <w:t xml:space="preserve"> Division of Infectious Diseases, Department of Medicine, School of Medicine, UNC Chapel Hill </w:t>
      </w:r>
    </w:p>
    <w:p w14:paraId="710DACCC" w14:textId="0CE9BC22" w:rsidR="008D7401" w:rsidRPr="00D452A9" w:rsidRDefault="00000000">
      <w:pPr>
        <w:pStyle w:val="Heading3"/>
        <w:rPr>
          <w:rFonts w:cstheme="majorHAnsi"/>
        </w:rPr>
      </w:pPr>
      <w:r w:rsidRPr="00D452A9">
        <w:rPr>
          <w:rFonts w:cstheme="majorHAnsi"/>
        </w:rPr>
        <w:t>Funding</w:t>
      </w:r>
    </w:p>
    <w:p w14:paraId="429F0283" w14:textId="77777777" w:rsidR="00335992" w:rsidRPr="00D452A9" w:rsidRDefault="00335992" w:rsidP="00A22F0B">
      <w:bookmarkStart w:id="1" w:name="acknowledgements"/>
      <w:bookmarkEnd w:id="0"/>
      <w:r w:rsidRPr="00D452A9">
        <w:t>This work was supported in part by R01AI157758 (MK, SRC), T32-AI007001 (PNZ), and U01HL146194 (AA, SRC)</w:t>
      </w:r>
    </w:p>
    <w:p w14:paraId="1FD29616" w14:textId="77777777" w:rsidR="008D7401" w:rsidRPr="00D452A9" w:rsidRDefault="00000000">
      <w:pPr>
        <w:pStyle w:val="Heading3"/>
        <w:rPr>
          <w:rFonts w:cstheme="majorHAnsi"/>
        </w:rPr>
      </w:pPr>
      <w:r w:rsidRPr="00D452A9">
        <w:rPr>
          <w:rFonts w:cstheme="majorHAnsi"/>
        </w:rPr>
        <w:t>Acknowledgements</w:t>
      </w:r>
    </w:p>
    <w:p w14:paraId="6CD495F8" w14:textId="77777777" w:rsidR="008D7401" w:rsidRPr="00D452A9" w:rsidRDefault="00000000">
      <w:pPr>
        <w:pStyle w:val="FirstParagraph"/>
      </w:pPr>
      <w:r w:rsidRPr="00D452A9">
        <w:t>The authors would like to acknowledge […]</w:t>
      </w:r>
    </w:p>
    <w:p w14:paraId="328A2BFA" w14:textId="77777777" w:rsidR="008D7401" w:rsidRPr="00D452A9" w:rsidRDefault="00000000">
      <w:pPr>
        <w:pStyle w:val="Heading3"/>
        <w:rPr>
          <w:rFonts w:cstheme="majorHAnsi"/>
        </w:rPr>
      </w:pPr>
      <w:bookmarkStart w:id="2" w:name="data-availability"/>
      <w:bookmarkEnd w:id="1"/>
      <w:r w:rsidRPr="00D452A9">
        <w:rPr>
          <w:rFonts w:cstheme="majorHAnsi"/>
        </w:rPr>
        <w:t>Data Availability</w:t>
      </w:r>
    </w:p>
    <w:p w14:paraId="79C5EA69" w14:textId="31647DD1" w:rsidR="008D7401" w:rsidRPr="00D452A9" w:rsidRDefault="00000000" w:rsidP="00E31F1F">
      <w:pPr>
        <w:rPr>
          <w:rFonts w:eastAsia="Times New Roman" w:cstheme="majorHAnsi"/>
        </w:rPr>
      </w:pPr>
      <w:r w:rsidRPr="00D452A9">
        <w:rPr>
          <w:rFonts w:cstheme="majorHAnsi"/>
        </w:rPr>
        <w:t xml:space="preserve">Data are available </w:t>
      </w:r>
      <w:r w:rsidR="00E31F1F" w:rsidRPr="00D452A9">
        <w:rPr>
          <w:rFonts w:cstheme="majorHAnsi"/>
        </w:rPr>
        <w:t xml:space="preserve">as part of the supplement in </w:t>
      </w:r>
      <w:r w:rsidR="00E31F1F" w:rsidRPr="00D452A9">
        <w:rPr>
          <w:rFonts w:eastAsia="Times New Roman" w:cstheme="majorHAnsi"/>
        </w:rPr>
        <w:t xml:space="preserve">Lau B, Cole SR, </w:t>
      </w:r>
      <w:proofErr w:type="spellStart"/>
      <w:r w:rsidR="00E31F1F" w:rsidRPr="00D452A9">
        <w:rPr>
          <w:rFonts w:eastAsia="Times New Roman" w:cstheme="majorHAnsi"/>
        </w:rPr>
        <w:t>Gange</w:t>
      </w:r>
      <w:proofErr w:type="spellEnd"/>
      <w:r w:rsidR="00E31F1F" w:rsidRPr="00D452A9">
        <w:rPr>
          <w:rFonts w:eastAsia="Times New Roman" w:cstheme="majorHAnsi"/>
        </w:rPr>
        <w:t xml:space="preserve"> SJ. Competing Risk Regression Models for Epidemiologic Data. </w:t>
      </w:r>
      <w:r w:rsidR="00E31F1F" w:rsidRPr="00D452A9">
        <w:rPr>
          <w:rFonts w:eastAsia="Times New Roman" w:cstheme="majorHAnsi"/>
          <w:i/>
          <w:iCs/>
        </w:rPr>
        <w:t>American Journal of Epidemiology</w:t>
      </w:r>
      <w:r w:rsidR="00E31F1F" w:rsidRPr="00D452A9">
        <w:rPr>
          <w:rFonts w:eastAsia="Times New Roman" w:cstheme="majorHAnsi"/>
        </w:rPr>
        <w:t>. 2009;170(2):244–256.</w:t>
      </w:r>
    </w:p>
    <w:p w14:paraId="38BEC11F" w14:textId="77777777" w:rsidR="008D7401" w:rsidRPr="00D452A9" w:rsidRDefault="00000000">
      <w:pPr>
        <w:pStyle w:val="Heading3"/>
        <w:rPr>
          <w:rFonts w:cstheme="majorHAnsi"/>
        </w:rPr>
      </w:pPr>
      <w:bookmarkStart w:id="3" w:name="conflicts-of-interest"/>
      <w:bookmarkEnd w:id="2"/>
      <w:r w:rsidRPr="00D452A9">
        <w:rPr>
          <w:rFonts w:cstheme="majorHAnsi"/>
        </w:rPr>
        <w:t>Conflicts of Interest</w:t>
      </w:r>
    </w:p>
    <w:p w14:paraId="09038939" w14:textId="77777777" w:rsidR="008D7401" w:rsidRPr="00D452A9" w:rsidRDefault="00000000">
      <w:pPr>
        <w:pStyle w:val="FirstParagraph"/>
      </w:pPr>
      <w:r w:rsidRPr="00D452A9">
        <w:t>None reported.</w:t>
      </w:r>
    </w:p>
    <w:p w14:paraId="67B403B5" w14:textId="77777777" w:rsidR="008D7401" w:rsidRPr="00D452A9" w:rsidRDefault="00000000">
      <w:pPr>
        <w:pStyle w:val="Heading3"/>
        <w:rPr>
          <w:rFonts w:cstheme="majorHAnsi"/>
        </w:rPr>
      </w:pPr>
      <w:bookmarkStart w:id="4" w:name="running-head"/>
      <w:bookmarkEnd w:id="3"/>
      <w:r w:rsidRPr="00D452A9">
        <w:rPr>
          <w:rFonts w:cstheme="majorHAnsi"/>
        </w:rPr>
        <w:t>Running Head</w:t>
      </w:r>
    </w:p>
    <w:p w14:paraId="7FFF12D6" w14:textId="77777777" w:rsidR="008D7401" w:rsidRPr="00D452A9" w:rsidRDefault="00000000">
      <w:pPr>
        <w:pStyle w:val="FirstParagraph"/>
      </w:pPr>
      <w:r w:rsidRPr="00D452A9">
        <w:t>Attributable Fractions</w:t>
      </w:r>
    </w:p>
    <w:p w14:paraId="7782A502" w14:textId="77777777" w:rsidR="008D7401" w:rsidRPr="00D452A9" w:rsidRDefault="00000000">
      <w:pPr>
        <w:rPr>
          <w:rFonts w:cstheme="majorHAnsi"/>
        </w:rPr>
      </w:pPr>
      <w:r w:rsidRPr="00D452A9">
        <w:rPr>
          <w:rFonts w:cstheme="majorHAnsi"/>
        </w:rPr>
        <w:br w:type="page"/>
      </w:r>
    </w:p>
    <w:p w14:paraId="68702D4E" w14:textId="77777777" w:rsidR="0062001E" w:rsidRPr="00D452A9" w:rsidRDefault="00000000" w:rsidP="0062001E">
      <w:pPr>
        <w:pStyle w:val="Heading1"/>
        <w:rPr>
          <w:rStyle w:val="CommentReference"/>
          <w:rFonts w:cstheme="majorHAnsi"/>
          <w:caps w:val="0"/>
        </w:rPr>
      </w:pPr>
      <w:bookmarkStart w:id="5" w:name="abstract"/>
      <w:bookmarkEnd w:id="4"/>
      <w:r w:rsidRPr="00D452A9">
        <w:rPr>
          <w:rFonts w:cstheme="majorHAnsi"/>
        </w:rPr>
        <w:lastRenderedPageBreak/>
        <w:t>Abstract</w:t>
      </w:r>
      <w:bookmarkStart w:id="6" w:name="key-words"/>
    </w:p>
    <w:p w14:paraId="45B9B938" w14:textId="29C8F17F" w:rsidR="0062001E" w:rsidRPr="00D452A9" w:rsidRDefault="0062001E" w:rsidP="00821C83">
      <w:pPr>
        <w:rPr>
          <w:rFonts w:cstheme="majorHAnsi"/>
        </w:rPr>
      </w:pPr>
      <w:r w:rsidRPr="00D452A9">
        <w:rPr>
          <w:rFonts w:cstheme="majorHAnsi"/>
        </w:rPr>
        <w:t>To be written last</w:t>
      </w:r>
      <w:r w:rsidR="00821C83" w:rsidRPr="00D452A9">
        <w:rPr>
          <w:rFonts w:cstheme="majorHAnsi"/>
        </w:rPr>
        <w:t xml:space="preserve">. </w:t>
      </w:r>
    </w:p>
    <w:p w14:paraId="7C3B85AF" w14:textId="77777777" w:rsidR="0062001E" w:rsidRPr="00D452A9" w:rsidRDefault="0062001E" w:rsidP="0062001E">
      <w:pPr>
        <w:pStyle w:val="Heading1"/>
        <w:rPr>
          <w:rStyle w:val="CommentReference"/>
          <w:rFonts w:cstheme="majorHAnsi"/>
          <w:caps w:val="0"/>
        </w:rPr>
      </w:pPr>
    </w:p>
    <w:p w14:paraId="251A1FBC" w14:textId="24B84645" w:rsidR="008D7401" w:rsidRPr="00D452A9" w:rsidRDefault="00000000" w:rsidP="0062001E">
      <w:pPr>
        <w:pStyle w:val="Heading1"/>
        <w:rPr>
          <w:rFonts w:cstheme="majorHAnsi"/>
        </w:rPr>
      </w:pPr>
      <w:r w:rsidRPr="00D452A9">
        <w:rPr>
          <w:rFonts w:cstheme="majorHAnsi"/>
        </w:rPr>
        <w:t>Key Words</w:t>
      </w:r>
      <w:r w:rsidR="006A3E49" w:rsidRPr="00D452A9">
        <w:rPr>
          <w:rFonts w:cstheme="majorHAnsi"/>
        </w:rPr>
        <w:t>:</w:t>
      </w:r>
    </w:p>
    <w:p w14:paraId="764032CE" w14:textId="77777777" w:rsidR="008D7401" w:rsidRPr="00D452A9" w:rsidRDefault="00000000">
      <w:pPr>
        <w:pStyle w:val="FirstParagraph"/>
      </w:pPr>
      <w:r w:rsidRPr="00D452A9">
        <w:t>Epidemiologic methods; population attributable fraction; random error; variance</w:t>
      </w:r>
    </w:p>
    <w:p w14:paraId="17E9FBEE" w14:textId="16EEE35E" w:rsidR="008D7401" w:rsidRPr="00D452A9" w:rsidRDefault="008D7401">
      <w:pPr>
        <w:rPr>
          <w:rFonts w:cstheme="majorHAnsi"/>
        </w:rPr>
      </w:pPr>
    </w:p>
    <w:p w14:paraId="54EFA068" w14:textId="77777777" w:rsidR="00722408" w:rsidRPr="00D452A9" w:rsidRDefault="00722408">
      <w:pPr>
        <w:rPr>
          <w:rFonts w:cstheme="majorHAnsi"/>
          <w:caps/>
        </w:rPr>
      </w:pPr>
      <w:bookmarkStart w:id="7" w:name="introduction"/>
      <w:bookmarkEnd w:id="5"/>
      <w:bookmarkEnd w:id="6"/>
      <w:r w:rsidRPr="00D452A9">
        <w:rPr>
          <w:rFonts w:cstheme="majorHAnsi"/>
        </w:rPr>
        <w:br w:type="page"/>
      </w:r>
    </w:p>
    <w:p w14:paraId="06728CF1" w14:textId="36B1900A" w:rsidR="008D7401" w:rsidRPr="00D452A9" w:rsidRDefault="00000000" w:rsidP="00F45E32">
      <w:pPr>
        <w:pStyle w:val="Heading2"/>
      </w:pPr>
      <w:r w:rsidRPr="00D452A9">
        <w:lastRenderedPageBreak/>
        <w:t>Introduction</w:t>
      </w:r>
    </w:p>
    <w:p w14:paraId="007FF9B6" w14:textId="2010FB07" w:rsidR="003C7DA5" w:rsidRPr="00D452A9" w:rsidRDefault="003C7DA5" w:rsidP="003C7DA5">
      <w:pPr>
        <w:pStyle w:val="FirstParagraph"/>
      </w:pPr>
      <w:commentRangeStart w:id="8"/>
      <w:commentRangeStart w:id="9"/>
      <w:r w:rsidRPr="00D452A9">
        <w:t xml:space="preserve">Answering the question “What reduction in caseload would we see if we changed the exposure distribution in this population?” has </w:t>
      </w:r>
      <w:r w:rsidR="00C950F9" w:rsidRPr="00D452A9">
        <w:t>an</w:t>
      </w:r>
      <w:r w:rsidRPr="00D452A9">
        <w:t xml:space="preserve"> immediate causal connotation. The population attributable fraction is an epidemiological measure which aims to address this question, </w:t>
      </w:r>
      <w:commentRangeEnd w:id="8"/>
      <w:r w:rsidR="00C22718" w:rsidRPr="00D452A9">
        <w:rPr>
          <w:rStyle w:val="CommentReference"/>
        </w:rPr>
        <w:commentReference w:id="8"/>
      </w:r>
      <w:commentRangeEnd w:id="9"/>
      <w:r w:rsidR="00401971" w:rsidRPr="00D452A9">
        <w:rPr>
          <w:rStyle w:val="CommentReference"/>
        </w:rPr>
        <w:commentReference w:id="9"/>
      </w:r>
      <w:r w:rsidRPr="00D452A9">
        <w:t xml:space="preserve">but despite </w:t>
      </w:r>
      <w:r w:rsidR="00017471" w:rsidRPr="00D452A9">
        <w:t>the</w:t>
      </w:r>
      <w:r w:rsidRPr="00D452A9">
        <w:t xml:space="preserve"> lengthy history</w:t>
      </w:r>
      <w:r w:rsidR="00017471" w:rsidRPr="00D452A9">
        <w:t xml:space="preserve"> of the population attributable fraction</w:t>
      </w:r>
      <w:r w:rsidR="004830AB" w:rsidRPr="00D452A9">
        <w:t>,</w:t>
      </w:r>
      <w:r w:rsidRPr="00D452A9">
        <w:t xml:space="preserve"> there remains a lack of consensus about best practices for its definition and estimation </w:t>
      </w:r>
      <w:r w:rsidRPr="00D452A9">
        <w:fldChar w:fldCharType="begin"/>
      </w:r>
      <w:r w:rsidR="004E2460" w:rsidRPr="00D452A9">
        <w:instrText xml:space="preserve"> ADDIN ZOTERO_ITEM CSL_CITATION {"citationID":"JJUDKmBM","properties":{"formattedCitation":"(1,2)","plainCitation":"(1,2)","noteIndex":0},"citationItems":[{"id":2075,"uris":["http://zotero.org/users/4426001/items/ZG4EYUYC"],"itemData":{"id":2075,"type":"article-journal","container-title":"Annals of epidemiology","DOI":"10.1016/j.annepidem.2014.11.015","issue":"3","note":"PMID: 25721747\npublisher: Elsevier","page":"147–154","title":"A history of the population attributable fraction and related measures","volume":"25","author":[{"family":"Poole","given":"Charles"}],"issued":{"date-parts":[["2015"]]},"citation-key":"pooleHistoryPopulationAttributable2015"}},{"id":5671,"uris":["http://zotero.org/users/4426001/items/8BAEIQQE"],"itemData":{"id":5671,"type":"article-journal","abstract":"The attributable fraction (population) has attracted much attention from a theoretical perspective and has been used extensively to assess the impact of potential health interventions. However, despite its extensive use, there is much confusion about its concept and calculation methods. In this article, we discuss the concepts of and calculation methods for the attributable fraction and related measures in the counterfactual framework, both with and without stratification by covariates. Generally, the attributable fraction is useful when the exposure of interest has a causal effect on the outcome. However, it is important to understand that this statement applies to the exposed group. Although the target population of the attributable fraction (population) is the total population, the causal effect should be present not in the total population but in the exposed group. As related measures, we discuss the preventable fraction and prevented fraction, which are generally useful when the exposure of interest has a preventive effect on the outcome, and we further propose a new measure called the attributed fraction. We also discuss the causal and preventive excess fractions, and provide notes on vaccine efficacy. Finally, we discuss the relations between the aforementioned six measures and six possible patterns using a conceptual schema.","container-title":"Journal of Causal Inference","DOI":"10.1515/jci-2021-0068","ISSN":"2193-3685","issue":"1","language":"en","note":"publisher: De Gruyter","source":"www-degruyter-com.libproxy.lib.unc.edu","title":"Attributable fraction and related measures: Conceptual relations in the counterfactual framework","title-short":"Attributable fraction and related measures","URL":"https://www.degruyter.com/document/doi/10.1515/jci-2021-0068/html","volume":"11","author":[{"family":"Suzuki","given":"Etsuji"},{"family":"Yamamoto","given":"Eiji"}],"accessed":{"date-parts":[["2023",4,10]]},"issued":{"date-parts":[["2023",1,1]]},"citation-key":"suzukiAttributableFractionRelated2023"}}],"schema":"https://github.com/citation-style-language/schema/raw/master/csl-citation.json"} </w:instrText>
      </w:r>
      <w:r w:rsidRPr="00D452A9">
        <w:fldChar w:fldCharType="separate"/>
      </w:r>
      <w:r w:rsidR="00C202F9" w:rsidRPr="00D452A9">
        <w:rPr>
          <w:rStyle w:val="Hyperlink"/>
        </w:rPr>
        <w:t>(1,2)</w:t>
      </w:r>
      <w:r w:rsidRPr="00D452A9">
        <w:rPr>
          <w:rStyle w:val="Hyperlink"/>
          <w:vertAlign w:val="superscript"/>
        </w:rPr>
        <w:fldChar w:fldCharType="end"/>
      </w:r>
      <w:r w:rsidRPr="00D452A9">
        <w:t xml:space="preserve">. Deeper understanding of population attributable fractions </w:t>
      </w:r>
      <w:r w:rsidR="001B7022" w:rsidRPr="00D452A9">
        <w:t xml:space="preserve">has the potential to </w:t>
      </w:r>
      <w:r w:rsidRPr="00D452A9">
        <w:t>improve public health decision making by providing a</w:t>
      </w:r>
      <w:r w:rsidR="001B7022" w:rsidRPr="00D452A9">
        <w:t xml:space="preserve"> </w:t>
      </w:r>
      <w:r w:rsidRPr="00D452A9">
        <w:t xml:space="preserve">measure </w:t>
      </w:r>
      <w:r w:rsidR="001B7022" w:rsidRPr="00D452A9">
        <w:t>that interprets public health action through the lens of causal inference</w:t>
      </w:r>
      <w:r w:rsidR="00551C28" w:rsidRPr="00D452A9">
        <w:t xml:space="preserve"> </w:t>
      </w:r>
      <w:r w:rsidRPr="00D452A9">
        <w:fldChar w:fldCharType="begin"/>
      </w:r>
      <w:r w:rsidR="00C202F9" w:rsidRPr="00D452A9">
        <w:instrText xml:space="preserve"> ADDIN ZOTERO_ITEM CSL_CITATION {"citationID":"EHtBlN4x","properties":{"formattedCitation":"(2,3)","plainCitation":"(2,3)","noteIndex":0},"citationItems":[{"id":5671,"uris":["http://zotero.org/users/4426001/items/8BAEIQQE"],"itemData":{"id":5671,"type":"article-journal","abstract":"The attributable fraction (population) has attracted much attention from a theoretical perspective and has been used extensively to assess the impact of potential health interventions. However, despite its extensive use, there is much confusion about its concept and calculation methods. In this article, we discuss the concepts of and calculation methods for the attributable fraction and related measures in the counterfactual framework, both with and without stratification by covariates. Generally, the attributable fraction is useful when the exposure of interest has a causal effect on the outcome. However, it is important to understand that this statement applies to the exposed group. Although the target population of the attributable fraction (population) is the total population, the causal effect should be present not in the total population but in the exposed group. As related measures, we discuss the preventable fraction and prevented fraction, which are generally useful when the exposure of interest has a preventive effect on the outcome, and we further propose a new measure called the attributed fraction. We also discuss the causal and preventive excess fractions, and provide notes on vaccine efficacy. Finally, we discuss the relations between the aforementioned six measures and six possible patterns using a conceptual schema.","container-title":"Journal of Causal Inference","DOI":"10.1515/jci-2021-0068","ISSN":"2193-3685","issue":"1","language":"en","note":"publisher: De Gruyter","source":"www-degruyter-com.libproxy.lib.unc.edu","title":"Attributable fraction and related measures: Conceptual relations in the counterfactual framework","title-short":"Attributable fraction and related measures","URL":"https://www.degruyter.com/document/doi/10.1515/jci-2021-0068/html","volume":"11","author":[{"family":"Suzuki","given":"Etsuji"},{"family":"Yamamoto","given":"Eiji"}],"accessed":{"date-parts":[["2023",4,10]]},"issued":{"date-parts":[["2023",1,1]]},"citation-key":"suzukiAttributableFractionRelated2023"}},{"id":2142,"uris":["http://zotero.org/users/4426001/items/RHH2F45M"],"itemData":{"id":2142,"type":"article-journal","container-title":"American Journal of Public Health","DOI":"10.2105/ajph.85.9.1202","ISSN":"0090-0036","issue":"9","journalAbbreviation":"Am J Public Health","language":"eng","note":"PMID: 7661224\nPMCID: PMC1615585","page":"1202-1204","source":"PubMed","title":"Public health methods--attributable risk as a link between causality and public health action","volume":"85","author":[{"family":"Northridge","given":"M. E."}],"issued":{"date-parts":[["1995",9]]},"citation-key":"northridgePublicHealthMethods1995"}}],"schema":"https://github.com/citation-style-language/schema/raw/master/csl-citation.json"} </w:instrText>
      </w:r>
      <w:r w:rsidRPr="00D452A9">
        <w:fldChar w:fldCharType="separate"/>
      </w:r>
      <w:r w:rsidR="00C202F9" w:rsidRPr="00D452A9">
        <w:rPr>
          <w:noProof/>
        </w:rPr>
        <w:t>(2,3)</w:t>
      </w:r>
      <w:r w:rsidRPr="00D452A9">
        <w:fldChar w:fldCharType="end"/>
      </w:r>
      <w:r w:rsidRPr="00D452A9">
        <w:t>.</w:t>
      </w:r>
    </w:p>
    <w:p w14:paraId="7749F623" w14:textId="77777777" w:rsidR="00F22E45" w:rsidRPr="00D452A9" w:rsidRDefault="00017471" w:rsidP="00DA649B">
      <w:pPr>
        <w:pStyle w:val="BodyText"/>
      </w:pPr>
      <w:ins w:id="10" w:author="Klose, Mark Walter" w:date="2023-09-13T13:39:00Z">
        <w:r w:rsidRPr="00D452A9">
          <w:t xml:space="preserve">The population attributable fraction combines multiple sources of data depending whether risk and exposure prevalence estimates are marginal (standardized) or adjusted (conditional) </w:t>
        </w:r>
        <w:r w:rsidRPr="00D452A9">
          <w:fldChar w:fldCharType="begin"/>
        </w:r>
        <w:r w:rsidRPr="00D452A9">
          <w:instrText xml:space="preserve"> ADDIN ZOTERO_ITEM CSL_CITATION {"citationID":"FGe5SP5a","properties":{"formattedCitation":"(4,5)","plainCitation":"(4,5)","noteIndex":0},"citationItems":[{"id":2267,"uris":["http://zotero.org/users/4426001/items/PH6DDZWC"],"itemData":{"id":2267,"type":"article-journal","container-title":"American Journal of Public Health","DOI":"10.2105/AJPH.88.1.15","ISSN":"0090-0036, 1541-0048","issue":"1","journalAbbreviation":"Am J Public Health","language":"en","note":"DOI: 10.2105/ajph.88.1.15\nPMCID: 1508384\nPMID: 9584027","page":"15-19","source":"DOI.org (Crossref)","title":"Use and misuse of population attributable fractions.","volume":"88","author":[{"family":"Rockhill","given":"B"},{"family":"Newman","given":"B"},{"family":"Weinberg","given":"C"}],"issued":{"date-parts":[["1998",1]]},"citation-key":"rockhillUseMisusePopulation1998a"}},{"id":2101,"uris":["http://zotero.org/users/4426001/items/FLT87BAG"],"itemData":{"id":2101,"type":"article-journal","container-title":"International Journal of Clinical Practice","DOI":"10.1111/j.1742-1241.2010.02443.x","ISSN":"13685031, 17421241","issue":"8","language":"en","page":"1019-1023","source":"DOI.org (Crossref)","title":"The population attributable fraction and confounding: buyer beware: Special Issue: Perspective","title-short":"The population attributable fraction and confounding","volume":"64","author":[{"family":"Williamson","given":"D. F."}],"issued":{"date-parts":[["2010",6,16]]},"citation-key":"williamsonPopulationAttributableFraction2010"}}],"schema":"https://github.com/citation-style-language/schema/raw/master/csl-citation.json"} </w:instrText>
        </w:r>
        <w:r w:rsidRPr="00D452A9">
          <w:fldChar w:fldCharType="separate"/>
        </w:r>
        <w:r w:rsidRPr="00D452A9">
          <w:rPr>
            <w:noProof/>
          </w:rPr>
          <w:t>(4,5)</w:t>
        </w:r>
        <w:r w:rsidRPr="00D452A9">
          <w:fldChar w:fldCharType="end"/>
        </w:r>
        <w:r w:rsidRPr="00D452A9">
          <w:t>. Using multiple data sources to estimate the population attributable fraction complicates confidence interval construction</w:t>
        </w:r>
        <w:commentRangeStart w:id="11"/>
        <w:r w:rsidRPr="00D452A9">
          <w:t>, such that often no closed-form solution</w:t>
        </w:r>
        <w:commentRangeEnd w:id="11"/>
        <w:r w:rsidRPr="00D452A9">
          <w:rPr>
            <w:rStyle w:val="CommentReference"/>
          </w:rPr>
          <w:commentReference w:id="11"/>
        </w:r>
        <w:r w:rsidRPr="00D452A9">
          <w:t xml:space="preserve"> exists </w:t>
        </w:r>
        <w:r w:rsidRPr="00D452A9">
          <w:fldChar w:fldCharType="begin"/>
        </w:r>
        <w:r w:rsidRPr="00D452A9">
          <w:instrText xml:space="preserve"> ADDIN ZOTERO_ITEM CSL_CITATION {"citationID":"ISw5hXhf","properties":{"formattedCitation":"(6)","plainCitation":"(6)","noteIndex":0},"citationItems":[{"id":2260,"uris":["http://zotero.org/users/4426001/items/WX4EV5HD"],"itemData":{"id":2260,"type":"article-journal","abstract":"There are numerous techniques for constructing confidence intervals, most of\nwhich are unavailable in standard software. Modern computing power allows\none to replace these techniques with relatively simple, general simulation\nmethods. These methods extend easily to incorporate sources of uncertainty\nbeyond random error. The simulation concepts are explained in an example of\nestimating a population attributable fraction, a problem for which analytical\nformulas can be quite unwieldy. First, simulation of conventional intervals is\nillustrated and compared to bootstrapping. The simulation is then extended to\ninclude sampling of bias parameters from prior distributions. It is argued that the\nuse of almost any neutral or survey-based prior that allows non-zero values for\nbias parameters will produce an interval estimate less misleading than a\nconventional confidence interval. Along with simplicity and generality, the ease\nwith which simulation can incorporate these priors is a key advantage over\nconventional methods.","container-title":"International Journal of Epidemiology","DOI":"10.1093/ije/dyh276","ISSN":"1464-3685","issue":"6","journalAbbreviation":"International Journal of Epidemiology","language":"en","page":"1389-1397","source":"DOI.org (Crossref)","title":"Interval estimation by simulation as an alternative to and extension of confidence intervals","volume":"33","author":[{"family":"Greenland","given":"Sander"}],"issued":{"date-parts":[["2004",12,1]]},"citation-key":"greenlandIntervalEstimationSimulation2004"}}],"schema":"https://github.com/citation-style-language/schema/raw/master/csl-citation.json"} </w:instrText>
        </w:r>
        <w:r w:rsidRPr="00D452A9">
          <w:fldChar w:fldCharType="separate"/>
        </w:r>
        <w:r w:rsidRPr="00D452A9">
          <w:rPr>
            <w:noProof/>
          </w:rPr>
          <w:t>(6)</w:t>
        </w:r>
        <w:r w:rsidRPr="00D452A9">
          <w:fldChar w:fldCharType="end"/>
        </w:r>
        <w:r w:rsidRPr="00D452A9">
          <w:t>. Many population attributable fraction estimators circumvent the complications by assuming the population corresponding to the risk estimate is a random sample of the target population from which the exposure prevalence estimate is derived. When random sampling does not hold, the population attributable fraction estimator must account for transporting the risk and prevalence estimates to the same target population.</w:t>
        </w:r>
      </w:ins>
    </w:p>
    <w:p w14:paraId="35C55F31" w14:textId="5600C9C9" w:rsidR="0012583C" w:rsidRPr="00D452A9" w:rsidRDefault="00017471" w:rsidP="00DA649B">
      <w:pPr>
        <w:pStyle w:val="BodyText"/>
      </w:pPr>
      <w:commentRangeStart w:id="12"/>
      <w:del w:id="13" w:author="Klose, Mark Walter" w:date="2023-09-13T13:39:00Z">
        <w:r w:rsidRPr="00D452A9" w:rsidDel="00017471">
          <w:delText xml:space="preserve">Use of multiple data sources to estimate the population attributable fraction complicates confidence interval construction (*6*). </w:delText>
        </w:r>
        <w:commentRangeEnd w:id="12"/>
        <w:r w:rsidRPr="00D452A9" w:rsidDel="00017471">
          <w:rPr>
            <w:rStyle w:val="CommentReference"/>
          </w:rPr>
          <w:commentReference w:id="12"/>
        </w:r>
        <w:r w:rsidRPr="00D452A9" w:rsidDel="00017471">
          <w:delText xml:space="preserve"> Moreover, some population attributable fraction estimators can only use marginal risk ratios, not adjusted (conditional) risk ratios </w:delText>
        </w:r>
        <w:r w:rsidRPr="00D452A9" w:rsidDel="00017471">
          <w:lastRenderedPageBreak/>
          <w:delText>(*4,5*). The risk and exposure prevalence estimates often come from different populations, and the estimator should likewise account for the transporting between populations.</w:delText>
        </w:r>
      </w:del>
    </w:p>
    <w:p w14:paraId="4976BF54" w14:textId="096634B3" w:rsidR="003C7DA5" w:rsidRPr="00D452A9" w:rsidRDefault="003C7DA5" w:rsidP="004E4CC3">
      <w:pPr>
        <w:pStyle w:val="BodyText"/>
      </w:pPr>
      <w:r w:rsidRPr="00D452A9">
        <w:t xml:space="preserve">Here we </w:t>
      </w:r>
      <w:r w:rsidR="004E4CC3" w:rsidRPr="00D452A9">
        <w:t>revisit</w:t>
      </w:r>
      <w:r w:rsidRPr="00D452A9">
        <w:t xml:space="preserve"> </w:t>
      </w:r>
      <w:r w:rsidR="001B7022" w:rsidRPr="00D452A9">
        <w:t>identification and estimation of the population attributable fraction</w:t>
      </w:r>
      <w:r w:rsidR="00B600D4" w:rsidRPr="00D452A9">
        <w:t xml:space="preserve"> </w:t>
      </w:r>
      <w:commentRangeStart w:id="14"/>
      <w:r w:rsidR="00B600D4" w:rsidRPr="00D452A9">
        <w:t>to account for transporting the risk and prevalence estimates</w:t>
      </w:r>
      <w:commentRangeEnd w:id="14"/>
      <w:r w:rsidR="00B600D4" w:rsidRPr="00D452A9">
        <w:rPr>
          <w:rStyle w:val="CommentReference"/>
        </w:rPr>
        <w:commentReference w:id="14"/>
      </w:r>
      <w:r w:rsidR="001B7022" w:rsidRPr="00D452A9">
        <w:t xml:space="preserve">. </w:t>
      </w:r>
      <w:r w:rsidRPr="00D452A9">
        <w:t>For illustration, we estimate the reduction in AIDS diagnoses and deaths under no injection drug use (IDU) among HIV positive women in the United States</w:t>
      </w:r>
      <w:r w:rsidR="001B7022" w:rsidRPr="00D452A9">
        <w:t xml:space="preserve"> using </w:t>
      </w:r>
      <w:r w:rsidRPr="00D452A9">
        <w:t xml:space="preserve">data from the Women’s Interagency HIV Study (WIHS) and CDC population estimates </w:t>
      </w:r>
      <w:r w:rsidRPr="00D452A9">
        <w:fldChar w:fldCharType="begin"/>
      </w:r>
      <w:r w:rsidR="000C5025" w:rsidRPr="00D452A9">
        <w:instrText xml:space="preserve"> ADDIN ZOTERO_ITEM CSL_CITATION {"citationID":"RRpThftT","properties":{"formattedCitation":"(7\\uc0\\u8211{}11)","plainCitation":"(7–11)","noteIndex":0},"citationItems":[{"id":2110,"uris":["http://zotero.org/users/4426001/items/UJEG2MQN"],"itemData":{"id":2110,"type":"article-journal","container-title":"Epidemiology","issue":"2","language":"en","page":"10","source":"Zotero","title":"The Women's Interagency HIV Study","volume":"9","author":[{"family":"Bar","given":"Susan E"},{"family":"Kalish","given":"Leslie A"},{"family":"Miotri","given":"Paolo"},{"family":"Young","given":"Mary"},{"family":"Greenblatt","given":"Ruth"},{"family":"Sacks","given":"Henry"},{"family":"Feldman","given":"Joseph"}],"issued":{"date-parts":[["1998",3,1]]},"citation-key":"barWomenInteragencyHIV1998"}},{"id":2108,"uris":["http://zotero.org/users/4426001/items/FFX97RTL"],"itemData":{"id":2108,"type":"article-journal","abstract":"Background. It is important to elucidate differences among initial highly active antiretroviral therapy (HAART) regimen types in comparative studies of therapy effectiveness. We aimed to identify predictors of initiation with different HAART regimen types and the effect of initial regimen type on switching and immunologic response to therapy—controlling for those predictors—among human immunodeﬁciency virus (HIV)–infected women in the United States.\nMethods. Participants in the Women’s Interagency HIV Study underwent semiannual interview, venipuncture, and clinical examination. Those beginning with protease inhibitor–based, nonnucleoside reverse-transcriptase inhibitor (NNRTI)–based, or triple–nucleoside reverse-transcriptase inhibitor (NRTI)–based HAART during April 1996–March 2005 were eligible for analysis. Predictors of initial regimen type were assessed with polytomous logistic regression. Correlates of switching were assessed with discrete-time proportional hazards models, and immunologic response to therapy was assessed with linear regression.\nResults. Among 1555 HAART initiators, CD4+ lymphocyte count and HIV load were signiﬁcant predictors of initial regimen type during 1996–2002; only sociodemographic predictors were signiﬁcant during 2002–2005. Initial regimen type was not a signiﬁcant predictor of subsequent regimen switching. Compared with those whose initial treatment was protease inhibitor–based HAART, those who began with triple-NRTI–based regimens had signiﬁcantly lower CD4+ cell counts at 1 year (P p .006) and 2 years (P p .004) after initiation; NNRTI initiators had lower CD4+ cell counts after 2 years (P p .05).\nConclusions. We demonstrate that predictors of initial regimen type among women in the United States have been changing over time. Protease inhibitor initiators had signiﬁcantly higher CD4+ cell counts than did NNRTI or triple-NRTI initiators up to 2 years after HAART initiation. Adjustment for biological predictors of initial regimen is important to avoid confounding in the study of treatment effectiveness.","container-title":"Clinical Infectious Diseases","DOI":"10.1086/524752","ISSN":"1058-4838, 1537-6591","issue":"2","journalAbbreviation":"Clinical Infectious Diseases","language":"en","page":"305-312","source":"DOI.org (Crossref)","title":"Patterns, Predictors, and Consequences of Initial Regimen Type among HIV-Infected Women Receiving Highly Active Antiretroviral Therapy","volume":"46","author":[{"family":"Golub","given":"E. T."},{"family":"Benning","given":"L."},{"family":"Sharma","given":"A."},{"family":"Gandhi","given":"M."},{"family":"Cohen","given":"M. H."},{"family":"Young","given":"M."},{"family":"Gange","given":"S. J."}],"issued":{"date-parts":[["2008",1,15]]},"citation-key":"golubPatternsPredictorsConsequences2008"}},{"id":2106,"uris":["http://zotero.org/users/4426001/items/DGZW677A"],"itemData":{"id":2106,"type":"article-journal","abstract":"Background. Many studies that have reported decreases in human immunodeﬁciency virus (HIV)–related mortality since the advent of highly active antiretroviral therapy (HAART) have also reported steady increases in non-HIV–related mortality over the same time periods. We examined temporal trends and risk factors for accidentand injury-related mortality among HIV-infected and -uninfected participants in the Women’s Interagency HIV Study (WIHS) and the Multicenter AIDS Cohort Study (MACS).\nMethods. Information on causes of death was recorded for all participants in the MACS and WIHS cohort studies who died, and causes of death were categorized as accident- or injury-related deaths or not. Mortality rates were calculated by time periods, prior to the widespread use of HAART (before 1997) and after (1997–2002), and risk factors.\nResults. Cause of death information was available for 619 women in the WIHS who died (during the period 1994–2002) and 1830 men in the MACS who died (during the period 1984–2002). The death rates were higher for accident- or injury-related mortality in the WIHS (2.96 deaths per 1000 person-years for the HIV-infected group and 2.96 per 1000 person-years for the HIV-uninfected group), compared with the participants in MACS (0.79 deaths per 1000 person-years for the HIV-infected group and 0.63 per 1000 person-years for the HIVuninfected group). In the ﬁnal multivariate analysis, the following factors were associated with signiﬁcantly higher risk in men: higher education, depressive symptoms, and a greater number of sex partners. Among women, the signiﬁcant risk factors for death were decreased CD4+ T cell count, unemployment, higher alcohol use, and injection drug use.\nConclusion. The characteristics of the men in the MACS who died and women in the WIHS who died differ, as do the risk factors for mortality. These results characterize important target groups for interventions to reduce accident- and injury-related deaths.","container-title":"Clinical Infectious Diseases","DOI":"10.1086/510488","ISSN":"1058-4838, 1537-6591","issue":"2","journalAbbreviation":"Clinical Infectious Diseases","language":"en","page":"287-294","source":"DOI.org (Crossref)","title":"Mortality among Participants in the Multicenter AIDS Cohort Study and the Women's Interagency HIV Study","volume":"44","author":[{"family":"Hessol","given":"N. A."},{"family":"Kalinowski","given":"A."},{"family":"Benning","given":"L."},{"family":"Mullen","given":"J."},{"family":"Young","given":"M."},{"family":"Palella","given":"F."},{"family":"Anastos","given":"K."},{"family":"Detels","given":"R."},{"family":"Cohen","given":"M. H."}],"issued":{"date-parts":[["2007",1,15]]},"citation-key":"hessolMortalityParticipantsMulticenter2007"}},{"id":3475,"uris":["http://zotero.org/users/4426001/items/NKQQUUY4"],"itemData":{"id":3475,"type":"article-journal","container-title":"Clinical and Diagnostic Laboratory Immunology","DOI":"10.1128/CDLI.12.9.1013-1019.2005","ISSN":"1071-412X","issue":"9","journalAbbreviation":"Clin Diagn Lab Immunol","language":"eng","note":"PMID: 16148165\nPMCID: PMC1235804","page":"1013-1019","source":"PubMed","title":"The Women's Interagency HIV Study: an observational cohort brings clinical sciences to the bench","title-short":"The Women's Interagency HIV Study","volume":"12","author":[{"family":"Bacon","given":"Melanie C."},{"family":"Wyl","given":"Viktor","non-dropping-particle":"von"},{"family":"Alden","given":"Christine"},{"family":"Sharp","given":"Gerald"},{"family":"Robison","given":"Esther"},{"family":"Hessol","given":"Nancy"},{"family":"Gange","given":"Stephen"},{"family":"Barranday","given":"Yvonne"},{"family":"Holman","given":"Susan"},{"family":"Weber","given":"Kathleen"},{"family":"Young","given":"Mary A."}],"issued":{"date-parts":[["2005",9]]},"citation-key":"baconWomenInteragencyHIV2005"}},{"id":2140,"uris":["http://zotero.org/users/4426001/items/UAY9P8R3"],"itemData":{"id":2140,"type":"document","title":"HIV Surveillance Report, 2020. Volume 33","URL":"https://www.cdc.gov/hiv/library/reports/hiv-surveillance/vol-33/index.html","author":[{"literal":"Center for Disease Control and Prevention"}],"issued":{"date-parts":[["2022",5]]},"citation-key":"centerfordiseasecontrolandpreventionHIVSurveillanceReport2022"}}],"schema":"https://github.com/citation-style-language/schema/raw/master/csl-citation.json"} </w:instrText>
      </w:r>
      <w:r w:rsidRPr="00D452A9">
        <w:fldChar w:fldCharType="separate"/>
      </w:r>
      <w:r w:rsidR="000C5025" w:rsidRPr="00D452A9">
        <w:t>(7–11)</w:t>
      </w:r>
      <w:r w:rsidRPr="00D452A9">
        <w:fldChar w:fldCharType="end"/>
      </w:r>
      <w:r w:rsidRPr="00D452A9">
        <w:t>.</w:t>
      </w:r>
      <w:r w:rsidR="00D240B1" w:rsidRPr="00D452A9">
        <w:t xml:space="preserve"> </w:t>
      </w:r>
      <w:r w:rsidR="00C202F9" w:rsidRPr="00D452A9">
        <w:t xml:space="preserve">For variance estimation with multiple data sources, we consider the use of </w:t>
      </w:r>
      <w:r w:rsidR="005A65D5" w:rsidRPr="00D452A9">
        <w:t>the</w:t>
      </w:r>
      <w:r w:rsidR="00C202F9" w:rsidRPr="00D452A9">
        <w:t xml:space="preserve"> bootstrap</w:t>
      </w:r>
      <w:r w:rsidR="005A65D5" w:rsidRPr="00D452A9">
        <w:t xml:space="preserve"> </w:t>
      </w:r>
      <w:r w:rsidR="00C202F9" w:rsidRPr="00D452A9">
        <w:t xml:space="preserve">and sandwich estimators. </w:t>
      </w:r>
      <w:commentRangeStart w:id="15"/>
      <w:commentRangeStart w:id="16"/>
      <w:r w:rsidR="00D240B1" w:rsidRPr="00D452A9">
        <w:t>Code is provided in the supplemental materials.</w:t>
      </w:r>
      <w:commentRangeEnd w:id="15"/>
      <w:r w:rsidR="00D240B1" w:rsidRPr="00D452A9">
        <w:rPr>
          <w:rStyle w:val="CommentReference"/>
        </w:rPr>
        <w:commentReference w:id="15"/>
      </w:r>
      <w:commentRangeEnd w:id="16"/>
      <w:r w:rsidR="00B956F2" w:rsidRPr="00D452A9">
        <w:rPr>
          <w:rStyle w:val="CommentReference"/>
        </w:rPr>
        <w:commentReference w:id="16"/>
      </w:r>
    </w:p>
    <w:p w14:paraId="1090CE82" w14:textId="6A0A699C" w:rsidR="008D7401" w:rsidRPr="00D452A9" w:rsidRDefault="008D7401" w:rsidP="00D07662">
      <w:pPr>
        <w:pStyle w:val="Heading1"/>
        <w:rPr>
          <w:rFonts w:cstheme="majorHAnsi"/>
        </w:rPr>
      </w:pPr>
    </w:p>
    <w:p w14:paraId="1E4F1916" w14:textId="77777777" w:rsidR="008D7401" w:rsidRPr="00D452A9" w:rsidRDefault="00000000">
      <w:pPr>
        <w:pStyle w:val="Heading1"/>
        <w:rPr>
          <w:rFonts w:cstheme="majorHAnsi"/>
        </w:rPr>
      </w:pPr>
      <w:bookmarkStart w:id="17" w:name="materials-and-methods"/>
      <w:bookmarkEnd w:id="7"/>
      <w:r w:rsidRPr="00D452A9">
        <w:rPr>
          <w:rFonts w:cstheme="majorHAnsi"/>
        </w:rPr>
        <w:t>Materials and Methods</w:t>
      </w:r>
    </w:p>
    <w:p w14:paraId="2A3BB508" w14:textId="77777777" w:rsidR="00D07662" w:rsidRPr="00D452A9" w:rsidRDefault="00D07662" w:rsidP="00D07662">
      <w:pPr>
        <w:pStyle w:val="Heading2"/>
        <w:rPr>
          <w:rFonts w:cstheme="majorHAnsi"/>
        </w:rPr>
      </w:pPr>
      <w:bookmarkStart w:id="18" w:name="Xdf7dcdb2b0f4578ad4eb94b0817e87d09b702fb"/>
      <w:r w:rsidRPr="00D452A9">
        <w:rPr>
          <w:rFonts w:cstheme="majorHAnsi"/>
        </w:rPr>
        <w:t>Data Sources</w:t>
      </w:r>
    </w:p>
    <w:p w14:paraId="54F1F95F" w14:textId="38A26A2D" w:rsidR="006D5072" w:rsidRPr="00D452A9" w:rsidRDefault="00D07662" w:rsidP="00A55BB3">
      <w:pPr>
        <w:pStyle w:val="BodyText"/>
        <w:ind w:firstLine="0"/>
      </w:pPr>
      <w:r w:rsidRPr="00D452A9">
        <w:t xml:space="preserve">Our motivating example is </w:t>
      </w:r>
      <w:r w:rsidR="00BB5DE8" w:rsidRPr="00D452A9">
        <w:t xml:space="preserve">to </w:t>
      </w:r>
      <w:r w:rsidR="00D240B1" w:rsidRPr="00D452A9">
        <w:t xml:space="preserve">estimate the population attributable fraction of IDU on </w:t>
      </w:r>
      <w:commentRangeStart w:id="19"/>
      <w:r w:rsidR="00D240B1" w:rsidRPr="00D452A9">
        <w:t>AIDS diagnoses or deaths</w:t>
      </w:r>
      <w:commentRangeEnd w:id="19"/>
      <w:r w:rsidR="004830AB" w:rsidRPr="00D452A9">
        <w:rPr>
          <w:rStyle w:val="CommentReference"/>
        </w:rPr>
        <w:commentReference w:id="19"/>
      </w:r>
      <w:r w:rsidR="00D240B1" w:rsidRPr="00D452A9">
        <w:t xml:space="preserve"> among a target population of all </w:t>
      </w:r>
      <w:r w:rsidR="000C5025" w:rsidRPr="00D452A9">
        <w:t xml:space="preserve">currently </w:t>
      </w:r>
      <w:r w:rsidR="00C202F9" w:rsidRPr="00D452A9">
        <w:t xml:space="preserve">diagnosed </w:t>
      </w:r>
      <w:r w:rsidR="00D240B1" w:rsidRPr="00D452A9">
        <w:t>HIV+ women in the United States</w:t>
      </w:r>
      <w:r w:rsidR="001602F5" w:rsidRPr="00D452A9">
        <w:t xml:space="preserve"> in the next 10 years</w:t>
      </w:r>
      <w:commentRangeStart w:id="20"/>
      <w:r w:rsidR="00D240B1" w:rsidRPr="00D452A9">
        <w:t>.</w:t>
      </w:r>
      <w:commentRangeEnd w:id="20"/>
      <w:r w:rsidR="004830AB" w:rsidRPr="00D452A9">
        <w:rPr>
          <w:rStyle w:val="CommentReference"/>
        </w:rPr>
        <w:commentReference w:id="20"/>
      </w:r>
      <w:r w:rsidR="00D240B1" w:rsidRPr="00D452A9">
        <w:t xml:space="preserve"> </w:t>
      </w:r>
      <w:r w:rsidR="006D5072" w:rsidRPr="00D452A9">
        <w:t xml:space="preserve">The Women’s  Interagency HIV Study (WIHS) measures IDU history and AIDS diagnosis or death within 10 years of diagnosis, but is not a random sample from the target population. For our target population, the Center for Disease Control and Prevention (CDC) publishes yearly HIV/AIDS surveillance reports with the number of incident HIV diagnoses stratified by assigned sex and transmission category </w:t>
      </w:r>
      <w:r w:rsidR="006D5072" w:rsidRPr="00D452A9">
        <w:fldChar w:fldCharType="begin"/>
      </w:r>
      <w:r w:rsidR="006D5072" w:rsidRPr="00D452A9">
        <w:instrText xml:space="preserve"> ADDIN ZOTERO_ITEM CSL_CITATION {"citationID":"VPBFFYtF","properties":{"formattedCitation":"(11)","plainCitation":"(11)","noteIndex":0},"citationItems":[{"id":2140,"uris":["http://zotero.org/users/4426001/items/UAY9P8R3"],"itemData":{"id":2140,"type":"document","title":"HIV Surveillance Report, 2020. Volume 33","URL":"https://www.cdc.gov/hiv/library/reports/hiv-surveillance/vol-33/index.html","author":[{"literal":"Center for Disease Control and Prevention"}],"issued":{"date-parts":[["2022",5]]},"citation-key":"centerfordiseasecontrolandpreventionHIVSurveillanceReport2022"}}],"schema":"https://github.com/citation-style-language/schema/raw/master/csl-citation.json"} </w:instrText>
      </w:r>
      <w:r w:rsidR="006D5072" w:rsidRPr="00D452A9">
        <w:fldChar w:fldCharType="separate"/>
      </w:r>
      <w:r w:rsidR="006D5072" w:rsidRPr="00D452A9">
        <w:rPr>
          <w:noProof/>
        </w:rPr>
        <w:t>(11)</w:t>
      </w:r>
      <w:r w:rsidR="006D5072" w:rsidRPr="00D452A9">
        <w:fldChar w:fldCharType="end"/>
      </w:r>
      <w:r w:rsidR="006D5072" w:rsidRPr="00D452A9">
        <w:t>, which we take to be a census of our target population.</w:t>
      </w:r>
    </w:p>
    <w:p w14:paraId="265E7F46" w14:textId="4E61D893" w:rsidR="006D5072" w:rsidRPr="00D452A9" w:rsidRDefault="006D5072" w:rsidP="00A55BB3">
      <w:pPr>
        <w:pStyle w:val="BodyText"/>
        <w:ind w:firstLine="0"/>
      </w:pPr>
      <w:r w:rsidRPr="00D452A9">
        <w:lastRenderedPageBreak/>
        <w:tab/>
        <w:t xml:space="preserve">WIHS Study details are included in prior literature </w:t>
      </w:r>
      <w:r w:rsidRPr="00D452A9">
        <w:fldChar w:fldCharType="begin"/>
      </w:r>
      <w:r w:rsidRPr="00D452A9">
        <w:instrText xml:space="preserve"> ADDIN ZOTERO_ITEM CSL_CITATION {"citationID":"JJUCU6ZJ","properties":{"formattedCitation":"(7\\uc0\\u8211{}10)","plainCitation":"(7–10)","noteIndex":0},"citationItems":[{"id":2110,"uris":["http://zotero.org/users/4426001/items/UJEG2MQN"],"itemData":{"id":2110,"type":"article-journal","container-title":"Epidemiology","issue":"2","language":"en","page":"10","source":"Zotero","title":"The Women's Interagency HIV Study","volume":"9","author":[{"family":"Bar","given":"Susan E"},{"family":"Kalish","given":"Leslie A"},{"family":"Miotri","given":"Paolo"},{"family":"Young","given":"Mary"},{"family":"Greenblatt","given":"Ruth"},{"family":"Sacks","given":"Henry"},{"family":"Feldman","given":"Joseph"}],"issued":{"date-parts":[["1998",3,1]]},"citation-key":"barWomenInteragencyHIV1998"}},{"id":2108,"uris":["http://zotero.org/users/4426001/items/FFX97RTL"],"itemData":{"id":2108,"type":"article-journal","abstract":"Background. It is important to elucidate differences among initial highly active antiretroviral therapy (HAART) regimen types in comparative studies of therapy effectiveness. We aimed to identify predictors of initiation with different HAART regimen types and the effect of initial regimen type on switching and immunologic response to therapy—controlling for those predictors—among human immunodeﬁciency virus (HIV)–infected women in the United States.\nMethods. Participants in the Women’s Interagency HIV Study underwent semiannual interview, venipuncture, and clinical examination. Those beginning with protease inhibitor–based, nonnucleoside reverse-transcriptase inhibitor (NNRTI)–based, or triple–nucleoside reverse-transcriptase inhibitor (NRTI)–based HAART during April 1996–March 2005 were eligible for analysis. Predictors of initial regimen type were assessed with polytomous logistic regression. Correlates of switching were assessed with discrete-time proportional hazards models, and immunologic response to therapy was assessed with linear regression.\nResults. Among 1555 HAART initiators, CD4+ lymphocyte count and HIV load were signiﬁcant predictors of initial regimen type during 1996–2002; only sociodemographic predictors were signiﬁcant during 2002–2005. Initial regimen type was not a signiﬁcant predictor of subsequent regimen switching. Compared with those whose initial treatment was protease inhibitor–based HAART, those who began with triple-NRTI–based regimens had signiﬁcantly lower CD4+ cell counts at 1 year (P p .006) and 2 years (P p .004) after initiation; NNRTI initiators had lower CD4+ cell counts after 2 years (P p .05).\nConclusions. We demonstrate that predictors of initial regimen type among women in the United States have been changing over time. Protease inhibitor initiators had signiﬁcantly higher CD4+ cell counts than did NNRTI or triple-NRTI initiators up to 2 years after HAART initiation. Adjustment for biological predictors of initial regimen is important to avoid confounding in the study of treatment effectiveness.","container-title":"Clinical Infectious Diseases","DOI":"10.1086/524752","ISSN":"1058-4838, 1537-6591","issue":"2","journalAbbreviation":"Clinical Infectious Diseases","language":"en","page":"305-312","source":"DOI.org (Crossref)","title":"Patterns, Predictors, and Consequences of Initial Regimen Type among HIV-Infected Women Receiving Highly Active Antiretroviral Therapy","volume":"46","author":[{"family":"Golub","given":"E. T."},{"family":"Benning","given":"L."},{"family":"Sharma","given":"A."},{"family":"Gandhi","given":"M."},{"family":"Cohen","given":"M. H."},{"family":"Young","given":"M."},{"family":"Gange","given":"S. J."}],"issued":{"date-parts":[["2008",1,15]]},"citation-key":"golubPatternsPredictorsConsequences2008"}},{"id":2106,"uris":["http://zotero.org/users/4426001/items/DGZW677A"],"itemData":{"id":2106,"type":"article-journal","abstract":"Background. Many studies that have reported decreases in human immunodeﬁciency virus (HIV)–related mortality since the advent of highly active antiretroviral therapy (HAART) have also reported steady increases in non-HIV–related mortality over the same time periods. We examined temporal trends and risk factors for accidentand injury-related mortality among HIV-infected and -uninfected participants in the Women’s Interagency HIV Study (WIHS) and the Multicenter AIDS Cohort Study (MACS).\nMethods. Information on causes of death was recorded for all participants in the MACS and WIHS cohort studies who died, and causes of death were categorized as accident- or injury-related deaths or not. Mortality rates were calculated by time periods, prior to the widespread use of HAART (before 1997) and after (1997–2002), and risk factors.\nResults. Cause of death information was available for 619 women in the WIHS who died (during the period 1994–2002) and 1830 men in the MACS who died (during the period 1984–2002). The death rates were higher for accident- or injury-related mortality in the WIHS (2.96 deaths per 1000 person-years for the HIV-infected group and 2.96 per 1000 person-years for the HIV-uninfected group), compared with the participants in MACS (0.79 deaths per 1000 person-years for the HIV-infected group and 0.63 per 1000 person-years for the HIVuninfected group). In the ﬁnal multivariate analysis, the following factors were associated with signiﬁcantly higher risk in men: higher education, depressive symptoms, and a greater number of sex partners. Among women, the signiﬁcant risk factors for death were decreased CD4+ T cell count, unemployment, higher alcohol use, and injection drug use.\nConclusion. The characteristics of the men in the MACS who died and women in the WIHS who died differ, as do the risk factors for mortality. These results characterize important target groups for interventions to reduce accident- and injury-related deaths.","container-title":"Clinical Infectious Diseases","DOI":"10.1086/510488","ISSN":"1058-4838, 1537-6591","issue":"2","journalAbbreviation":"Clinical Infectious Diseases","language":"en","page":"287-294","source":"DOI.org (Crossref)","title":"Mortality among Participants in the Multicenter AIDS Cohort Study and the Women's Interagency HIV Study","volume":"44","author":[{"family":"Hessol","given":"N. A."},{"family":"Kalinowski","given":"A."},{"family":"Benning","given":"L."},{"family":"Mullen","given":"J."},{"family":"Young","given":"M."},{"family":"Palella","given":"F."},{"family":"Anastos","given":"K."},{"family":"Detels","given":"R."},{"family":"Cohen","given":"M. H."}],"issued":{"date-parts":[["2007",1,15]]},"citation-key":"hessolMortalityParticipantsMulticenter2007"}},{"id":3475,"uris":["http://zotero.org/users/4426001/items/NKQQUUY4"],"itemData":{"id":3475,"type":"article-journal","container-title":"Clinical and Diagnostic Laboratory Immunology","DOI":"10.1128/CDLI.12.9.1013-1019.2005","ISSN":"1071-412X","issue":"9","journalAbbreviation":"Clin Diagn Lab Immunol","language":"eng","note":"PMID: 16148165\nPMCID: PMC1235804","page":"1013-1019","source":"PubMed","title":"The Women's Interagency HIV Study: an observational cohort brings clinical sciences to the bench","title-short":"The Women's Interagency HIV Study","volume":"12","author":[{"family":"Bacon","given":"Melanie C."},{"family":"Wyl","given":"Viktor","non-dropping-particle":"von"},{"family":"Alden","given":"Christine"},{"family":"Sharp","given":"Gerald"},{"family":"Robison","given":"Esther"},{"family":"Hessol","given":"Nancy"},{"family":"Gange","given":"Stephen"},{"family":"Barranday","given":"Yvonne"},{"family":"Holman","given":"Susan"},{"family":"Weber","given":"Kathleen"},{"family":"Young","given":"Mary A."}],"issued":{"date-parts":[["2005",9]]},"citation-key":"baconWomenInteragencyHIV2005"}}],"schema":"https://github.com/citation-style-language/schema/raw/master/csl-citation.json"} </w:instrText>
      </w:r>
      <w:r w:rsidRPr="00D452A9">
        <w:fldChar w:fldCharType="separate"/>
      </w:r>
      <w:r w:rsidRPr="00D452A9">
        <w:t>(7–10)</w:t>
      </w:r>
      <w:r w:rsidRPr="00D452A9">
        <w:fldChar w:fldCharType="end"/>
      </w:r>
      <w:r w:rsidRPr="00D452A9">
        <w:t xml:space="preserve">. For this analysis, we analyze 1164 HIV-infected women enrolled in the WIHS who were free of AIDS diagnosis on December 6th, 1995. To ease exposition, we ignore censoring until the discussion. Data are provided in the supplement of </w:t>
      </w:r>
      <w:r w:rsidRPr="00D452A9">
        <w:fldChar w:fldCharType="begin"/>
      </w:r>
      <w:r w:rsidRPr="00D452A9">
        <w:instrText xml:space="preserve"> ADDIN ZOTERO_ITEM CSL_CITATION {"citationID":"4gibXzwO","properties":{"formattedCitation":"(12)","plainCitation":"(12)","noteIndex":0},"citationItems":[{"id":2231,"uris":["http://zotero.org/users/4426001/items/Y8V9BNXW"],"itemData":{"id":2231,"type":"article-journal","container-title":"American Journal of Epidemiology","DOI":"10.1093/aje/kwp107","ISSN":"0002-9262, 1476-6256","issue":"2","journalAbbreviation":"American Journal of Epidemiology","language":"en","page":"244-256","source":"DOI.org (Crossref)","title":"Competing Risk Regression Models for Epidemiologic Data","volume":"170","author":[{"family":"Lau","given":"B."},{"family":"Cole","given":"S. R."},{"family":"Gange","given":"S. J."}],"issued":{"date-parts":[["2009",7,15]]},"citation-key":"lauCompetingRiskRegression2009"}}],"schema":"https://github.com/citation-style-language/schema/raw/master/csl-citation.json"} </w:instrText>
      </w:r>
      <w:r w:rsidRPr="00D452A9">
        <w:fldChar w:fldCharType="separate"/>
      </w:r>
      <w:r w:rsidRPr="00D452A9">
        <w:rPr>
          <w:noProof/>
        </w:rPr>
        <w:t>(12)</w:t>
      </w:r>
      <w:r w:rsidRPr="00D452A9">
        <w:fldChar w:fldCharType="end"/>
      </w:r>
      <w:r w:rsidRPr="00D452A9">
        <w:t>.</w:t>
      </w:r>
    </w:p>
    <w:p w14:paraId="0B450EE8" w14:textId="746A68F5" w:rsidR="00A55BB3" w:rsidRPr="00D452A9" w:rsidRDefault="006D5072" w:rsidP="002A2753">
      <w:pPr>
        <w:pStyle w:val="BodyText"/>
      </w:pPr>
      <w:r w:rsidRPr="00D452A9">
        <w:t xml:space="preserve">The CDC surveillance </w:t>
      </w:r>
      <w:r w:rsidR="00C72CD3" w:rsidRPr="00D452A9">
        <w:t xml:space="preserve">data does not measure the composite outcome of AIDS diagnosis or death within a 10-year period, but does ascertain </w:t>
      </w:r>
      <w:r w:rsidR="00C202F9" w:rsidRPr="00D452A9">
        <w:t>IDU</w:t>
      </w:r>
      <w:r w:rsidR="00C72CD3" w:rsidRPr="00D452A9">
        <w:t xml:space="preserve"> history among prevalent HIV+ women</w:t>
      </w:r>
      <w:r w:rsidR="00BB5DE8" w:rsidRPr="00D452A9">
        <w:t xml:space="preserve"> and other potential confounders such as </w:t>
      </w:r>
      <w:r w:rsidR="004E4CC3" w:rsidRPr="00D452A9">
        <w:t>age</w:t>
      </w:r>
      <w:r w:rsidR="002A2753" w:rsidRPr="00D452A9">
        <w:t xml:space="preserve">. </w:t>
      </w:r>
      <w:commentRangeStart w:id="21"/>
      <w:r w:rsidR="00C202F9" w:rsidRPr="00D452A9">
        <w:t xml:space="preserve">Below we take </w:t>
      </w:r>
      <w:r w:rsidR="005A65D5" w:rsidRPr="00D452A9">
        <w:t xml:space="preserve">simple </w:t>
      </w:r>
      <w:r w:rsidR="00C202F9" w:rsidRPr="00D452A9">
        <w:t xml:space="preserve">random samples </w:t>
      </w:r>
      <w:r w:rsidR="005A65D5" w:rsidRPr="00D452A9">
        <w:t xml:space="preserve">without replacement </w:t>
      </w:r>
      <w:commentRangeEnd w:id="21"/>
      <w:r w:rsidR="004830AB" w:rsidRPr="00D452A9">
        <w:rPr>
          <w:rStyle w:val="CommentReference"/>
        </w:rPr>
        <w:commentReference w:id="21"/>
      </w:r>
      <w:r w:rsidR="00C072C6" w:rsidRPr="00D452A9">
        <w:t xml:space="preserve">of size </w:t>
      </w:r>
      <w:r w:rsidR="00BC46BF" w:rsidRPr="00D452A9">
        <w:t>200</w:t>
      </w:r>
      <w:r w:rsidR="00C76D74" w:rsidRPr="00D452A9">
        <w:t xml:space="preserve">, 1,000, </w:t>
      </w:r>
      <w:r w:rsidR="00BC46BF" w:rsidRPr="00D452A9">
        <w:t xml:space="preserve">and </w:t>
      </w:r>
      <w:r w:rsidR="00C072C6" w:rsidRPr="00D452A9">
        <w:t>5</w:t>
      </w:r>
      <w:r w:rsidR="002A2753" w:rsidRPr="00D452A9">
        <w:t>,</w:t>
      </w:r>
      <w:r w:rsidR="00C072C6" w:rsidRPr="00D452A9">
        <w:t>000</w:t>
      </w:r>
      <w:r w:rsidR="00BC46BF" w:rsidRPr="00D452A9">
        <w:t xml:space="preserve"> </w:t>
      </w:r>
      <w:r w:rsidR="005A65D5" w:rsidRPr="00D452A9">
        <w:t>from</w:t>
      </w:r>
      <w:r w:rsidR="00C202F9" w:rsidRPr="00D452A9">
        <w:t xml:space="preserve"> the CDC data to highlight the impact on the variance of the population attributable fraction</w:t>
      </w:r>
      <w:r w:rsidR="002A2753" w:rsidRPr="00D452A9">
        <w:t xml:space="preserve">. </w:t>
      </w:r>
      <w:r w:rsidR="002A2753" w:rsidRPr="00D452A9">
        <w:fldChar w:fldCharType="begin"/>
      </w:r>
      <w:r w:rsidR="002A2753" w:rsidRPr="00D452A9">
        <w:instrText xml:space="preserve"> REF _Ref120863221 \h </w:instrText>
      </w:r>
      <w:r w:rsidR="00D452A9">
        <w:instrText xml:space="preserve"> \* MERGEFORMAT </w:instrText>
      </w:r>
      <w:r w:rsidR="002A2753" w:rsidRPr="00D452A9">
        <w:fldChar w:fldCharType="separate"/>
      </w:r>
      <w:r w:rsidR="002A2753" w:rsidRPr="00D452A9">
        <w:t xml:space="preserve">Table </w:t>
      </w:r>
      <w:r w:rsidR="002A2753" w:rsidRPr="00D452A9">
        <w:rPr>
          <w:noProof/>
        </w:rPr>
        <w:t>1</w:t>
      </w:r>
      <w:r w:rsidR="002A2753" w:rsidRPr="00D452A9">
        <w:fldChar w:fldCharType="end"/>
      </w:r>
      <w:r w:rsidR="002A2753" w:rsidRPr="00D452A9">
        <w:t xml:space="preserve"> </w:t>
      </w:r>
      <w:del w:id="22" w:author="Klose, Mark Walter" w:date="2023-09-14T14:30:00Z">
        <w:r w:rsidR="002A2753" w:rsidRPr="00D452A9" w:rsidDel="000B75F7">
          <w:delText xml:space="preserve">shows </w:delText>
        </w:r>
      </w:del>
      <w:ins w:id="23" w:author="Klose, Mark Walter" w:date="2023-09-14T14:30:00Z">
        <w:r w:rsidR="000B75F7" w:rsidRPr="00D452A9">
          <w:t xml:space="preserve">highlights differences in </w:t>
        </w:r>
      </w:ins>
      <w:r w:rsidR="002A2753" w:rsidRPr="00D452A9">
        <w:t xml:space="preserve">baseline characteristics </w:t>
      </w:r>
      <w:del w:id="24" w:author="Klose, Mark Walter" w:date="2023-09-14T14:30:00Z">
        <w:r w:rsidR="002A2753" w:rsidRPr="00D452A9" w:rsidDel="000B75F7">
          <w:delText xml:space="preserve">of </w:delText>
        </w:r>
      </w:del>
      <w:ins w:id="25" w:author="Klose, Mark Walter" w:date="2023-09-14T14:30:00Z">
        <w:r w:rsidR="000B75F7" w:rsidRPr="00D452A9">
          <w:t xml:space="preserve">between </w:t>
        </w:r>
      </w:ins>
      <w:r w:rsidR="002A2753" w:rsidRPr="00D452A9">
        <w:t>the study population</w:t>
      </w:r>
      <w:ins w:id="26" w:author="Klose, Mark Walter" w:date="2023-09-14T14:30:00Z">
        <w:r w:rsidR="000B75F7" w:rsidRPr="00D452A9">
          <w:t xml:space="preserve">, </w:t>
        </w:r>
      </w:ins>
      <w:del w:id="27" w:author="Klose, Mark Walter" w:date="2023-09-14T14:30:00Z">
        <w:r w:rsidR="002A2753" w:rsidRPr="00D452A9" w:rsidDel="000B75F7">
          <w:delText xml:space="preserve">, </w:delText>
        </w:r>
      </w:del>
      <w:r w:rsidR="002A2753" w:rsidRPr="00D452A9">
        <w:t>target population, and samples from the target population.</w:t>
      </w:r>
    </w:p>
    <w:p w14:paraId="7410339B" w14:textId="77777777" w:rsidR="004E4CC3" w:rsidRPr="00D452A9" w:rsidRDefault="004E4CC3" w:rsidP="004E4CC3">
      <w:pPr>
        <w:pStyle w:val="BodyText"/>
        <w:ind w:firstLine="0"/>
      </w:pPr>
    </w:p>
    <w:p w14:paraId="5DE0908D" w14:textId="77777777" w:rsidR="00D07662" w:rsidRPr="00D452A9" w:rsidRDefault="00D07662" w:rsidP="00D07662">
      <w:pPr>
        <w:pStyle w:val="Heading2"/>
        <w:rPr>
          <w:rFonts w:cstheme="majorHAnsi"/>
        </w:rPr>
      </w:pPr>
      <w:r w:rsidRPr="00D452A9">
        <w:rPr>
          <w:rFonts w:cstheme="majorHAnsi"/>
        </w:rPr>
        <w:t>Population Attributable Fraction</w:t>
      </w:r>
    </w:p>
    <w:p w14:paraId="0B165003" w14:textId="1BDBD9FD" w:rsidR="00D07662" w:rsidRPr="00D452A9" w:rsidRDefault="00BF49B2" w:rsidP="00BF49B2">
      <w:pPr>
        <w:pStyle w:val="FirstParagraph"/>
      </w:pPr>
      <w:r w:rsidRPr="00D452A9">
        <w:t xml:space="preserve">The parameter of interest is the fraction of cases attributed to exposure, expressed as  </w:t>
      </w:r>
    </w:p>
    <w:p w14:paraId="789746B5" w14:textId="421810D9" w:rsidR="0098738B" w:rsidRPr="00D452A9" w:rsidRDefault="00D03720" w:rsidP="0098738B">
      <w:pPr>
        <w:pStyle w:val="BodyText"/>
        <w:rPr>
          <w:rFonts w:eastAsiaTheme="minorEastAsia"/>
        </w:rPr>
      </w:pPr>
      <m:oMathPara>
        <m:oMath>
          <m:r>
            <w:rPr>
              <w:rFonts w:ascii="Cambria Math" w:eastAsiaTheme="minorEastAsia" w:hAnsi="Cambria Math"/>
            </w:rPr>
            <m:t>θ=</m:t>
          </m:r>
          <m:f>
            <m:fPr>
              <m:ctrlPr>
                <w:rPr>
                  <w:rFonts w:ascii="Cambria Math" w:eastAsiaTheme="minorEastAsia" w:hAnsi="Cambria Math"/>
                  <w:i/>
                </w:rPr>
              </m:ctrlPr>
            </m:fPr>
            <m:num>
              <m:r>
                <w:rPr>
                  <w:rFonts w:ascii="Cambria Math" w:eastAsiaTheme="minorEastAsia" w:hAnsi="Cambria Math"/>
                </w:rPr>
                <m:t>Pr</m:t>
              </m:r>
              <m:d>
                <m:dPr>
                  <m:endChr m:val="|"/>
                  <m:ctrlPr>
                    <w:rPr>
                      <w:rFonts w:ascii="Cambria Math" w:eastAsiaTheme="minorEastAsia" w:hAnsi="Cambria Math"/>
                      <w:i/>
                    </w:rPr>
                  </m:ctrlPr>
                </m:dPr>
                <m:e>
                  <m:r>
                    <w:rPr>
                      <w:rFonts w:ascii="Cambria Math" w:eastAsiaTheme="minorEastAsia" w:hAnsi="Cambria Math"/>
                    </w:rPr>
                    <m:t xml:space="preserve">Y </m:t>
                  </m:r>
                </m:e>
              </m:d>
              <m:r>
                <w:rPr>
                  <w:rFonts w:ascii="Cambria Math" w:eastAsiaTheme="minorEastAsia" w:hAnsi="Cambria Math"/>
                </w:rPr>
                <m:t xml:space="preserve"> S=1)-Pr</m:t>
              </m:r>
              <m:d>
                <m:dPr>
                  <m:endChr m:val="|"/>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0</m:t>
                      </m:r>
                    </m:sup>
                  </m:sSup>
                  <m:r>
                    <w:rPr>
                      <w:rFonts w:ascii="Cambria Math" w:eastAsiaTheme="minorEastAsia" w:hAnsi="Cambria Math"/>
                    </w:rPr>
                    <m:t xml:space="preserve"> </m:t>
                  </m:r>
                </m:e>
              </m:d>
              <m:r>
                <w:rPr>
                  <w:rFonts w:ascii="Cambria Math" w:eastAsiaTheme="minorEastAsia" w:hAnsi="Cambria Math"/>
                </w:rPr>
                <m:t xml:space="preserve"> S=1)</m:t>
              </m:r>
            </m:num>
            <m:den>
              <m:r>
                <w:rPr>
                  <w:rFonts w:ascii="Cambria Math" w:eastAsiaTheme="minorEastAsia" w:hAnsi="Cambria Math"/>
                </w:rPr>
                <m:t xml:space="preserve">Pr(Y </m:t>
              </m:r>
              <m:d>
                <m:dPr>
                  <m:begChr m:val="|"/>
                  <m:ctrlPr>
                    <w:rPr>
                      <w:rFonts w:ascii="Cambria Math" w:eastAsiaTheme="minorEastAsia" w:hAnsi="Cambria Math"/>
                      <w:i/>
                    </w:rPr>
                  </m:ctrlPr>
                </m:dPr>
                <m:e>
                  <m:r>
                    <w:rPr>
                      <w:rFonts w:ascii="Cambria Math" w:eastAsiaTheme="minorEastAsia" w:hAnsi="Cambria Math"/>
                    </w:rPr>
                    <m:t xml:space="preserve"> S=1</m:t>
                  </m:r>
                </m:e>
              </m:d>
            </m:den>
          </m:f>
          <m:r>
            <w:rPr>
              <w:rFonts w:ascii="Cambria Math" w:eastAsiaTheme="minorEastAsia" w:hAnsi="Cambria Math"/>
            </w:rPr>
            <m:t>=1-</m:t>
          </m:r>
          <m:f>
            <m:fPr>
              <m:ctrlPr>
                <w:rPr>
                  <w:rFonts w:ascii="Cambria Math" w:eastAsiaTheme="minorEastAsia" w:hAnsi="Cambria Math"/>
                  <w:i/>
                </w:rPr>
              </m:ctrlPr>
            </m:fPr>
            <m:num>
              <m:r>
                <w:rPr>
                  <w:rFonts w:ascii="Cambria Math" w:eastAsiaTheme="minorEastAsia" w:hAnsi="Cambria Math"/>
                </w:rPr>
                <m:t>Pr</m:t>
              </m:r>
              <m:d>
                <m:dPr>
                  <m:endChr m:val="|"/>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0</m:t>
                      </m:r>
                    </m:sup>
                  </m:sSup>
                  <m:r>
                    <w:rPr>
                      <w:rFonts w:ascii="Cambria Math" w:eastAsiaTheme="minorEastAsia" w:hAnsi="Cambria Math"/>
                    </w:rPr>
                    <m:t xml:space="preserve"> </m:t>
                  </m:r>
                </m:e>
              </m:d>
              <m:r>
                <w:rPr>
                  <w:rFonts w:ascii="Cambria Math" w:eastAsiaTheme="minorEastAsia" w:hAnsi="Cambria Math"/>
                </w:rPr>
                <m:t xml:space="preserve"> S=1)</m:t>
              </m:r>
            </m:num>
            <m:den>
              <m:r>
                <w:rPr>
                  <w:rFonts w:ascii="Cambria Math" w:eastAsiaTheme="minorEastAsia" w:hAnsi="Cambria Math"/>
                </w:rPr>
                <m:t xml:space="preserve">Pr(Y </m:t>
              </m:r>
              <m:d>
                <m:dPr>
                  <m:begChr m:val="|"/>
                  <m:ctrlPr>
                    <w:rPr>
                      <w:rFonts w:ascii="Cambria Math" w:eastAsiaTheme="minorEastAsia" w:hAnsi="Cambria Math"/>
                      <w:i/>
                    </w:rPr>
                  </m:ctrlPr>
                </m:dPr>
                <m:e>
                  <m:r>
                    <w:rPr>
                      <w:rFonts w:ascii="Cambria Math" w:eastAsiaTheme="minorEastAsia" w:hAnsi="Cambria Math"/>
                    </w:rPr>
                    <m:t xml:space="preserve"> S=1</m:t>
                  </m:r>
                </m:e>
              </m:d>
            </m:den>
          </m:f>
          <w:commentRangeStart w:id="28"/>
          <w:commentRangeEnd w:id="28"/>
          <m:r>
            <m:rPr>
              <m:sty m:val="p"/>
            </m:rPr>
            <w:rPr>
              <w:rStyle w:val="CommentReference"/>
              <w:rFonts w:ascii="Cambria Math" w:hAnsi="Cambria Math"/>
            </w:rPr>
            <w:commentReference w:id="28"/>
          </m:r>
          <m:r>
            <w:rPr>
              <w:rFonts w:ascii="Cambria Math" w:hAnsi="Cambria Math"/>
            </w:rPr>
            <m:t>  </m:t>
          </m:r>
          <m:d>
            <m:dPr>
              <m:begChr m:val="["/>
              <m:endChr m:val="]"/>
              <m:ctrlPr>
                <w:rPr>
                  <w:rFonts w:ascii="Cambria Math" w:hAnsi="Cambria Math"/>
                  <w:i/>
                </w:rPr>
              </m:ctrlPr>
            </m:dPr>
            <m:e>
              <m:r>
                <w:rPr>
                  <w:rFonts w:ascii="Cambria Math" w:hAnsi="Cambria Math"/>
                </w:rPr>
                <m:t>1</m:t>
              </m:r>
            </m:e>
          </m:d>
          <w:commentRangeStart w:id="29"/>
          <w:commentRangeEnd w:id="29"/>
          <m:r>
            <m:rPr>
              <m:sty m:val="p"/>
            </m:rPr>
            <w:rPr>
              <w:rStyle w:val="CommentReference"/>
              <w:rFonts w:ascii="Cambria Math" w:hAnsi="Cambria Math"/>
            </w:rPr>
            <w:commentReference w:id="29"/>
          </m:r>
        </m:oMath>
      </m:oMathPara>
    </w:p>
    <w:p w14:paraId="701DE05E" w14:textId="465B91DB" w:rsidR="00D07662" w:rsidRPr="00D452A9" w:rsidRDefault="0098738B" w:rsidP="00A55BB3">
      <w:pPr>
        <w:pStyle w:val="BodyText"/>
        <w:ind w:firstLine="0"/>
      </w:pPr>
      <w:r w:rsidRPr="00D452A9">
        <w:t xml:space="preserve">where </w:t>
      </w:r>
      <m:oMath>
        <m:r>
          <w:rPr>
            <w:rFonts w:ascii="Cambria Math" w:hAnsi="Cambria Math"/>
          </w:rPr>
          <m:t>S=1</m:t>
        </m:r>
      </m:oMath>
      <w:r w:rsidRPr="00D452A9">
        <w:rPr>
          <w:rFonts w:eastAsiaTheme="minorEastAsia"/>
        </w:rPr>
        <w:t xml:space="preserve"> indicates </w:t>
      </w:r>
      <w:r w:rsidR="00BB5DE8" w:rsidRPr="00D452A9">
        <w:rPr>
          <w:rFonts w:eastAsiaTheme="minorEastAsia"/>
        </w:rPr>
        <w:t>the target population</w:t>
      </w:r>
      <w:r w:rsidR="004E4CC3" w:rsidRPr="00D452A9">
        <w:rPr>
          <w:rFonts w:eastAsiaTheme="minorEastAsia"/>
        </w:rPr>
        <w:t xml:space="preserve"> (e.g., CDC)</w:t>
      </w:r>
      <w:r w:rsidR="006A3E49" w:rsidRPr="00D452A9">
        <w:rPr>
          <w:rFonts w:eastAsiaTheme="minorEastAsia"/>
        </w:rPr>
        <w:t xml:space="preserve">, </w:t>
      </w:r>
      <m:oMath>
        <m:r>
          <w:rPr>
            <w:rFonts w:ascii="Cambria Math" w:hAnsi="Cambria Math"/>
          </w:rPr>
          <m:t>S=2</m:t>
        </m:r>
      </m:oMath>
      <w:r w:rsidR="006A3E49" w:rsidRPr="00D452A9">
        <w:rPr>
          <w:rFonts w:eastAsiaTheme="minorEastAsia"/>
        </w:rPr>
        <w:t xml:space="preserve"> indicates the study population</w:t>
      </w:r>
      <w:r w:rsidR="004E4CC3" w:rsidRPr="00D452A9">
        <w:rPr>
          <w:rFonts w:eastAsiaTheme="minorEastAsia"/>
        </w:rPr>
        <w:t xml:space="preserve"> (e.g., WIHS)</w:t>
      </w:r>
      <w:r w:rsidR="006A3E49" w:rsidRPr="00D452A9">
        <w:rPr>
          <w:rFonts w:eastAsiaTheme="minorEastAsia"/>
        </w:rPr>
        <w:t xml:space="preserve">, </w:t>
      </w:r>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a</m:t>
            </m:r>
          </m:sup>
        </m:sSup>
      </m:oMath>
      <w:r w:rsidRPr="00D452A9">
        <w:rPr>
          <w:rFonts w:eastAsiaTheme="minorEastAsia"/>
        </w:rPr>
        <w:t xml:space="preserve"> indicates the potential outcome </w:t>
      </w:r>
      <w:r w:rsidR="008D1F43" w:rsidRPr="00D452A9">
        <w:rPr>
          <w:rFonts w:eastAsiaTheme="minorEastAsia"/>
        </w:rPr>
        <w:t xml:space="preserve">under </w:t>
      </w:r>
      <w:r w:rsidRPr="00D452A9">
        <w:rPr>
          <w:rFonts w:eastAsiaTheme="minorEastAsia"/>
        </w:rPr>
        <w:t xml:space="preserve">exposure </w:t>
      </w:r>
      <m:oMath>
        <m:r>
          <w:rPr>
            <w:rFonts w:ascii="Cambria Math" w:eastAsiaTheme="minorEastAsia" w:hAnsi="Cambria Math"/>
          </w:rPr>
          <m:t>A=a</m:t>
        </m:r>
      </m:oMath>
      <w:r w:rsidR="008D1F43" w:rsidRPr="00D452A9">
        <w:rPr>
          <w:rFonts w:eastAsiaTheme="minorEastAsia"/>
        </w:rPr>
        <w:t xml:space="preserve">, and </w:t>
      </w:r>
      <m:oMath>
        <m:r>
          <w:rPr>
            <w:rFonts w:ascii="Cambria Math" w:eastAsiaTheme="minorEastAsia" w:hAnsi="Cambria Math"/>
          </w:rPr>
          <m:t>Y</m:t>
        </m:r>
      </m:oMath>
      <w:r w:rsidR="008D1F43" w:rsidRPr="00D452A9">
        <w:rPr>
          <w:rFonts w:eastAsiaTheme="minorEastAsia"/>
        </w:rPr>
        <w:t xml:space="preserve"> is the observed outcome</w:t>
      </w:r>
      <w:r w:rsidRPr="00D452A9">
        <w:rPr>
          <w:rFonts w:eastAsiaTheme="minorEastAsia"/>
        </w:rPr>
        <w:t xml:space="preserve">. </w:t>
      </w:r>
      <w:r w:rsidR="00DF3ED3" w:rsidRPr="00D452A9">
        <w:rPr>
          <w:rFonts w:eastAsiaTheme="minorEastAsia"/>
        </w:rPr>
        <w:t>The population attributable fraction has been defined using potential outcomes</w:t>
      </w:r>
      <w:commentRangeStart w:id="30"/>
      <w:r w:rsidR="00551C28" w:rsidRPr="00D452A9">
        <w:rPr>
          <w:rFonts w:eastAsiaTheme="minorEastAsia"/>
        </w:rPr>
        <w:t xml:space="preserve"> </w:t>
      </w:r>
      <w:r w:rsidR="00551C28" w:rsidRPr="00D452A9">
        <w:rPr>
          <w:rFonts w:eastAsiaTheme="minorEastAsia"/>
        </w:rPr>
        <w:fldChar w:fldCharType="begin"/>
      </w:r>
      <w:r w:rsidR="000C5025" w:rsidRPr="00D452A9">
        <w:rPr>
          <w:rFonts w:eastAsiaTheme="minorEastAsia"/>
        </w:rPr>
        <w:instrText xml:space="preserve"> ADDIN ZOTERO_ITEM CSL_CITATION {"citationID":"usUbI6xa","properties":{"formattedCitation":"(13,14)","plainCitation":"(13,14)","noteIndex":0},"citationItems":[{"id":4157,"uris":["http://zotero.org/users/4426001/items/EIAQM786"],"itemData":{"id":4157,"type":"article-journal","abstract":"The attributable fraction is commonly used in epidemiology to quantify the impact of an exposure on a disease. Several estimation methods have been suggested in the literature, including maximum likelihood estimation. In this article we propose an additional estimation method, based on inverse probability weighting. This method is particularly useful when a model for the exposure distibution can be well specified. We carry out a simulation study to examine the performance of the inverse probability weighted estimator, and to compare it to the maximum likelihood estimator.","container-title":"Statistical Methods in Medical Research","DOI":"10.1177/0962280209349880","issue":"4","note":"DOI: 10.1177/0962280209349880\nMAG ID: 2006081307\nPMID: 20223785","page":"415-428","title":"Estimation of attributable fractions using inverse probability weighting.","volume":"20","author":[{"family":"Sjölander","given":"Arvid"}],"issued":{"date-parts":[["2011",8,1]]},"citation-key":"sjolanderEstimationAttributableFractions2011"}},{"id":5737,"uris":["http://zotero.org/users/4426001/items/WEEN6VX4"],"itemData":{"id":5737,"type":"article-journal","abstract":"It has been noted that there is ambiguity in the expression “attributable fraction,” and epidemiologic literature has drawn a distinction between “excess fraction” and “etiologic fraction.” These quantities do not necessarily approximate one another, and the etiologic fraction is not generally estimable without strong biologic assumptions. In previous studies, researchers have explained the relations between excess and etiologic fractions in the potential-outcome framework, and few authors have explained the relations between these concepts by showing the correspondence between the potential-outcome model and the sufficient-cause model. In this article, the authors thoroughly clarify the conceptual relations between excess, attributable, and etiologic fractions by explicating the correspondence between these 2 models. In so doing, the authors take into account the potential completion time of each sufficient cause, which contributes to further insight to clarify the 2 types of etiologic fraction, i.e., accelerating etiologic proportion and total etiologic proportion. These 2 measures cannot be distinguished in epidemiologic data, and the differences might be subtle. However, they are closely related to a very fundamental issue of causal inference, that is, how researchers define etiology. Further, the authors clarify the relation between 3 distinct assumptions—positive monotonicity, no preventive action (or sufficient-cause positive monotonicity), and no preventive sequence.","container-title":"American Journal of Epidemiology","DOI":"10.1093/aje/kwr333","ISSN":"0002-9262","issue":"6","journalAbbreviation":"American Journal of Epidemiology","page":"567-575","source":"Silverchair","title":"On the Relations Between Excess Fraction, Attributable Fraction, and Etiologic Fraction","volume":"175","author":[{"family":"Suzuki","given":"Etsuji"},{"family":"Yamamoto","given":"Eiji"},{"family":"Tsuda","given":"Toshihide"}],"issued":{"date-parts":[["2012",3,15]]},"citation-key":"suzukiRelationsExcessFraction2012"}}],"schema":"https://github.com/citation-style-language/schema/raw/master/csl-citation.json"} </w:instrText>
      </w:r>
      <w:r w:rsidR="00551C28" w:rsidRPr="00D452A9">
        <w:rPr>
          <w:rFonts w:eastAsiaTheme="minorEastAsia"/>
        </w:rPr>
        <w:fldChar w:fldCharType="separate"/>
      </w:r>
      <w:r w:rsidR="000C5025" w:rsidRPr="00D452A9">
        <w:rPr>
          <w:rFonts w:eastAsiaTheme="minorEastAsia"/>
          <w:noProof/>
        </w:rPr>
        <w:t>(13,14)</w:t>
      </w:r>
      <w:r w:rsidR="00551C28" w:rsidRPr="00D452A9">
        <w:rPr>
          <w:rFonts w:eastAsiaTheme="minorEastAsia"/>
        </w:rPr>
        <w:fldChar w:fldCharType="end"/>
      </w:r>
      <w:r w:rsidR="00551C28" w:rsidRPr="00D452A9">
        <w:rPr>
          <w:rFonts w:eastAsiaTheme="minorEastAsia"/>
        </w:rPr>
        <w:t xml:space="preserve">, </w:t>
      </w:r>
      <w:r w:rsidR="00C202F9" w:rsidRPr="00D452A9">
        <w:rPr>
          <w:rFonts w:eastAsiaTheme="minorEastAsia"/>
        </w:rPr>
        <w:t xml:space="preserve">but </w:t>
      </w:r>
      <w:r w:rsidR="00551C28" w:rsidRPr="00D452A9">
        <w:rPr>
          <w:rFonts w:eastAsiaTheme="minorEastAsia"/>
        </w:rPr>
        <w:t xml:space="preserve">without consideration of </w:t>
      </w:r>
      <w:r w:rsidR="00C202F9" w:rsidRPr="00D452A9">
        <w:rPr>
          <w:rFonts w:eastAsiaTheme="minorEastAsia"/>
        </w:rPr>
        <w:t xml:space="preserve">the </w:t>
      </w:r>
      <w:r w:rsidR="00551C28" w:rsidRPr="00D452A9">
        <w:rPr>
          <w:rFonts w:eastAsiaTheme="minorEastAsia"/>
        </w:rPr>
        <w:t>target population.</w:t>
      </w:r>
      <w:commentRangeEnd w:id="30"/>
      <w:r w:rsidR="00551C28" w:rsidRPr="00D452A9">
        <w:rPr>
          <w:rStyle w:val="CommentReference"/>
        </w:rPr>
        <w:commentReference w:id="30"/>
      </w:r>
      <w:r w:rsidR="00551C28" w:rsidRPr="00D452A9">
        <w:rPr>
          <w:rFonts w:eastAsiaTheme="minorEastAsia"/>
        </w:rPr>
        <w:t xml:space="preserve"> </w:t>
      </w:r>
      <w:r w:rsidRPr="00D452A9">
        <w:t>Using potential outcomes notation makes the task of parameter identification explicit</w:t>
      </w:r>
      <w:r w:rsidR="004E4CC3" w:rsidRPr="00D452A9">
        <w:t xml:space="preserve"> </w:t>
      </w:r>
      <w:r w:rsidR="004E4CC3" w:rsidRPr="00D452A9">
        <w:fldChar w:fldCharType="begin"/>
      </w:r>
      <w:r w:rsidR="000C5025" w:rsidRPr="00D452A9">
        <w:instrText xml:space="preserve"> ADDIN ZOTERO_ITEM CSL_CITATION {"citationID":"7aDmMC1Z","properties":{"formattedCitation":"(15\\uc0\\u8211{}17)","plainCitation":"(15–17)","noteIndex":0},"citationItems":[{"id":2144,"uris":["http://zotero.org/users/4426001/items/JE8M7KA2"],"itemData":{"id":2144,"type":"article-journal","container-title":"Roczniki Nauk Rolniczych","issue":"1","page":"1–51","title":"Sur les applications de la théorie des probabilités aux experiences agricoles: Essai des principes","volume":"10","author":[{"family":"Neyman","given":"Jersey"}],"issued":{"date-parts":[["1923"]]},"citation-key":"neymanApplicationsTheorieProbabilites1923"}},{"id":2146,"uris":["http://zotero.org/users/4426001/items/X6B3JHIS"],"itemData":{"id":2146,"type":"article-journal","container-title":"Statistical Science","issue":"4","page":"465-472","source":"Zotero","title":"On the Application of Probability Theory to Agricultural Experiments. Essay on Principles. Section 9.","volume":"5","author":[{"family":"Splawa-Neyman","given":"Jerzy"},{"family":"Dabrowska","given":"D. M."},{"family":"Speed","given":"T. P."}],"issued":{"date-parts":[["1990"]]},"citation-key":"splawa-neymanApplicationProbabilityTheory1990"}},{"id":2148,"uris":["http://zotero.org/users/4426001/items/2UKBBL5K"],"itemData":{"id":2148,"type":"article-journal","container-title":"Journal of Educational Psychology","DOI":"10.1037/h0037350","ISSN":"0022-0663","issue":"5","journalAbbreviation":"Journal of Educational Psychology","language":"en","note":"publisher: American Psychological Association","page":"688-701","source":"DOI.org (Crossref)","title":"Estimating causal effects of treatments in randomized and nonrandomized studies.","volume":"66","author":[{"family":"Rubin","given":"Donald B."}],"issued":{"date-parts":[["1974"]]},"citation-key":"rubinEstimatingCausalEffects1974"}}],"schema":"https://github.com/citation-style-language/schema/raw/master/csl-citation.json"} </w:instrText>
      </w:r>
      <w:r w:rsidR="004E4CC3" w:rsidRPr="00D452A9">
        <w:fldChar w:fldCharType="separate"/>
      </w:r>
      <w:r w:rsidR="000C5025" w:rsidRPr="00D452A9">
        <w:t>(15–17)</w:t>
      </w:r>
      <w:r w:rsidR="004E4CC3" w:rsidRPr="00D452A9">
        <w:fldChar w:fldCharType="end"/>
      </w:r>
      <w:r w:rsidRPr="00D452A9">
        <w:t xml:space="preserve">, whereas traditional approaches </w:t>
      </w:r>
      <w:r w:rsidR="00C202F9" w:rsidRPr="00D452A9">
        <w:lastRenderedPageBreak/>
        <w:t xml:space="preserve">based only on observed data </w:t>
      </w:r>
      <w:r w:rsidR="00A55BB3" w:rsidRPr="00D452A9">
        <w:t xml:space="preserve">can </w:t>
      </w:r>
      <w:r w:rsidRPr="00D452A9">
        <w:t xml:space="preserve">obscure </w:t>
      </w:r>
      <w:r w:rsidR="00A55BB3" w:rsidRPr="00D452A9">
        <w:t>assumptions</w:t>
      </w:r>
      <w:r w:rsidRPr="00D452A9">
        <w:t xml:space="preserve"> </w:t>
      </w:r>
      <w:commentRangeStart w:id="31"/>
      <w:commentRangeStart w:id="32"/>
      <w:r w:rsidRPr="00D452A9">
        <w:fldChar w:fldCharType="begin"/>
      </w:r>
      <w:r w:rsidR="000C5025" w:rsidRPr="00D452A9">
        <w:instrText xml:space="preserve"> ADDIN ZOTERO_ITEM CSL_CITATION {"citationID":"tuXzahcm","properties":{"formattedCitation":"(18\\uc0\\u8211{}20)","plainCitation":"(18–20)","noteIndex":0},"citationItems":[{"id":2301,"uris":["http://zotero.org/users/4426001/items/HKQASFKY"],"itemData":{"id":2301,"type":"article-journal","container-title":"International Journal of Epidemiology","DOI":"10.1093/ije/15.3.413","ISSN":"0300-5771, 1464-3685","issue":"3","journalAbbreviation":"Int J Epidemiol","language":"en","page":"413-419","source":"DOI.org (Crossref)","title":"Identifiability, Exchangeability, and Epidemiological Confounding","volume":"15","author":[{"family":"Greenland","given":"Sander"},{"family":"Robins","given":"James M"}],"issued":{"date-parts":[["1986"]]},"citation-key":"greenlandIdentifiabilityExchangeabilityEpidemiological1986"}},{"id":2303,"uris":["http://zotero.org/users/4426001/items/ZK3WXRAC"],"itemData":{"id":2303,"type":"article-journal","abstract":"In 1986 the International Journal of Epidemiology published \"Identifiability, Exchangeability and Epidemiological Confounding\". We review the article from the perspective of a quarter century after it was first drafted and relate it to subsequent developments on confounding, ignorability, and collapsibility.","container-title":"Epidemiologic Perspectives &amp; Innovations","DOI":"10.1186/1742-5573-6-4","ISSN":"1742-5573","issue":"1","journalAbbreviation":"Epidemiol Perspect Innov","language":"en","note":"PMCID: PMC2745408\nPMID: 19732410","page":"4","source":"DOI.org (Crossref)","title":"Identifiability, exchangeability and confounding revisited","volume":"6","author":[{"family":"Greenland","given":"Sander"},{"family":"Robins","given":"James M"}],"issued":{"date-parts":[["2009",12]]},"citation-key":"greenlandIdentifiabilityExchangeabilityConfounding2009"}},{"id":2421,"uris":["http://zotero.org/users/4426001/items/ZEFEH32W"],"itemData":{"id":2421,"type":"article-journal","abstract":"In ideal randomised experiments, association is causation: association measures can be interpreted as effect measures because randomisation ensures that the exposed and the unexposed are exchangeable. On the other hand, in observational studies, association is not generally causation: association measures cannot be interpreted as effect measures because the exposed and the unexposed are not generally exchangeable. However, observational research is often the only alternative for causal inference. This article reviews a condition that permits the estimation of causal effects from observational data, and two methods—standardisation and inverse probability weighting—to estimate population causal effects under that condition. For simplicity, the main description is restricted to dichotomous variables and assumes that no random error attributable to sampling variability exists. The appendix provides a generalisation of inverse probability weighting.","container-title":"Journal of Epidemiology and Community Health","DOI":"10.1136/jech.2004.029496","ISSN":"0143-005X","issue":"7","journalAbbreviation":"J Epidemiol Community Health","note":"PMID: 16790829\nPMCID: PMC2652882","page":"578-586","source":"PubMed Central","title":"Estimating causal effects from epidemiological data","volume":"60","author":[{"family":"Hernán","given":"Miguel A"},{"family":"Robins","given":"James M"}],"issued":{"date-parts":[["2006",7]]},"citation-key":"hernanEstimatingCausalEffects2006"}}],"schema":"https://github.com/citation-style-language/schema/raw/master/csl-citation.json"} </w:instrText>
      </w:r>
      <w:r w:rsidRPr="00D452A9">
        <w:fldChar w:fldCharType="separate"/>
      </w:r>
      <w:r w:rsidR="000C5025" w:rsidRPr="00D452A9">
        <w:t>(18–20)</w:t>
      </w:r>
      <w:r w:rsidRPr="00D452A9">
        <w:fldChar w:fldCharType="end"/>
      </w:r>
      <w:commentRangeEnd w:id="31"/>
      <w:r w:rsidRPr="00D452A9">
        <w:rPr>
          <w:rStyle w:val="CommentReference"/>
        </w:rPr>
        <w:commentReference w:id="31"/>
      </w:r>
      <w:commentRangeEnd w:id="32"/>
      <w:r w:rsidRPr="00D452A9">
        <w:rPr>
          <w:rStyle w:val="CommentReference"/>
        </w:rPr>
        <w:commentReference w:id="32"/>
      </w:r>
      <w:r w:rsidRPr="00D452A9">
        <w:t xml:space="preserve">. The following section </w:t>
      </w:r>
      <w:r w:rsidR="008D1F43" w:rsidRPr="00D452A9">
        <w:t xml:space="preserve">considers how </w:t>
      </w:r>
      <w:r w:rsidR="00A55BB3" w:rsidRPr="00D452A9">
        <w:t>Equation</w:t>
      </w:r>
      <w:r w:rsidR="00BF49B2" w:rsidRPr="00D452A9">
        <w:t xml:space="preserve"> [1] </w:t>
      </w:r>
      <w:r w:rsidR="008D1F43" w:rsidRPr="00D452A9">
        <w:t xml:space="preserve">can be rewritten </w:t>
      </w:r>
      <w:r w:rsidR="00A55BB3" w:rsidRPr="00D452A9">
        <w:t>in terms of observed data</w:t>
      </w:r>
      <w:commentRangeStart w:id="33"/>
      <w:r w:rsidR="008D1F43" w:rsidRPr="00D452A9">
        <w:t xml:space="preserve">, </w:t>
      </w:r>
      <m:oMath>
        <m:d>
          <m:dPr>
            <m:ctrlPr>
              <w:rPr>
                <w:rFonts w:ascii="Cambria Math" w:hAnsi="Cambria Math"/>
                <w:i/>
              </w:rPr>
            </m:ctrlPr>
          </m:dPr>
          <m:e>
            <m:r>
              <w:rPr>
                <w:rFonts w:ascii="Cambria Math" w:hAnsi="Cambria Math"/>
              </w:rPr>
              <m:t>S=1,A,W</m:t>
            </m:r>
          </m:e>
        </m:d>
      </m:oMath>
      <w:r w:rsidR="008D1F43" w:rsidRPr="00D452A9">
        <w:rPr>
          <w:rFonts w:eastAsiaTheme="minorEastAsia"/>
        </w:rPr>
        <w:t xml:space="preserve"> and </w:t>
      </w:r>
      <m:oMath>
        <m:d>
          <m:dPr>
            <m:ctrlPr>
              <w:rPr>
                <w:rFonts w:ascii="Cambria Math" w:eastAsiaTheme="minorEastAsia" w:hAnsi="Cambria Math"/>
                <w:i/>
              </w:rPr>
            </m:ctrlPr>
          </m:dPr>
          <m:e>
            <m:r>
              <w:rPr>
                <w:rFonts w:ascii="Cambria Math" w:eastAsiaTheme="minorEastAsia" w:hAnsi="Cambria Math"/>
              </w:rPr>
              <m:t>S=2,A,Y,W</m:t>
            </m:r>
          </m:e>
        </m:d>
        <w:commentRangeEnd w:id="33"/>
        <m:r>
          <m:rPr>
            <m:sty m:val="p"/>
          </m:rPr>
          <w:rPr>
            <w:rStyle w:val="CommentReference"/>
            <w:rFonts w:ascii="Cambria Math" w:hAnsi="Cambria Math"/>
          </w:rPr>
          <w:commentReference w:id="33"/>
        </m:r>
      </m:oMath>
      <w:r w:rsidR="00A55BB3" w:rsidRPr="00D452A9">
        <w:t xml:space="preserve">. </w:t>
      </w:r>
    </w:p>
    <w:p w14:paraId="7083057D" w14:textId="77777777" w:rsidR="00A55BB3" w:rsidRPr="00D452A9" w:rsidRDefault="00A55BB3" w:rsidP="00A55BB3">
      <w:pPr>
        <w:pStyle w:val="BodyText"/>
        <w:ind w:firstLine="0"/>
      </w:pPr>
    </w:p>
    <w:p w14:paraId="45356CFC" w14:textId="77777777" w:rsidR="00D07662" w:rsidRPr="00D452A9" w:rsidRDefault="00D07662" w:rsidP="00D07662">
      <w:pPr>
        <w:pStyle w:val="Heading2"/>
        <w:rPr>
          <w:rFonts w:cstheme="majorHAnsi"/>
        </w:rPr>
      </w:pPr>
      <w:r w:rsidRPr="00D452A9">
        <w:rPr>
          <w:rFonts w:cstheme="majorHAnsi"/>
        </w:rPr>
        <w:t>Identification of the Population Attributable Fraction</w:t>
      </w:r>
    </w:p>
    <w:p w14:paraId="799546F3" w14:textId="56CE0323" w:rsidR="00A74C62" w:rsidRPr="00D452A9" w:rsidRDefault="00894AD4" w:rsidP="00894AD4">
      <w:pPr>
        <w:pStyle w:val="FirstParagraph"/>
        <w:rPr>
          <w:rFonts w:eastAsiaTheme="minorEastAsia"/>
        </w:rPr>
      </w:pPr>
      <w:r w:rsidRPr="00D452A9">
        <w:t xml:space="preserve">Point-identification of the interest parameter </w:t>
      </w:r>
      <m:oMath>
        <m:r>
          <w:rPr>
            <w:rFonts w:ascii="Cambria Math" w:hAnsi="Cambria Math"/>
          </w:rPr>
          <m:t>θ</m:t>
        </m:r>
      </m:oMath>
      <w:r w:rsidRPr="00D452A9">
        <w:rPr>
          <w:rFonts w:eastAsiaTheme="minorEastAsia"/>
        </w:rPr>
        <w:t xml:space="preserve"> requires </w:t>
      </w:r>
      <w:r w:rsidR="004A7224" w:rsidRPr="00D452A9">
        <w:rPr>
          <w:rFonts w:eastAsiaTheme="minorEastAsia"/>
        </w:rPr>
        <w:t xml:space="preserve">identification of </w:t>
      </w:r>
      <w:r w:rsidRPr="00D452A9">
        <w:rPr>
          <w:rFonts w:eastAsiaTheme="minorEastAsia"/>
        </w:rPr>
        <w:t xml:space="preserve">both </w:t>
      </w:r>
      <m:oMath>
        <m:func>
          <m:funcPr>
            <m:ctrlPr>
              <w:rPr>
                <w:rFonts w:ascii="Cambria Math" w:eastAsiaTheme="minorEastAsia" w:hAnsi="Cambria Math"/>
                <w:i/>
              </w:rPr>
            </m:ctrlPr>
          </m:funcPr>
          <m:fName>
            <m:r>
              <m:rPr>
                <m:sty m:val="p"/>
              </m:rPr>
              <w:rPr>
                <w:rFonts w:ascii="Cambria Math" w:eastAsiaTheme="minorEastAsia" w:hAnsi="Cambria Math"/>
              </w:rPr>
              <m:t>Pr</m:t>
            </m:r>
          </m:fName>
          <m:e>
            <m:r>
              <w:rPr>
                <w:rFonts w:ascii="Cambria Math" w:eastAsiaTheme="minorEastAsia" w:hAnsi="Cambria Math"/>
              </w:rPr>
              <m:t>(</m:t>
            </m:r>
          </m:e>
        </m:func>
        <m:r>
          <w:rPr>
            <w:rFonts w:ascii="Cambria Math" w:eastAsiaTheme="minorEastAsia" w:hAnsi="Cambria Math"/>
          </w:rPr>
          <m:t xml:space="preserve">Y </m:t>
        </m:r>
        <m:d>
          <m:dPr>
            <m:begChr m:val="|"/>
            <m:ctrlPr>
              <w:rPr>
                <w:rFonts w:ascii="Cambria Math" w:eastAsiaTheme="minorEastAsia" w:hAnsi="Cambria Math"/>
                <w:i/>
              </w:rPr>
            </m:ctrlPr>
          </m:dPr>
          <m:e>
            <m:r>
              <w:rPr>
                <w:rFonts w:ascii="Cambria Math" w:eastAsiaTheme="minorEastAsia" w:hAnsi="Cambria Math"/>
              </w:rPr>
              <m:t xml:space="preserve"> S=1</m:t>
            </m:r>
          </m:e>
        </m:d>
      </m:oMath>
      <w:r w:rsidR="004A7224" w:rsidRPr="00D452A9">
        <w:rPr>
          <w:rFonts w:eastAsiaTheme="minorEastAsia"/>
        </w:rPr>
        <w:t xml:space="preserve">, </w:t>
      </w:r>
      <w:r w:rsidRPr="00D452A9">
        <w:rPr>
          <w:rFonts w:eastAsiaTheme="minorEastAsia"/>
        </w:rPr>
        <w:t xml:space="preserve"> </w:t>
      </w:r>
      <w:r w:rsidR="00A74C62" w:rsidRPr="00D452A9">
        <w:rPr>
          <w:rFonts w:eastAsiaTheme="minorEastAsia"/>
        </w:rPr>
        <w:t xml:space="preserve">the </w:t>
      </w:r>
      <w:r w:rsidR="003C7D14" w:rsidRPr="00D452A9">
        <w:rPr>
          <w:rFonts w:eastAsiaTheme="minorEastAsia"/>
        </w:rPr>
        <w:t xml:space="preserve">expected </w:t>
      </w:r>
      <w:r w:rsidR="00A74C62" w:rsidRPr="00D452A9">
        <w:rPr>
          <w:rFonts w:eastAsiaTheme="minorEastAsia"/>
        </w:rPr>
        <w:t xml:space="preserve">proportion of cases within our </w:t>
      </w:r>
      <w:r w:rsidR="00BB5DE8" w:rsidRPr="00D452A9">
        <w:rPr>
          <w:rFonts w:eastAsiaTheme="minorEastAsia"/>
        </w:rPr>
        <w:t>target</w:t>
      </w:r>
      <w:r w:rsidR="00A74C62" w:rsidRPr="00D452A9">
        <w:rPr>
          <w:rFonts w:eastAsiaTheme="minorEastAsia"/>
        </w:rPr>
        <w:t xml:space="preserve"> population</w:t>
      </w:r>
      <w:r w:rsidR="004A7224" w:rsidRPr="00D452A9">
        <w:rPr>
          <w:rFonts w:eastAsiaTheme="minorEastAsia"/>
        </w:rPr>
        <w:t xml:space="preserve">, </w:t>
      </w:r>
      <w:r w:rsidRPr="00D452A9">
        <w:rPr>
          <w:rFonts w:eastAsiaTheme="minorEastAsia"/>
        </w:rPr>
        <w:t xml:space="preserve">and </w:t>
      </w:r>
      <m:oMath>
        <m:func>
          <m:funcPr>
            <m:ctrlPr>
              <w:rPr>
                <w:rFonts w:ascii="Cambria Math" w:eastAsiaTheme="minorEastAsia" w:hAnsi="Cambria Math"/>
                <w:i/>
              </w:rPr>
            </m:ctrlPr>
          </m:funcPr>
          <m:fName>
            <m:r>
              <m:rPr>
                <m:sty m:val="p"/>
              </m:rPr>
              <w:rPr>
                <w:rFonts w:ascii="Cambria Math" w:eastAsiaTheme="minorEastAsia" w:hAnsi="Cambria Math"/>
              </w:rPr>
              <m:t>Pr</m:t>
            </m:r>
          </m:fName>
          <m:e>
            <m:d>
              <m:dPr>
                <m:endChr m:val="|"/>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0</m:t>
                    </m:r>
                  </m:sup>
                </m:sSup>
                <m:r>
                  <w:rPr>
                    <w:rFonts w:ascii="Cambria Math" w:eastAsiaTheme="minorEastAsia" w:hAnsi="Cambria Math"/>
                  </w:rPr>
                  <m:t xml:space="preserve"> </m:t>
                </m:r>
              </m:e>
            </m:d>
            <m:r>
              <w:rPr>
                <w:rFonts w:ascii="Cambria Math" w:eastAsiaTheme="minorEastAsia" w:hAnsi="Cambria Math"/>
              </w:rPr>
              <m:t xml:space="preserve"> S=1)</m:t>
            </m:r>
          </m:e>
        </m:func>
      </m:oMath>
      <w:r w:rsidR="004A7224" w:rsidRPr="00D452A9">
        <w:rPr>
          <w:rFonts w:eastAsiaTheme="minorEastAsia"/>
        </w:rPr>
        <w:t xml:space="preserve">, </w:t>
      </w:r>
      <w:r w:rsidR="00A74C62" w:rsidRPr="00D452A9">
        <w:rPr>
          <w:rFonts w:eastAsiaTheme="minorEastAsia"/>
        </w:rPr>
        <w:t xml:space="preserve">the expected proportion of cases in our </w:t>
      </w:r>
      <w:r w:rsidR="00A55BB3" w:rsidRPr="00D452A9">
        <w:rPr>
          <w:rFonts w:eastAsiaTheme="minorEastAsia"/>
        </w:rPr>
        <w:t>target</w:t>
      </w:r>
      <w:r w:rsidR="00A74C62" w:rsidRPr="00D452A9">
        <w:rPr>
          <w:rFonts w:eastAsiaTheme="minorEastAsia"/>
        </w:rPr>
        <w:t xml:space="preserve"> population had no one had a history of IDU</w:t>
      </w:r>
      <w:r w:rsidR="004A7224" w:rsidRPr="00D452A9">
        <w:rPr>
          <w:rFonts w:eastAsiaTheme="minorEastAsia"/>
        </w:rPr>
        <w:t>.</w:t>
      </w:r>
    </w:p>
    <w:p w14:paraId="63620388" w14:textId="31496F8C" w:rsidR="00A74C62" w:rsidRPr="00D452A9" w:rsidRDefault="00A55BB3" w:rsidP="00A74C62">
      <w:pPr>
        <w:pStyle w:val="FirstParagraph"/>
        <w:ind w:firstLine="720"/>
        <w:rPr>
          <w:rFonts w:eastAsiaTheme="minorEastAsia"/>
        </w:rPr>
      </w:pPr>
      <w:r w:rsidRPr="00D452A9">
        <w:rPr>
          <w:rFonts w:eastAsiaTheme="minorEastAsia"/>
        </w:rPr>
        <w:t xml:space="preserve">Given no missing data or measurement error, </w:t>
      </w:r>
      <m:oMath>
        <m:func>
          <m:funcPr>
            <m:ctrlPr>
              <w:rPr>
                <w:rFonts w:ascii="Cambria Math" w:eastAsiaTheme="minorEastAsia" w:hAnsi="Cambria Math"/>
                <w:i/>
              </w:rPr>
            </m:ctrlPr>
          </m:funcPr>
          <m:fName>
            <m:r>
              <m:rPr>
                <m:sty m:val="p"/>
              </m:rPr>
              <w:rPr>
                <w:rFonts w:ascii="Cambria Math" w:eastAsiaTheme="minorEastAsia" w:hAnsi="Cambria Math"/>
              </w:rPr>
              <m:t>Pr</m:t>
            </m:r>
          </m:fName>
          <m:e>
            <m:r>
              <w:rPr>
                <w:rFonts w:ascii="Cambria Math" w:eastAsiaTheme="minorEastAsia" w:hAnsi="Cambria Math"/>
              </w:rPr>
              <m:t>(</m:t>
            </m:r>
          </m:e>
        </m:func>
        <m:r>
          <w:rPr>
            <w:rFonts w:ascii="Cambria Math" w:eastAsiaTheme="minorEastAsia" w:hAnsi="Cambria Math"/>
          </w:rPr>
          <m:t>Y | S=1)</m:t>
        </m:r>
      </m:oMath>
      <w:r w:rsidR="00894AD4" w:rsidRPr="00D452A9">
        <w:rPr>
          <w:rFonts w:eastAsiaTheme="minorEastAsia"/>
        </w:rPr>
        <w:t xml:space="preserve"> is </w:t>
      </w:r>
      <w:r w:rsidRPr="00D452A9">
        <w:rPr>
          <w:rFonts w:eastAsiaTheme="minorEastAsia"/>
        </w:rPr>
        <w:t>point-</w:t>
      </w:r>
      <w:r w:rsidR="00894AD4" w:rsidRPr="00D452A9">
        <w:rPr>
          <w:rFonts w:eastAsiaTheme="minorEastAsia"/>
        </w:rPr>
        <w:t xml:space="preserve">identified </w:t>
      </w:r>
      <w:r w:rsidR="00C202F9" w:rsidRPr="00D452A9">
        <w:rPr>
          <w:rFonts w:eastAsiaTheme="minorEastAsia"/>
        </w:rPr>
        <w:t>when</w:t>
      </w:r>
      <w:r w:rsidR="00894AD4" w:rsidRPr="00D452A9">
        <w:rPr>
          <w:rFonts w:eastAsiaTheme="minorEastAsia"/>
        </w:rPr>
        <w:t xml:space="preserve"> the outcomes </w:t>
      </w:r>
      <m:oMath>
        <m:r>
          <w:rPr>
            <w:rFonts w:ascii="Cambria Math" w:eastAsiaTheme="minorEastAsia" w:hAnsi="Cambria Math"/>
          </w:rPr>
          <m:t>Y</m:t>
        </m:r>
      </m:oMath>
      <w:r w:rsidR="00894AD4" w:rsidRPr="00D452A9">
        <w:rPr>
          <w:rFonts w:eastAsiaTheme="minorEastAsia"/>
        </w:rPr>
        <w:t xml:space="preserve"> are </w:t>
      </w:r>
      <w:r w:rsidRPr="00D452A9">
        <w:rPr>
          <w:rFonts w:eastAsiaTheme="minorEastAsia"/>
        </w:rPr>
        <w:t>measured</w:t>
      </w:r>
      <w:r w:rsidR="00894AD4" w:rsidRPr="00D452A9">
        <w:rPr>
          <w:rFonts w:eastAsiaTheme="minorEastAsia"/>
        </w:rPr>
        <w:t xml:space="preserve"> in the </w:t>
      </w:r>
      <w:r w:rsidR="003C7D14" w:rsidRPr="00D452A9">
        <w:rPr>
          <w:rFonts w:eastAsiaTheme="minorEastAsia"/>
        </w:rPr>
        <w:t>target</w:t>
      </w:r>
      <w:r w:rsidR="00C202F9" w:rsidRPr="00D452A9">
        <w:rPr>
          <w:rFonts w:eastAsiaTheme="minorEastAsia"/>
        </w:rPr>
        <w:t xml:space="preserve"> population</w:t>
      </w:r>
      <w:r w:rsidR="00894AD4" w:rsidRPr="00D452A9">
        <w:rPr>
          <w:rFonts w:eastAsiaTheme="minorEastAsia"/>
        </w:rPr>
        <w:t xml:space="preserve">. </w:t>
      </w:r>
      <w:r w:rsidR="00A74C62" w:rsidRPr="00D452A9">
        <w:rPr>
          <w:rFonts w:eastAsiaTheme="minorEastAsia"/>
        </w:rPr>
        <w:t xml:space="preserve">In this example, the CDC data does not include AIDS diagnoses and deaths, so our study </w:t>
      </w:r>
      <w:r w:rsidR="00202F37" w:rsidRPr="00D452A9">
        <w:rPr>
          <w:rFonts w:eastAsiaTheme="minorEastAsia"/>
        </w:rPr>
        <w:t>population</w:t>
      </w:r>
      <w:r w:rsidR="00A74C62" w:rsidRPr="00D452A9">
        <w:rPr>
          <w:rFonts w:eastAsiaTheme="minorEastAsia"/>
        </w:rPr>
        <w:t xml:space="preserve"> </w:t>
      </w:r>
      <w:r w:rsidRPr="00D452A9">
        <w:rPr>
          <w:rFonts w:eastAsiaTheme="minorEastAsia"/>
        </w:rPr>
        <w:t>is</w:t>
      </w:r>
      <w:r w:rsidR="00A74C62" w:rsidRPr="00D452A9">
        <w:rPr>
          <w:rFonts w:eastAsiaTheme="minorEastAsia"/>
        </w:rPr>
        <w:t xml:space="preserve"> used for identification</w:t>
      </w:r>
      <w:r w:rsidR="004E4CC3" w:rsidRPr="00D452A9">
        <w:rPr>
          <w:rFonts w:eastAsiaTheme="minorEastAsia"/>
        </w:rPr>
        <w:t xml:space="preserve"> of </w:t>
      </w:r>
      <m:oMath>
        <m:func>
          <m:funcPr>
            <m:ctrlPr>
              <w:rPr>
                <w:rFonts w:ascii="Cambria Math" w:eastAsiaTheme="minorEastAsia" w:hAnsi="Cambria Math"/>
                <w:i/>
              </w:rPr>
            </m:ctrlPr>
          </m:funcPr>
          <m:fName>
            <m:r>
              <m:rPr>
                <m:sty m:val="p"/>
              </m:rPr>
              <w:rPr>
                <w:rFonts w:ascii="Cambria Math" w:eastAsiaTheme="minorEastAsia" w:hAnsi="Cambria Math"/>
              </w:rPr>
              <m:t>Pr</m:t>
            </m:r>
          </m:fName>
          <m:e>
            <m:r>
              <w:rPr>
                <w:rFonts w:ascii="Cambria Math" w:eastAsiaTheme="minorEastAsia" w:hAnsi="Cambria Math"/>
              </w:rPr>
              <m:t>(</m:t>
            </m:r>
          </m:e>
        </m:func>
        <m:r>
          <w:rPr>
            <w:rFonts w:ascii="Cambria Math" w:eastAsiaTheme="minorEastAsia" w:hAnsi="Cambria Math"/>
          </w:rPr>
          <m:t>Y | S=1)</m:t>
        </m:r>
      </m:oMath>
      <w:r w:rsidR="00A74C62" w:rsidRPr="00D452A9">
        <w:rPr>
          <w:rFonts w:eastAsiaTheme="minorEastAsia"/>
        </w:rPr>
        <w:t>. Using the identification conditions in</w:t>
      </w:r>
      <w:r w:rsidR="00C202F9" w:rsidRPr="00D452A9">
        <w:rPr>
          <w:rFonts w:eastAsiaTheme="minorEastAsia"/>
        </w:rPr>
        <w:t xml:space="preserve"> </w:t>
      </w:r>
      <w:r w:rsidR="00C202F9" w:rsidRPr="00D452A9">
        <w:rPr>
          <w:rFonts w:eastAsiaTheme="minorEastAsia"/>
        </w:rPr>
        <w:fldChar w:fldCharType="begin"/>
      </w:r>
      <w:r w:rsidR="00C202F9" w:rsidRPr="00D452A9">
        <w:rPr>
          <w:rFonts w:eastAsiaTheme="minorEastAsia"/>
        </w:rPr>
        <w:instrText xml:space="preserve"> REF _Ref126747762 \h </w:instrText>
      </w:r>
      <w:r w:rsidR="00D452A9">
        <w:rPr>
          <w:rFonts w:eastAsiaTheme="minorEastAsia"/>
        </w:rPr>
        <w:instrText xml:space="preserve"> \* MERGEFORMAT </w:instrText>
      </w:r>
      <w:r w:rsidR="00C202F9" w:rsidRPr="00D452A9">
        <w:rPr>
          <w:rFonts w:eastAsiaTheme="minorEastAsia"/>
        </w:rPr>
      </w:r>
      <w:r w:rsidR="00C202F9" w:rsidRPr="00D452A9">
        <w:rPr>
          <w:rFonts w:eastAsiaTheme="minorEastAsia"/>
        </w:rPr>
        <w:fldChar w:fldCharType="separate"/>
      </w:r>
      <w:r w:rsidR="00C202F9" w:rsidRPr="00D452A9">
        <w:t xml:space="preserve">Table </w:t>
      </w:r>
      <w:r w:rsidR="00C202F9" w:rsidRPr="00D452A9">
        <w:rPr>
          <w:noProof/>
        </w:rPr>
        <w:t>2</w:t>
      </w:r>
      <w:r w:rsidR="00C202F9" w:rsidRPr="00D452A9">
        <w:rPr>
          <w:rFonts w:eastAsiaTheme="minorEastAsia"/>
        </w:rPr>
        <w:fldChar w:fldCharType="end"/>
      </w:r>
      <w:r w:rsidR="00A74C62" w:rsidRPr="00D452A9">
        <w:rPr>
          <w:rFonts w:eastAsiaTheme="minorEastAsia"/>
        </w:rPr>
        <w:t xml:space="preserve">, we </w:t>
      </w:r>
      <w:r w:rsidR="004A7224" w:rsidRPr="00D452A9">
        <w:rPr>
          <w:rFonts w:eastAsiaTheme="minorEastAsia"/>
        </w:rPr>
        <w:t>have</w:t>
      </w:r>
      <w:r w:rsidR="00A74C62" w:rsidRPr="00D452A9">
        <w:rPr>
          <w:rFonts w:eastAsiaTheme="minorEastAsia"/>
        </w:rPr>
        <w:t xml:space="preserve"> </w:t>
      </w:r>
    </w:p>
    <w:p w14:paraId="6F9C0AD5" w14:textId="2EDAC350" w:rsidR="00A74C62" w:rsidRPr="00D452A9" w:rsidRDefault="00000000" w:rsidP="00894AD4">
      <w:pPr>
        <w:pStyle w:val="FirstParagraph"/>
        <w:rPr>
          <w:rFonts w:eastAsiaTheme="minorEastAsia"/>
        </w:rPr>
      </w:pPr>
      <m:oMathPara>
        <m:oMath>
          <m:func>
            <m:funcPr>
              <m:ctrlPr>
                <w:rPr>
                  <w:rFonts w:ascii="Cambria Math" w:eastAsiaTheme="minorEastAsia" w:hAnsi="Cambria Math"/>
                  <w:i/>
                </w:rPr>
              </m:ctrlPr>
            </m:funcPr>
            <m:fName>
              <m:r>
                <m:rPr>
                  <m:sty m:val="p"/>
                </m:rPr>
                <w:rPr>
                  <w:rFonts w:ascii="Cambria Math" w:eastAsiaTheme="minorEastAsia" w:hAnsi="Cambria Math"/>
                </w:rPr>
                <m:t>Pr</m:t>
              </m:r>
            </m:fName>
            <m:e>
              <m:r>
                <w:rPr>
                  <w:rFonts w:ascii="Cambria Math" w:eastAsiaTheme="minorEastAsia" w:hAnsi="Cambria Math"/>
                </w:rPr>
                <m:t>(</m:t>
              </m:r>
            </m:e>
          </m:func>
          <m:r>
            <w:rPr>
              <w:rFonts w:ascii="Cambria Math" w:eastAsiaTheme="minorEastAsia" w:hAnsi="Cambria Math"/>
            </w:rPr>
            <m:t xml:space="preserve">Y | S=1)= </m:t>
          </m:r>
          <m:nary>
            <m:naryPr>
              <m:chr m:val="∑"/>
              <m:supHide m:val="1"/>
              <m:ctrlPr>
                <w:rPr>
                  <w:rFonts w:ascii="Cambria Math" w:hAnsi="Cambria Math"/>
                </w:rPr>
              </m:ctrlPr>
            </m:naryPr>
            <m:sub>
              <m:r>
                <w:rPr>
                  <w:rFonts w:ascii="Cambria Math" w:hAnsi="Cambria Math"/>
                </w:rPr>
                <m:t>a</m:t>
              </m:r>
              <m:r>
                <m:rPr>
                  <m:sty m:val="p"/>
                </m:rPr>
                <w:rPr>
                  <w:rFonts w:ascii="Cambria Math" w:hAnsi="Cambria Math"/>
                </w:rPr>
                <m:t>,</m:t>
              </m:r>
              <m:r>
                <w:rPr>
                  <w:rFonts w:ascii="Cambria Math" w:hAnsi="Cambria Math"/>
                </w:rPr>
                <m:t>w</m:t>
              </m:r>
            </m:sub>
            <m:sup/>
            <m:e>
              <m:d>
                <m:dPr>
                  <m:begChr m:val="{"/>
                  <m:endChr m:val="}"/>
                  <m:ctrlPr>
                    <w:rPr>
                      <w:rFonts w:ascii="Cambria Math" w:hAnsi="Cambria Math"/>
                      <w:i/>
                    </w:rPr>
                  </m:ctrlPr>
                </m:dPr>
                <m:e>
                  <m:func>
                    <m:funcPr>
                      <m:ctrlPr>
                        <w:rPr>
                          <w:rFonts w:ascii="Cambria Math" w:hAnsi="Cambria Math"/>
                        </w:rPr>
                      </m:ctrlPr>
                    </m:funcPr>
                    <m:fName>
                      <m:r>
                        <m:rPr>
                          <m:sty m:val="p"/>
                        </m:rPr>
                        <w:rPr>
                          <w:rFonts w:ascii="Cambria Math" w:hAnsi="Cambria Math"/>
                        </w:rPr>
                        <m:t>Pr</m:t>
                      </m:r>
                    </m:fName>
                    <m:e>
                      <m:d>
                        <m:dPr>
                          <m:endChr m:val="|"/>
                          <m:ctrlPr>
                            <w:rPr>
                              <w:rFonts w:ascii="Cambria Math" w:hAnsi="Cambria Math"/>
                              <w:i/>
                            </w:rPr>
                          </m:ctrlPr>
                        </m:dPr>
                        <m:e>
                          <m:r>
                            <w:rPr>
                              <w:rFonts w:ascii="Cambria Math" w:hAnsi="Cambria Math"/>
                            </w:rPr>
                            <m:t xml:space="preserve">Y, A=a, W=w </m:t>
                          </m:r>
                        </m:e>
                      </m:d>
                    </m:e>
                  </m:func>
                  <m:r>
                    <w:rPr>
                      <w:rFonts w:ascii="Cambria Math" w:hAnsi="Cambria Math"/>
                    </w:rPr>
                    <m:t>S=2) ×</m:t>
                  </m:r>
                  <m:f>
                    <m:fPr>
                      <m:ctrlPr>
                        <w:rPr>
                          <w:rFonts w:ascii="Cambria Math" w:hAnsi="Cambria Math"/>
                          <w:i/>
                        </w:rPr>
                      </m:ctrlPr>
                    </m:fPr>
                    <m:num>
                      <m:func>
                        <m:funcPr>
                          <m:ctrlPr>
                            <w:rPr>
                              <w:rFonts w:ascii="Cambria Math" w:hAnsi="Cambria Math"/>
                            </w:rPr>
                          </m:ctrlPr>
                        </m:funcPr>
                        <m:fName>
                          <m:r>
                            <m:rPr>
                              <m:sty m:val="p"/>
                            </m:rPr>
                            <w:rPr>
                              <w:rFonts w:ascii="Cambria Math" w:hAnsi="Cambria Math"/>
                            </w:rPr>
                            <m:t>Pr</m:t>
                          </m:r>
                        </m:fName>
                        <m:e>
                          <m:d>
                            <m:dPr>
                              <m:ctrlPr>
                                <w:rPr>
                                  <w:rFonts w:ascii="Cambria Math" w:hAnsi="Cambria Math"/>
                                </w:rPr>
                              </m:ctrlPr>
                            </m:dPr>
                            <m:e>
                              <m:r>
                                <w:rPr>
                                  <w:rFonts w:ascii="Cambria Math" w:hAnsi="Cambria Math"/>
                                </w:rPr>
                                <m:t>S=1 | 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e>
                          </m:d>
                        </m:e>
                      </m:func>
                    </m:num>
                    <m:den>
                      <m:r>
                        <m:rPr>
                          <m:sty m:val="p"/>
                        </m:rPr>
                        <w:rPr>
                          <w:rFonts w:ascii="Cambria Math" w:hAnsi="Cambria Math"/>
                        </w:rPr>
                        <m:t>Pr</m:t>
                      </m:r>
                      <m:d>
                        <m:dPr>
                          <m:ctrlPr>
                            <w:rPr>
                              <w:rFonts w:ascii="Cambria Math" w:hAnsi="Cambria Math"/>
                            </w:rPr>
                          </m:ctrlPr>
                        </m:dPr>
                        <m:e>
                          <m:r>
                            <m:rPr>
                              <m:sty m:val="p"/>
                            </m:rPr>
                            <w:rPr>
                              <w:rFonts w:ascii="Cambria Math" w:hAnsi="Cambria Math"/>
                            </w:rPr>
                            <m:t xml:space="preserve">S=2 </m:t>
                          </m:r>
                        </m:e>
                        <m:e>
                          <m:r>
                            <m:rPr>
                              <m:sty m:val="p"/>
                            </m:rPr>
                            <w:rPr>
                              <w:rFonts w:ascii="Cambria Math" w:hAnsi="Cambria Math"/>
                            </w:rPr>
                            <m:t>A=a, W=w</m:t>
                          </m:r>
                        </m:e>
                      </m:d>
                    </m:den>
                  </m:f>
                </m:e>
              </m:d>
            </m:e>
          </m:nary>
        </m:oMath>
      </m:oMathPara>
    </w:p>
    <w:p w14:paraId="66A118F2" w14:textId="1945B780" w:rsidR="00BB5DE8" w:rsidRPr="00D452A9" w:rsidRDefault="008D1F43" w:rsidP="00722408">
      <w:pPr>
        <w:pStyle w:val="BodyText"/>
        <w:ind w:firstLine="0"/>
      </w:pPr>
      <w:r w:rsidRPr="00D452A9">
        <w:t>with a</w:t>
      </w:r>
      <w:r w:rsidR="004E4CC3" w:rsidRPr="00D452A9">
        <w:t xml:space="preserve"> proof provided in the Supplementary Materials. </w:t>
      </w:r>
    </w:p>
    <w:p w14:paraId="18450445" w14:textId="694920F4" w:rsidR="00A74C62" w:rsidRPr="00D452A9" w:rsidRDefault="00A74C62" w:rsidP="00A74C62">
      <w:pPr>
        <w:pStyle w:val="BodyText"/>
        <w:rPr>
          <w:rFonts w:eastAsiaTheme="minorEastAsia"/>
        </w:rPr>
      </w:pPr>
      <w:r w:rsidRPr="00D452A9">
        <w:t xml:space="preserve">To identify </w:t>
      </w:r>
      <m:oMath>
        <m:func>
          <m:funcPr>
            <m:ctrlPr>
              <w:rPr>
                <w:rFonts w:ascii="Cambria Math" w:eastAsiaTheme="minorEastAsia" w:hAnsi="Cambria Math"/>
                <w:i/>
              </w:rPr>
            </m:ctrlPr>
          </m:funcPr>
          <m:fName>
            <m:r>
              <m:rPr>
                <m:sty m:val="p"/>
              </m:rPr>
              <w:rPr>
                <w:rFonts w:ascii="Cambria Math" w:eastAsiaTheme="minorEastAsia" w:hAnsi="Cambria Math"/>
              </w:rPr>
              <m:t>Pr</m:t>
            </m:r>
          </m:fName>
          <m:e>
            <m:r>
              <w:rPr>
                <w:rFonts w:ascii="Cambria Math" w:eastAsiaTheme="minorEastAsia" w:hAnsi="Cambria Math"/>
              </w:rPr>
              <m:t>(</m:t>
            </m:r>
          </m:e>
        </m:func>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0</m:t>
            </m:r>
          </m:sup>
        </m:sSup>
        <m:r>
          <w:rPr>
            <w:rFonts w:ascii="Cambria Math" w:eastAsiaTheme="minorEastAsia" w:hAnsi="Cambria Math"/>
          </w:rPr>
          <m:t xml:space="preserve"> | S=1)</m:t>
        </m:r>
      </m:oMath>
      <w:r w:rsidRPr="00D452A9">
        <w:rPr>
          <w:rFonts w:eastAsiaTheme="minorEastAsia"/>
        </w:rPr>
        <w:t xml:space="preserve">, </w:t>
      </w:r>
      <w:r w:rsidR="00C96CFB" w:rsidRPr="00D452A9">
        <w:rPr>
          <w:rFonts w:eastAsiaTheme="minorEastAsia"/>
        </w:rPr>
        <w:t xml:space="preserve">additional assumptions of exchangeability </w:t>
      </w:r>
      <w:r w:rsidR="00C96CFB" w:rsidRPr="00D452A9">
        <w:rPr>
          <w:rFonts w:eastAsiaTheme="minorEastAsia"/>
        </w:rPr>
        <w:fldChar w:fldCharType="begin"/>
      </w:r>
      <w:r w:rsidR="000C5025" w:rsidRPr="00D452A9">
        <w:rPr>
          <w:rFonts w:eastAsiaTheme="minorEastAsia"/>
        </w:rPr>
        <w:instrText xml:space="preserve"> ADDIN ZOTERO_ITEM CSL_CITATION {"citationID":"YS2NLDqE","properties":{"formattedCitation":"(20)","plainCitation":"(20)","noteIndex":0},"citationItems":[{"id":2421,"uris":["http://zotero.org/users/4426001/items/ZEFEH32W"],"itemData":{"id":2421,"type":"article-journal","abstract":"In ideal randomised experiments, association is causation: association measures can be interpreted as effect measures because randomisation ensures that the exposed and the unexposed are exchangeable. On the other hand, in observational studies, association is not generally causation: association measures cannot be interpreted as effect measures because the exposed and the unexposed are not generally exchangeable. However, observational research is often the only alternative for causal inference. This article reviews a condition that permits the estimation of causal effects from observational data, and two methods—standardisation and inverse probability weighting—to estimate population causal effects under that condition. For simplicity, the main description is restricted to dichotomous variables and assumes that no random error attributable to sampling variability exists. The appendix provides a generalisation of inverse probability weighting.","container-title":"Journal of Epidemiology and Community Health","DOI":"10.1136/jech.2004.029496","ISSN":"0143-005X","issue":"7","journalAbbreviation":"J Epidemiol Community Health","note":"PMID: 16790829\nPMCID: PMC2652882","page":"578-586","source":"PubMed Central","title":"Estimating causal effects from epidemiological data","volume":"60","author":[{"family":"Hernán","given":"Miguel A"},{"family":"Robins","given":"James M"}],"issued":{"date-parts":[["2006",7]]},"citation-key":"hernanEstimatingCausalEffects2006"}}],"schema":"https://github.com/citation-style-language/schema/raw/master/csl-citation.json"} </w:instrText>
      </w:r>
      <w:r w:rsidR="00C96CFB" w:rsidRPr="00D452A9">
        <w:rPr>
          <w:rFonts w:eastAsiaTheme="minorEastAsia"/>
        </w:rPr>
        <w:fldChar w:fldCharType="separate"/>
      </w:r>
      <w:r w:rsidR="000C5025" w:rsidRPr="00D452A9">
        <w:rPr>
          <w:rFonts w:eastAsiaTheme="minorEastAsia"/>
          <w:noProof/>
        </w:rPr>
        <w:t>(20)</w:t>
      </w:r>
      <w:r w:rsidR="00C96CFB" w:rsidRPr="00D452A9">
        <w:rPr>
          <w:rFonts w:eastAsiaTheme="minorEastAsia"/>
        </w:rPr>
        <w:fldChar w:fldCharType="end"/>
      </w:r>
      <w:r w:rsidR="00C96CFB" w:rsidRPr="00D452A9">
        <w:rPr>
          <w:rFonts w:eastAsiaTheme="minorEastAsia"/>
        </w:rPr>
        <w:t xml:space="preserve">, positivity </w:t>
      </w:r>
      <w:r w:rsidR="00C96CFB" w:rsidRPr="00D452A9">
        <w:rPr>
          <w:rFonts w:eastAsiaTheme="minorEastAsia"/>
        </w:rPr>
        <w:fldChar w:fldCharType="begin"/>
      </w:r>
      <w:r w:rsidR="000C5025" w:rsidRPr="00D452A9">
        <w:rPr>
          <w:rFonts w:eastAsiaTheme="minorEastAsia"/>
        </w:rPr>
        <w:instrText xml:space="preserve"> ADDIN ZOTERO_ITEM CSL_CITATION {"citationID":"tYmXFyj1","properties":{"formattedCitation":"(21)","plainCitation":"(21)","noteIndex":0},"citationItems":[{"id":2424,"uris":["http://zotero.org/users/4426001/items/FPG4RGKK"],"itemData":{"id":2424,"type":"article-journal","container-title":"American Journal of Epidemiology","DOI":"10.1093/aje/kwp436","ISSN":"0002-9262, 1476-6256","issue":"6","journalAbbreviation":"American Journal of Epidemiology","language":"en","page":"674-677","source":"DOI.org (Crossref)","title":"Invited Commentary: Positivity in Practice","title-short":"Invited Commentary","volume":"171","author":[{"family":"Westreich","given":"D."},{"family":"Cole","given":"S. R."}],"issued":{"date-parts":[["2010",3,15]]},"citation-key":"westreichInvitedCommentaryPositivity2010"}}],"schema":"https://github.com/citation-style-language/schema/raw/master/csl-citation.json"} </w:instrText>
      </w:r>
      <w:r w:rsidR="00C96CFB" w:rsidRPr="00D452A9">
        <w:rPr>
          <w:rFonts w:eastAsiaTheme="minorEastAsia"/>
        </w:rPr>
        <w:fldChar w:fldCharType="separate"/>
      </w:r>
      <w:r w:rsidR="000C5025" w:rsidRPr="00D452A9">
        <w:rPr>
          <w:rFonts w:eastAsiaTheme="minorEastAsia"/>
          <w:noProof/>
        </w:rPr>
        <w:t>(21)</w:t>
      </w:r>
      <w:r w:rsidR="00C96CFB" w:rsidRPr="00D452A9">
        <w:rPr>
          <w:rFonts w:eastAsiaTheme="minorEastAsia"/>
        </w:rPr>
        <w:fldChar w:fldCharType="end"/>
      </w:r>
      <w:r w:rsidR="00C96CFB" w:rsidRPr="00D452A9">
        <w:rPr>
          <w:rFonts w:eastAsiaTheme="minorEastAsia"/>
        </w:rPr>
        <w:t xml:space="preserve">, and causal consistency </w:t>
      </w:r>
      <w:r w:rsidR="00C96CFB" w:rsidRPr="00D452A9">
        <w:rPr>
          <w:rFonts w:eastAsiaTheme="minorEastAsia"/>
        </w:rPr>
        <w:fldChar w:fldCharType="begin"/>
      </w:r>
      <w:r w:rsidR="000C5025" w:rsidRPr="00D452A9">
        <w:rPr>
          <w:rFonts w:eastAsiaTheme="minorEastAsia"/>
        </w:rPr>
        <w:instrText xml:space="preserve"> ADDIN ZOTERO_ITEM CSL_CITATION {"citationID":"0WzfJ5rD","properties":{"formattedCitation":"(22)","plainCitation":"(22)","noteIndex":0},"citationItems":[{"id":2297,"uris":["http://zotero.org/users/4426001/items/MCDJQALH"],"itemData":{"id":2297,"type":"article-journal","container-title":"Epidemiology","DOI":"10.1097/EDE.0b013e31818ef366","ISSN":"1044-3983","issue":"1","language":"en","page":"3-5","source":"DOI.org (Crossref)","title":"The Consistency Statement in Causal Inference: A Definition or an Assumption?","title-short":"The Consistency Statement in Causal Inference","volume":"20","author":[{"family":"Cole","given":"Stephen R."},{"family":"Frangakis","given":"Constantine E."}],"issued":{"date-parts":[["2009",1]]},"citation-key":"coleConsistencyStatementCausal2009"}}],"schema":"https://github.com/citation-style-language/schema/raw/master/csl-citation.json"} </w:instrText>
      </w:r>
      <w:r w:rsidR="00C96CFB" w:rsidRPr="00D452A9">
        <w:rPr>
          <w:rFonts w:eastAsiaTheme="minorEastAsia"/>
        </w:rPr>
        <w:fldChar w:fldCharType="separate"/>
      </w:r>
      <w:r w:rsidR="000C5025" w:rsidRPr="00D452A9">
        <w:rPr>
          <w:rFonts w:eastAsiaTheme="minorEastAsia"/>
          <w:noProof/>
        </w:rPr>
        <w:t>(22)</w:t>
      </w:r>
      <w:r w:rsidR="00C96CFB" w:rsidRPr="00D452A9">
        <w:rPr>
          <w:rFonts w:eastAsiaTheme="minorEastAsia"/>
        </w:rPr>
        <w:fldChar w:fldCharType="end"/>
      </w:r>
      <w:r w:rsidR="00C96CFB" w:rsidRPr="00D452A9">
        <w:rPr>
          <w:rFonts w:eastAsiaTheme="minorEastAsia"/>
        </w:rPr>
        <w:t xml:space="preserve"> are</w:t>
      </w:r>
      <w:r w:rsidR="00C202F9" w:rsidRPr="00D452A9">
        <w:rPr>
          <w:rFonts w:eastAsiaTheme="minorEastAsia"/>
        </w:rPr>
        <w:t xml:space="preserve"> made</w:t>
      </w:r>
      <w:r w:rsidR="00C96CFB" w:rsidRPr="00D452A9">
        <w:rPr>
          <w:rFonts w:eastAsiaTheme="minorEastAsia"/>
        </w:rPr>
        <w:t xml:space="preserve">. From the identification conditions </w:t>
      </w:r>
      <w:r w:rsidR="00A55BB3" w:rsidRPr="00D452A9">
        <w:rPr>
          <w:rFonts w:eastAsiaTheme="minorEastAsia"/>
        </w:rPr>
        <w:t xml:space="preserve">provided </w:t>
      </w:r>
      <w:r w:rsidR="00C96CFB" w:rsidRPr="00D452A9">
        <w:rPr>
          <w:rFonts w:eastAsiaTheme="minorEastAsia"/>
        </w:rPr>
        <w:t xml:space="preserve">in </w:t>
      </w:r>
      <w:r w:rsidR="00567500" w:rsidRPr="00D452A9">
        <w:rPr>
          <w:rFonts w:eastAsiaTheme="minorEastAsia"/>
        </w:rPr>
        <w:fldChar w:fldCharType="begin"/>
      </w:r>
      <w:r w:rsidR="00567500" w:rsidRPr="00D452A9">
        <w:rPr>
          <w:rFonts w:eastAsiaTheme="minorEastAsia"/>
        </w:rPr>
        <w:instrText xml:space="preserve"> REF _Ref126747762 \h </w:instrText>
      </w:r>
      <w:r w:rsidR="00D452A9">
        <w:rPr>
          <w:rFonts w:eastAsiaTheme="minorEastAsia"/>
        </w:rPr>
        <w:instrText xml:space="preserve"> \* MERGEFORMAT </w:instrText>
      </w:r>
      <w:r w:rsidR="00567500" w:rsidRPr="00D452A9">
        <w:rPr>
          <w:rFonts w:eastAsiaTheme="minorEastAsia"/>
        </w:rPr>
      </w:r>
      <w:r w:rsidR="00567500" w:rsidRPr="00D452A9">
        <w:rPr>
          <w:rFonts w:eastAsiaTheme="minorEastAsia"/>
        </w:rPr>
        <w:fldChar w:fldCharType="separate"/>
      </w:r>
      <w:r w:rsidR="00567500" w:rsidRPr="00D452A9">
        <w:t xml:space="preserve">Table </w:t>
      </w:r>
      <w:r w:rsidR="00567500" w:rsidRPr="00D452A9">
        <w:rPr>
          <w:noProof/>
        </w:rPr>
        <w:t>2</w:t>
      </w:r>
      <w:r w:rsidR="00567500" w:rsidRPr="00D452A9">
        <w:rPr>
          <w:rFonts w:eastAsiaTheme="minorEastAsia"/>
        </w:rPr>
        <w:fldChar w:fldCharType="end"/>
      </w:r>
      <w:r w:rsidR="00567500" w:rsidRPr="00D452A9">
        <w:rPr>
          <w:rFonts w:eastAsiaTheme="minorEastAsia"/>
        </w:rPr>
        <w:t xml:space="preserve"> </w:t>
      </w:r>
      <w:r w:rsidR="00C96CFB" w:rsidRPr="00D452A9">
        <w:rPr>
          <w:rFonts w:eastAsiaTheme="minorEastAsia"/>
        </w:rPr>
        <w:t xml:space="preserve">and following the identification proof in the Supplementary Materials, we </w:t>
      </w:r>
      <w:r w:rsidR="004A7224" w:rsidRPr="00D452A9">
        <w:rPr>
          <w:rFonts w:eastAsiaTheme="minorEastAsia"/>
        </w:rPr>
        <w:t>have</w:t>
      </w:r>
      <w:r w:rsidR="00C96CFB" w:rsidRPr="00D452A9">
        <w:rPr>
          <w:rFonts w:eastAsiaTheme="minorEastAsia"/>
        </w:rPr>
        <w:t xml:space="preserve"> </w:t>
      </w:r>
      <w:r w:rsidR="00C202F9" w:rsidRPr="00D452A9">
        <w:rPr>
          <w:rFonts w:eastAsiaTheme="minorEastAsia"/>
        </w:rPr>
        <w:t>the following result</w:t>
      </w:r>
    </w:p>
    <w:p w14:paraId="0654E766" w14:textId="23308843" w:rsidR="008D7401" w:rsidRPr="00D452A9" w:rsidRDefault="00000000" w:rsidP="00722408">
      <w:pPr>
        <w:pStyle w:val="BodyText"/>
      </w:pPr>
      <m:oMathPara>
        <m:oMath>
          <m:func>
            <m:funcPr>
              <m:ctrlPr>
                <w:rPr>
                  <w:rFonts w:ascii="Cambria Math" w:eastAsiaTheme="minorEastAsia" w:hAnsi="Cambria Math"/>
                  <w:i/>
                </w:rPr>
              </m:ctrlPr>
            </m:funcPr>
            <m:fName>
              <m:r>
                <m:rPr>
                  <m:sty m:val="p"/>
                </m:rPr>
                <w:rPr>
                  <w:rFonts w:ascii="Cambria Math" w:eastAsiaTheme="minorEastAsia" w:hAnsi="Cambria Math"/>
                </w:rPr>
                <m:t>Pr</m:t>
              </m:r>
            </m:fName>
            <m:e>
              <m:d>
                <m:dPr>
                  <m:endChr m:val="|"/>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0</m:t>
                      </m:r>
                    </m:sup>
                  </m:sSup>
                  <m:r>
                    <w:rPr>
                      <w:rFonts w:ascii="Cambria Math" w:eastAsiaTheme="minorEastAsia" w:hAnsi="Cambria Math"/>
                    </w:rPr>
                    <m:t xml:space="preserve"> </m:t>
                  </m:r>
                </m:e>
              </m:d>
              <m:r>
                <w:rPr>
                  <w:rFonts w:ascii="Cambria Math" w:eastAsiaTheme="minorEastAsia" w:hAnsi="Cambria Math"/>
                </w:rPr>
                <m:t xml:space="preserve"> S=1)</m:t>
              </m:r>
            </m:e>
          </m:func>
          <m:r>
            <w:rPr>
              <w:rFonts w:ascii="Cambria Math" w:eastAsiaTheme="minorEastAsia" w:hAnsi="Cambria Math"/>
            </w:rPr>
            <m:t xml:space="preserve">= </m:t>
          </m:r>
          <m:nary>
            <m:naryPr>
              <m:chr m:val="∑"/>
              <m:supHide m:val="1"/>
              <m:ctrlPr>
                <w:rPr>
                  <w:rFonts w:ascii="Cambria Math" w:hAnsi="Cambria Math"/>
                  <w:i/>
                </w:rPr>
              </m:ctrlPr>
            </m:naryPr>
            <m:sub>
              <m:r>
                <w:rPr>
                  <w:rFonts w:ascii="Cambria Math" w:hAnsi="Cambria Math"/>
                </w:rPr>
                <m:t>w</m:t>
              </m:r>
            </m:sub>
            <m:sup/>
            <m:e>
              <m:f>
                <m:fPr>
                  <m:ctrlPr>
                    <w:rPr>
                      <w:rFonts w:ascii="Cambria Math" w:hAnsi="Cambria Math"/>
                      <w:i/>
                    </w:rPr>
                  </m:ctrlPr>
                </m:fPr>
                <m:num>
                  <m:r>
                    <w:rPr>
                      <w:rFonts w:ascii="Cambria Math" w:hAnsi="Cambria Math"/>
                    </w:rPr>
                    <m:t>E</m:t>
                  </m:r>
                  <m:d>
                    <m:dPr>
                      <m:begChr m:val="["/>
                      <m:endChr m:val="]"/>
                      <m:ctrlPr>
                        <w:rPr>
                          <w:rFonts w:ascii="Cambria Math" w:hAnsi="Cambria Math"/>
                          <w:i/>
                        </w:rPr>
                      </m:ctrlPr>
                    </m:dPr>
                    <m:e>
                      <m:r>
                        <w:rPr>
                          <w:rFonts w:ascii="Cambria Math" w:hAnsi="Cambria Math"/>
                        </w:rPr>
                        <m:t>Y,A=0,W=w | S=2</m:t>
                      </m:r>
                    </m:e>
                  </m:d>
                </m:num>
                <m:den>
                  <m:func>
                    <m:funcPr>
                      <m:ctrlPr>
                        <w:rPr>
                          <w:rFonts w:ascii="Cambria Math" w:hAnsi="Cambria Math"/>
                          <w:i/>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A=0| W=w,S=2</m:t>
                          </m:r>
                        </m:e>
                      </m:d>
                    </m:e>
                  </m:func>
                </m:den>
              </m:f>
              <m:f>
                <m:fPr>
                  <m:ctrlPr>
                    <w:rPr>
                      <w:rFonts w:ascii="Cambria Math" w:hAnsi="Cambria Math"/>
                      <w:i/>
                    </w:rPr>
                  </m:ctrlPr>
                </m:fPr>
                <m:num>
                  <m:r>
                    <m:rPr>
                      <m:sty m:val="p"/>
                    </m:rPr>
                    <w:rPr>
                      <w:rFonts w:ascii="Cambria Math" w:hAnsi="Cambria Math"/>
                    </w:rPr>
                    <m:t>Pr⁡</m:t>
                  </m:r>
                  <m:r>
                    <w:rPr>
                      <w:rFonts w:ascii="Cambria Math" w:hAnsi="Cambria Math"/>
                    </w:rPr>
                    <m:t>(S=1 |W=w)</m:t>
                  </m:r>
                </m:num>
                <m:den>
                  <m:r>
                    <m:rPr>
                      <m:sty m:val="p"/>
                    </m:rPr>
                    <w:rPr>
                      <w:rFonts w:ascii="Cambria Math" w:hAnsi="Cambria Math"/>
                    </w:rPr>
                    <m:t>Pr⁡</m:t>
                  </m:r>
                  <m:r>
                    <w:rPr>
                      <w:rFonts w:ascii="Cambria Math" w:hAnsi="Cambria Math"/>
                    </w:rPr>
                    <m:t>(S=2 |W=w)</m:t>
                  </m:r>
                </m:den>
              </m:f>
            </m:e>
          </m:nary>
          <m:r>
            <w:rPr>
              <w:rFonts w:ascii="Cambria Math" w:eastAsiaTheme="minorEastAsia" w:hAnsi="Cambria Math"/>
            </w:rPr>
            <m:t>.</m:t>
          </m:r>
        </m:oMath>
      </m:oMathPara>
    </w:p>
    <w:p w14:paraId="6A586C39" w14:textId="77777777" w:rsidR="002D0535" w:rsidRPr="00D452A9" w:rsidRDefault="002D0535" w:rsidP="00D07662">
      <w:pPr>
        <w:pStyle w:val="Heading2"/>
        <w:rPr>
          <w:rFonts w:cstheme="majorHAnsi"/>
        </w:rPr>
      </w:pPr>
      <w:bookmarkStart w:id="34" w:name="X406c8a2965b2a54a887c75446ee8e382c82e32c"/>
      <w:bookmarkEnd w:id="18"/>
    </w:p>
    <w:p w14:paraId="58AACFFB" w14:textId="2BBF70D5" w:rsidR="00D07662" w:rsidRPr="00D452A9" w:rsidRDefault="00D07662" w:rsidP="00D07662">
      <w:pPr>
        <w:pStyle w:val="Heading2"/>
        <w:rPr>
          <w:rFonts w:cstheme="majorHAnsi"/>
        </w:rPr>
      </w:pPr>
      <w:r w:rsidRPr="00D452A9">
        <w:rPr>
          <w:rFonts w:cstheme="majorHAnsi"/>
        </w:rPr>
        <w:t>Estimation of the Population Attributable Fraction</w:t>
      </w:r>
    </w:p>
    <w:p w14:paraId="2BF9AFA5" w14:textId="33B8EB03" w:rsidR="00D07662" w:rsidRPr="00D452A9" w:rsidRDefault="00D07662" w:rsidP="007B758E">
      <w:pPr>
        <w:pStyle w:val="FirstParagraph"/>
      </w:pPr>
      <w:r w:rsidRPr="00D452A9">
        <w:t xml:space="preserve">Under the </w:t>
      </w:r>
      <w:r w:rsidR="004A7224" w:rsidRPr="00D452A9">
        <w:t xml:space="preserve">above </w:t>
      </w:r>
      <w:r w:rsidR="00A55BB3" w:rsidRPr="00D452A9">
        <w:t xml:space="preserve">identification results for the population attributable fraction, an estimator for </w:t>
      </w:r>
      <m:oMath>
        <m:r>
          <w:rPr>
            <w:rFonts w:ascii="Cambria Math" w:hAnsi="Cambria Math"/>
          </w:rPr>
          <m:t>θ</m:t>
        </m:r>
      </m:oMath>
      <w:r w:rsidR="00A55BB3" w:rsidRPr="00D452A9">
        <w:rPr>
          <w:rFonts w:eastAsiaTheme="minorEastAsia"/>
        </w:rPr>
        <w:t xml:space="preserve"> is </w:t>
      </w:r>
    </w:p>
    <w:p w14:paraId="39F5194D" w14:textId="7707CF9E" w:rsidR="007B758E" w:rsidRPr="00D452A9" w:rsidRDefault="00000000" w:rsidP="00D057CD">
      <w:pPr>
        <w:pStyle w:val="BodyText"/>
        <w:ind w:firstLine="0"/>
      </w:pPr>
      <m:oMathPara>
        <m:oMath>
          <m:acc>
            <m:accPr>
              <m:ctrlPr>
                <w:rPr>
                  <w:rFonts w:ascii="Cambria Math" w:hAnsi="Cambria Math"/>
                  <w:i/>
                </w:rPr>
              </m:ctrlPr>
            </m:accPr>
            <m:e>
              <m:r>
                <w:rPr>
                  <w:rFonts w:ascii="Cambria Math" w:hAnsi="Cambria Math"/>
                </w:rPr>
                <m:t>θ</m:t>
              </m:r>
            </m:e>
          </m:acc>
          <m:r>
            <w:rPr>
              <w:rFonts w:ascii="Cambria Math" w:hAnsi="Cambria Math"/>
            </w:rPr>
            <m:t>=1</m:t>
          </m:r>
          <m:r>
            <m:rPr>
              <m:aln/>
            </m:rPr>
            <w:rPr>
              <w:rFonts w:ascii="Cambria Math" w:hAnsi="Cambria Math"/>
            </w:rPr>
            <m:t xml:space="preserve">- </m:t>
          </m:r>
          <m:f>
            <m:fPr>
              <m:ctrlPr>
                <w:rPr>
                  <w:rFonts w:ascii="Cambria Math" w:hAnsi="Cambria Math"/>
                  <w:i/>
                </w:rPr>
              </m:ctrlPr>
            </m:fPr>
            <m:num>
              <m:nary>
                <m:naryPr>
                  <m:chr m:val="∑"/>
                  <m:supHide m:val="1"/>
                  <m:ctrlPr>
                    <w:rPr>
                      <w:rFonts w:ascii="Cambria Math" w:hAnsi="Cambria Math"/>
                      <w:i/>
                    </w:rPr>
                  </m:ctrlPr>
                </m:naryPr>
                <m:sub>
                  <m:r>
                    <w:rPr>
                      <w:rFonts w:ascii="Cambria Math" w:hAnsi="Cambria Math"/>
                    </w:rPr>
                    <m:t>w</m:t>
                  </m:r>
                </m:sub>
                <m:sup/>
                <m:e>
                  <m:f>
                    <m:fPr>
                      <m:ctrlPr>
                        <w:rPr>
                          <w:rFonts w:ascii="Cambria Math" w:hAnsi="Cambria Math"/>
                          <w:i/>
                        </w:rPr>
                      </m:ctrlPr>
                    </m:fPr>
                    <m:num>
                      <m:acc>
                        <m:accPr>
                          <m:ctrlPr>
                            <w:rPr>
                              <w:rFonts w:ascii="Cambria Math" w:hAnsi="Cambria Math"/>
                              <w:i/>
                            </w:rPr>
                          </m:ctrlPr>
                        </m:accPr>
                        <m:e>
                          <m:r>
                            <w:rPr>
                              <w:rFonts w:ascii="Cambria Math" w:hAnsi="Cambria Math"/>
                            </w:rPr>
                            <m:t>E</m:t>
                          </m:r>
                        </m:e>
                      </m:acc>
                      <m:d>
                        <m:dPr>
                          <m:begChr m:val="["/>
                          <m:endChr m:val="]"/>
                          <m:ctrlPr>
                            <w:rPr>
                              <w:rFonts w:ascii="Cambria Math" w:hAnsi="Cambria Math"/>
                              <w:i/>
                            </w:rPr>
                          </m:ctrlPr>
                        </m:dPr>
                        <m:e>
                          <m:r>
                            <w:rPr>
                              <w:rFonts w:ascii="Cambria Math" w:hAnsi="Cambria Math"/>
                            </w:rPr>
                            <m:t>Y,A=0,W=w | S=2</m:t>
                          </m:r>
                        </m:e>
                      </m:d>
                    </m:num>
                    <m:den>
                      <m:func>
                        <m:funcPr>
                          <m:ctrlPr>
                            <w:rPr>
                              <w:rFonts w:ascii="Cambria Math" w:hAnsi="Cambria Math"/>
                              <w:i/>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A=0| W=w,S=2;</m:t>
                              </m:r>
                              <m:acc>
                                <m:accPr>
                                  <m:ctrlPr>
                                    <w:rPr>
                                      <w:rFonts w:ascii="Cambria Math" w:hAnsi="Cambria Math"/>
                                      <w:i/>
                                    </w:rPr>
                                  </m:ctrlPr>
                                </m:accPr>
                                <m:e>
                                  <m:r>
                                    <w:rPr>
                                      <w:rFonts w:ascii="Cambria Math" w:hAnsi="Cambria Math"/>
                                    </w:rPr>
                                    <m:t>α</m:t>
                                  </m:r>
                                </m:e>
                              </m:acc>
                            </m:e>
                          </m:d>
                        </m:e>
                      </m:func>
                    </m:den>
                  </m:f>
                  <m:f>
                    <m:fPr>
                      <m:ctrlPr>
                        <w:rPr>
                          <w:rFonts w:ascii="Cambria Math" w:hAnsi="Cambria Math"/>
                          <w:i/>
                        </w:rPr>
                      </m:ctrlPr>
                    </m:fPr>
                    <m:num>
                      <m:func>
                        <m:funcPr>
                          <m:ctrlPr>
                            <w:rPr>
                              <w:rFonts w:ascii="Cambria Math" w:hAnsi="Cambria Math"/>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S=1 | W=w;</m:t>
                              </m:r>
                              <m:acc>
                                <m:accPr>
                                  <m:ctrlPr>
                                    <w:rPr>
                                      <w:rFonts w:ascii="Cambria Math" w:hAnsi="Cambria Math"/>
                                      <w:i/>
                                    </w:rPr>
                                  </m:ctrlPr>
                                </m:accPr>
                                <m:e>
                                  <m:r>
                                    <w:rPr>
                                      <w:rFonts w:ascii="Cambria Math" w:hAnsi="Cambria Math"/>
                                    </w:rPr>
                                    <m:t>β</m:t>
                                  </m:r>
                                </m:e>
                              </m:acc>
                            </m:e>
                          </m:d>
                        </m:e>
                      </m:func>
                    </m:num>
                    <m:den>
                      <m:func>
                        <m:funcPr>
                          <m:ctrlPr>
                            <w:rPr>
                              <w:rFonts w:ascii="Cambria Math" w:hAnsi="Cambria Math"/>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 xml:space="preserve"> S=2 | W=w;</m:t>
                              </m:r>
                              <m:acc>
                                <m:accPr>
                                  <m:ctrlPr>
                                    <w:rPr>
                                      <w:rFonts w:ascii="Cambria Math" w:hAnsi="Cambria Math"/>
                                      <w:i/>
                                    </w:rPr>
                                  </m:ctrlPr>
                                </m:accPr>
                                <m:e>
                                  <m:r>
                                    <w:rPr>
                                      <w:rFonts w:ascii="Cambria Math" w:hAnsi="Cambria Math"/>
                                    </w:rPr>
                                    <m:t>β</m:t>
                                  </m:r>
                                </m:e>
                              </m:acc>
                            </m:e>
                          </m:d>
                        </m:e>
                      </m:func>
                    </m:den>
                  </m:f>
                </m:e>
              </m:nary>
              <m:r>
                <w:rPr>
                  <w:rFonts w:ascii="Cambria Math" w:eastAsiaTheme="minorEastAsia" w:hAnsi="Cambria Math"/>
                </w:rPr>
                <m:t xml:space="preserve"> </m:t>
              </m:r>
            </m:num>
            <m:den>
              <m:nary>
                <m:naryPr>
                  <m:chr m:val="∑"/>
                  <m:supHide m:val="1"/>
                  <m:ctrlPr>
                    <w:rPr>
                      <w:rFonts w:ascii="Cambria Math" w:hAnsi="Cambria Math"/>
                    </w:rPr>
                  </m:ctrlPr>
                </m:naryPr>
                <m:sub>
                  <m:r>
                    <w:rPr>
                      <w:rFonts w:ascii="Cambria Math" w:hAnsi="Cambria Math"/>
                    </w:rPr>
                    <m:t>a</m:t>
                  </m:r>
                  <m:r>
                    <m:rPr>
                      <m:sty m:val="p"/>
                    </m:rPr>
                    <w:rPr>
                      <w:rFonts w:ascii="Cambria Math" w:hAnsi="Cambria Math"/>
                    </w:rPr>
                    <m:t>,</m:t>
                  </m:r>
                  <m:r>
                    <w:rPr>
                      <w:rFonts w:ascii="Cambria Math" w:hAnsi="Cambria Math"/>
                    </w:rPr>
                    <m:t>w</m:t>
                  </m:r>
                </m:sub>
                <m:sup/>
                <m:e>
                  <m:acc>
                    <m:accPr>
                      <m:ctrlPr>
                        <w:rPr>
                          <w:rFonts w:ascii="Cambria Math" w:hAnsi="Cambria Math"/>
                          <w:i/>
                        </w:rPr>
                      </m:ctrlPr>
                    </m:accPr>
                    <m:e>
                      <m:r>
                        <w:rPr>
                          <w:rFonts w:ascii="Cambria Math" w:hAnsi="Cambria Math"/>
                        </w:rPr>
                        <m:t>E</m:t>
                      </m:r>
                    </m:e>
                  </m:acc>
                  <m:d>
                    <m:dPr>
                      <m:begChr m:val="["/>
                      <m:endChr m:val="]"/>
                      <m:ctrlPr>
                        <w:rPr>
                          <w:rFonts w:ascii="Cambria Math" w:hAnsi="Cambria Math"/>
                        </w:rPr>
                      </m:ctrlPr>
                    </m:dPr>
                    <m:e>
                      <m:r>
                        <w:rPr>
                          <w:rFonts w:ascii="Cambria Math" w:hAnsi="Cambria Math"/>
                        </w:rPr>
                        <m:t>Y</m:t>
                      </m:r>
                      <m:r>
                        <m:rPr>
                          <m:sty m:val="p"/>
                        </m:rPr>
                        <w:rPr>
                          <w:rFonts w:ascii="Cambria Math" w:hAnsi="Cambria Math"/>
                        </w:rPr>
                        <m:t xml:space="preserve">, </m:t>
                      </m:r>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 | S</m:t>
                      </m:r>
                      <m:r>
                        <m:rPr>
                          <m:sty m:val="p"/>
                        </m:rPr>
                        <w:rPr>
                          <w:rFonts w:ascii="Cambria Math" w:hAnsi="Cambria Math"/>
                        </w:rPr>
                        <m:t>=2</m:t>
                      </m:r>
                    </m:e>
                  </m:d>
                  <m:f>
                    <m:fPr>
                      <m:ctrlPr>
                        <w:rPr>
                          <w:rFonts w:ascii="Cambria Math" w:hAnsi="Cambria Math"/>
                          <w:i/>
                        </w:rPr>
                      </m:ctrlPr>
                    </m:fPr>
                    <m:num>
                      <m:func>
                        <m:funcPr>
                          <m:ctrlPr>
                            <w:rPr>
                              <w:rFonts w:ascii="Cambria Math" w:hAnsi="Cambria Math"/>
                            </w:rPr>
                          </m:ctrlPr>
                        </m:funcPr>
                        <m:fName>
                          <m:r>
                            <m:rPr>
                              <m:sty m:val="p"/>
                            </m:rPr>
                            <w:rPr>
                              <w:rFonts w:ascii="Cambria Math" w:hAnsi="Cambria Math"/>
                            </w:rPr>
                            <m:t>Pr</m:t>
                          </m:r>
                        </m:fName>
                        <m:e>
                          <m:d>
                            <m:dPr>
                              <m:ctrlPr>
                                <w:rPr>
                                  <w:rFonts w:ascii="Cambria Math" w:hAnsi="Cambria Math"/>
                                </w:rPr>
                              </m:ctrlPr>
                            </m:dPr>
                            <m:e>
                              <m:r>
                                <w:rPr>
                                  <w:rFonts w:ascii="Cambria Math" w:hAnsi="Cambria Math"/>
                                </w:rPr>
                                <m:t>S=1 | 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acc>
                                <m:accPr>
                                  <m:ctrlPr>
                                    <w:rPr>
                                      <w:rFonts w:ascii="Cambria Math" w:hAnsi="Cambria Math"/>
                                      <w:i/>
                                    </w:rPr>
                                  </m:ctrlPr>
                                </m:accPr>
                                <m:e>
                                  <m:r>
                                    <w:rPr>
                                      <w:rFonts w:ascii="Cambria Math" w:hAnsi="Cambria Math"/>
                                    </w:rPr>
                                    <m:t>γ</m:t>
                                  </m:r>
                                </m:e>
                              </m:acc>
                            </m:e>
                          </m:d>
                        </m:e>
                      </m:func>
                    </m:num>
                    <m:den>
                      <m:r>
                        <m:rPr>
                          <m:sty m:val="p"/>
                        </m:rPr>
                        <w:rPr>
                          <w:rFonts w:ascii="Cambria Math" w:hAnsi="Cambria Math"/>
                        </w:rPr>
                        <m:t>Pr</m:t>
                      </m:r>
                      <m:d>
                        <m:dPr>
                          <m:ctrlPr>
                            <w:rPr>
                              <w:rFonts w:ascii="Cambria Math" w:hAnsi="Cambria Math"/>
                            </w:rPr>
                          </m:ctrlPr>
                        </m:dPr>
                        <m:e>
                          <m:r>
                            <m:rPr>
                              <m:sty m:val="p"/>
                            </m:rPr>
                            <w:rPr>
                              <w:rFonts w:ascii="Cambria Math" w:hAnsi="Cambria Math"/>
                            </w:rPr>
                            <m:t xml:space="preserve">S=2 </m:t>
                          </m:r>
                        </m:e>
                        <m:e>
                          <m:r>
                            <m:rPr>
                              <m:sty m:val="p"/>
                            </m:rPr>
                            <w:rPr>
                              <w:rFonts w:ascii="Cambria Math" w:hAnsi="Cambria Math"/>
                            </w:rPr>
                            <m:t>A=a, W=w</m:t>
                          </m:r>
                          <m:r>
                            <w:rPr>
                              <w:rFonts w:ascii="Cambria Math" w:hAnsi="Cambria Math"/>
                            </w:rPr>
                            <m:t>;</m:t>
                          </m:r>
                          <m:acc>
                            <m:accPr>
                              <m:ctrlPr>
                                <w:rPr>
                                  <w:rFonts w:ascii="Cambria Math" w:hAnsi="Cambria Math"/>
                                  <w:i/>
                                </w:rPr>
                              </m:ctrlPr>
                            </m:accPr>
                            <m:e>
                              <m:r>
                                <w:rPr>
                                  <w:rFonts w:ascii="Cambria Math" w:hAnsi="Cambria Math"/>
                                </w:rPr>
                                <m:t>γ</m:t>
                              </m:r>
                            </m:e>
                          </m:acc>
                        </m:e>
                      </m:d>
                    </m:den>
                  </m:f>
                </m:e>
              </m:nary>
            </m:den>
          </m:f>
          <m:r>
            <w:rPr>
              <w:rFonts w:ascii="Cambria Math" w:hAnsi="Cambria Math"/>
            </w:rPr>
            <m:t xml:space="preserve">        [2] </m:t>
          </m:r>
        </m:oMath>
      </m:oMathPara>
    </w:p>
    <w:p w14:paraId="1C04DC0D" w14:textId="65E0672C" w:rsidR="00F617D3" w:rsidRPr="00D452A9" w:rsidRDefault="00835BE7" w:rsidP="00F14239">
      <w:pPr>
        <w:pStyle w:val="BodyText"/>
        <w:ind w:firstLine="0"/>
      </w:pPr>
      <w:r w:rsidRPr="00D452A9">
        <w:t>by</w:t>
      </w:r>
      <w:r w:rsidR="00F14239" w:rsidRPr="00D452A9">
        <w:t xml:space="preserve"> plugging in identified components into the original parameter</w:t>
      </w:r>
      <w:r w:rsidR="00DF3ED3" w:rsidRPr="00D452A9">
        <w:t xml:space="preserve"> definition</w:t>
      </w:r>
      <w:r w:rsidR="00F14239" w:rsidRPr="00D452A9">
        <w:t xml:space="preserve">. In the numerator, </w:t>
      </w:r>
      <m:oMath>
        <m:f>
          <m:fPr>
            <m:ctrlPr>
              <w:rPr>
                <w:rFonts w:ascii="Cambria Math" w:hAnsi="Cambria Math"/>
                <w:i/>
              </w:rPr>
            </m:ctrlPr>
          </m:fPr>
          <m:num>
            <m:r>
              <m:rPr>
                <m:sty m:val="p"/>
              </m:rPr>
              <w:rPr>
                <w:rFonts w:ascii="Cambria Math" w:hAnsi="Cambria Math"/>
              </w:rPr>
              <m:t>Pr⁡</m:t>
            </m:r>
            <m:d>
              <m:dPr>
                <m:ctrlPr>
                  <w:rPr>
                    <w:rFonts w:ascii="Cambria Math" w:hAnsi="Cambria Math"/>
                    <w:i/>
                  </w:rPr>
                </m:ctrlPr>
              </m:dPr>
              <m:e>
                <m:r>
                  <w:rPr>
                    <w:rFonts w:ascii="Cambria Math" w:hAnsi="Cambria Math"/>
                  </w:rPr>
                  <m:t>S=1 | W=w;</m:t>
                </m:r>
                <m:acc>
                  <m:accPr>
                    <m:ctrlPr>
                      <w:rPr>
                        <w:rFonts w:ascii="Cambria Math" w:hAnsi="Cambria Math"/>
                        <w:i/>
                      </w:rPr>
                    </m:ctrlPr>
                  </m:accPr>
                  <m:e>
                    <m:r>
                      <w:rPr>
                        <w:rFonts w:ascii="Cambria Math" w:hAnsi="Cambria Math"/>
                      </w:rPr>
                      <m:t>β</m:t>
                    </m:r>
                  </m:e>
                </m:acc>
              </m:e>
            </m:d>
          </m:num>
          <m:den>
            <m:r>
              <m:rPr>
                <m:sty m:val="p"/>
              </m:rPr>
              <w:rPr>
                <w:rFonts w:ascii="Cambria Math" w:hAnsi="Cambria Math"/>
              </w:rPr>
              <m:t>Pr⁡</m:t>
            </m:r>
            <m:d>
              <m:dPr>
                <m:ctrlPr>
                  <w:rPr>
                    <w:rFonts w:ascii="Cambria Math" w:hAnsi="Cambria Math"/>
                    <w:i/>
                  </w:rPr>
                </m:ctrlPr>
              </m:dPr>
              <m:e>
                <m:r>
                  <w:rPr>
                    <w:rFonts w:ascii="Cambria Math" w:hAnsi="Cambria Math"/>
                  </w:rPr>
                  <m:t xml:space="preserve"> S=2 | W=w;</m:t>
                </m:r>
                <m:acc>
                  <m:accPr>
                    <m:ctrlPr>
                      <w:rPr>
                        <w:rFonts w:ascii="Cambria Math" w:hAnsi="Cambria Math"/>
                        <w:i/>
                      </w:rPr>
                    </m:ctrlPr>
                  </m:accPr>
                  <m:e>
                    <m:r>
                      <w:rPr>
                        <w:rFonts w:ascii="Cambria Math" w:hAnsi="Cambria Math"/>
                      </w:rPr>
                      <m:t>β</m:t>
                    </m:r>
                  </m:e>
                </m:acc>
              </m:e>
            </m:d>
          </m:den>
        </m:f>
      </m:oMath>
      <w:r w:rsidR="00F14239" w:rsidRPr="00D452A9">
        <w:rPr>
          <w:rFonts w:eastAsiaTheme="minorEastAsia"/>
        </w:rPr>
        <w:t xml:space="preserve"> </w:t>
      </w:r>
      <w:r w:rsidR="00233446" w:rsidRPr="00D452A9">
        <w:rPr>
          <w:rFonts w:eastAsiaTheme="minorEastAsia"/>
        </w:rPr>
        <w:t xml:space="preserve"> </w:t>
      </w:r>
      <w:r w:rsidR="00F14239" w:rsidRPr="00D452A9">
        <w:rPr>
          <w:rFonts w:eastAsiaTheme="minorEastAsia"/>
        </w:rPr>
        <w:t xml:space="preserve">is </w:t>
      </w:r>
      <w:r w:rsidR="00BF7430" w:rsidRPr="00D452A9">
        <w:t>the inverse odds of sampling weights</w:t>
      </w:r>
      <w:r w:rsidR="002D0535" w:rsidRPr="00D452A9">
        <w:t xml:space="preserve"> </w:t>
      </w:r>
      <w:r w:rsidR="002D0535" w:rsidRPr="00D452A9">
        <w:fldChar w:fldCharType="begin"/>
      </w:r>
      <w:r w:rsidR="000C5025" w:rsidRPr="00D452A9">
        <w:instrText xml:space="preserve"> ADDIN ZOTERO_ITEM CSL_CITATION {"citationID":"xFqM9635","properties":{"formattedCitation":"(23,24)","plainCitation":"(23,24)","noteIndex":0},"citationItems":[{"id":4322,"uris":["http://zotero.org/users/4426001/items/KEILZWKC"],"itemData":{"id":4322,"type":"article-journal","abstract":"Great care is taken in epidemiologic studies to ensure the internal validity of causal effect estimates; however, external validity has received considerably less attention. When the study sample is not a random sample of the target population, the sample average treatment effect, even if internally valid, cannot usually be expected to equal the average treatment effect in the target population. The utility of an effect estimate for planning purposes and decision making will depend on the degree of departure from the true causal effect in the target population due to problems with both internal and external validity. Herein, we review concepts from recent literature on generalizability, one facet of external validity, using the potential outcomes framework. Identification conditions sufficient for external validity closely parallel identification conditions for internal validity, namely conditional exchangeability; positivity; the same distributions of the versions of treatment; no interference; and no measurement error. We also require correct model specification. Under these conditions, we discuss how a version of direct standardization (the g-formula, adjustment formula, or transport formula) or inverse probability weighting can be used to generalize a causal effect from a study sample to a well-defined target population, and demonstrate their application in an illustrative example.","container-title":"Epidemiology (Cambridge, Mass.)","DOI":"10.1097/EDE.0000000000000664","ISSN":"1531-5487","issue":"4","journalAbbreviation":"Epidemiology","language":"eng","note":"PMID: 28346267\nPMCID: PMC5466356","page":"553-561","source":"PubMed","title":"Generalizing Study Results: A Potential Outcomes Perspective","title-short":"Generalizing Study Results","volume":"28","author":[{"family":"Lesko","given":"Catherine R."},{"family":"Buchanan","given":"Ashley L."},{"family":"Westreich","given":"Daniel"},{"family":"Edwards","given":"Jessie K."},{"family":"Hudgens","given":"Michael G."},{"family":"Cole","given":"Stephen R."}],"issued":{"date-parts":[["2017",7]]},"citation-key":"leskoGeneralizingStudyResults2017"}},{"id":2184,"uris":["http://zotero.org/users/4426001/items/JIRU4B3F"],"itemData":{"id":2184,"type":"article-journal","container-title":"American Journal of Epidemiology","DOI":"10.1093/aje/kwx164","ISSN":"0002-9262, 1476-6256","issue":"8","language":"en","page":"1010-1014","source":"DOI.org (Crossref)","title":"Transportability of Trial Results Using Inverse Odds of Sampling Weights","volume":"186","author":[{"family":"Westreich","given":"Daniel"},{"family":"Edwards","given":"Jessie K"},{"family":"Lesko","given":"Catherine R"},{"family":"Stuart","given":"Elizabeth"},{"family":"Cole","given":"Stephen R"}],"issued":{"date-parts":[["2017",10,15]]},"citation-key":"westreichTransportabilityTrialResults2017"}}],"schema":"https://github.com/citation-style-language/schema/raw/master/csl-citation.json"} </w:instrText>
      </w:r>
      <w:r w:rsidR="002D0535" w:rsidRPr="00D452A9">
        <w:fldChar w:fldCharType="separate"/>
      </w:r>
      <w:r w:rsidR="000C5025" w:rsidRPr="00D452A9">
        <w:rPr>
          <w:noProof/>
        </w:rPr>
        <w:t>(23,24)</w:t>
      </w:r>
      <w:r w:rsidR="002D0535" w:rsidRPr="00D452A9">
        <w:fldChar w:fldCharType="end"/>
      </w:r>
      <w:r w:rsidR="002D0535" w:rsidRPr="00D452A9">
        <w:t xml:space="preserve"> and</w:t>
      </w:r>
      <w:r w:rsidR="00233446" w:rsidRPr="00D452A9">
        <w:t xml:space="preserve"> </w:t>
      </w:r>
      <w:r w:rsidR="002D0535" w:rsidRPr="00D452A9">
        <w:t xml:space="preserve"> </w:t>
      </w:r>
      <m:oMath>
        <m:f>
          <m:fPr>
            <m:ctrlPr>
              <w:rPr>
                <w:rFonts w:ascii="Cambria Math" w:hAnsi="Cambria Math"/>
                <w:i/>
              </w:rPr>
            </m:ctrlPr>
          </m:fPr>
          <m:num>
            <m:r>
              <w:rPr>
                <w:rFonts w:ascii="Cambria Math" w:hAnsi="Cambria Math"/>
              </w:rPr>
              <m:t>1</m:t>
            </m:r>
          </m:num>
          <m:den>
            <m:func>
              <m:funcPr>
                <m:ctrlPr>
                  <w:rPr>
                    <w:rFonts w:ascii="Cambria Math" w:hAnsi="Cambria Math"/>
                    <w:i/>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A=0| W=w,S=2;</m:t>
                    </m:r>
                    <m:acc>
                      <m:accPr>
                        <m:ctrlPr>
                          <w:rPr>
                            <w:rFonts w:ascii="Cambria Math" w:hAnsi="Cambria Math"/>
                            <w:i/>
                          </w:rPr>
                        </m:ctrlPr>
                      </m:accPr>
                      <m:e>
                        <m:r>
                          <w:rPr>
                            <w:rFonts w:ascii="Cambria Math" w:hAnsi="Cambria Math"/>
                          </w:rPr>
                          <m:t>α</m:t>
                        </m:r>
                      </m:e>
                    </m:acc>
                  </m:e>
                </m:d>
              </m:e>
            </m:func>
          </m:den>
        </m:f>
      </m:oMath>
      <w:r w:rsidR="002D0535" w:rsidRPr="00D452A9">
        <w:rPr>
          <w:rFonts w:eastAsiaTheme="minorEastAsia"/>
        </w:rPr>
        <w:t xml:space="preserve"> is the inverse probability of treatment weights </w:t>
      </w:r>
      <w:r w:rsidR="00E21B06" w:rsidRPr="00D452A9">
        <w:rPr>
          <w:rFonts w:eastAsiaTheme="minorEastAsia"/>
        </w:rPr>
        <w:fldChar w:fldCharType="begin"/>
      </w:r>
      <w:r w:rsidR="000C5025" w:rsidRPr="00D452A9">
        <w:rPr>
          <w:rFonts w:eastAsiaTheme="minorEastAsia"/>
        </w:rPr>
        <w:instrText xml:space="preserve"> ADDIN ZOTERO_ITEM CSL_CITATION {"citationID":"atNtp9ZG","properties":{"formattedCitation":"(25)","plainCitation":"(25)","noteIndex":0},"citationItems":[{"id":2820,"uris":["http://zotero.org/users/4426001/items/PTYXJ4RV"],"itemData":{"id":2820,"type":"article-journal","container-title":"Epidemiology","DOI":"10.1097/00001648-200009000-00011","ISSN":"1044-3983","issue":"5","journalAbbreviation":"Epidemiology","language":"en","page":"550-560","source":"DOI.org (Crossref)","title":"Marginal Structural Models and Causal Inference in Epidemiology:","title-short":"Marginal Structural Models and Causal Inference in Epidemiology","volume":"11","author":[{"family":"Robins","given":"James M."},{"family":"Hernán","given":"Miguel Ángel"},{"family":"Brumback","given":"Babette"}],"issued":{"date-parts":[["2000",9]]},"citation-key":"robinsMarginalStructuralModels2000"}}],"schema":"https://github.com/citation-style-language/schema/raw/master/csl-citation.json"} </w:instrText>
      </w:r>
      <w:r w:rsidR="00E21B06" w:rsidRPr="00D452A9">
        <w:rPr>
          <w:rFonts w:eastAsiaTheme="minorEastAsia"/>
        </w:rPr>
        <w:fldChar w:fldCharType="separate"/>
      </w:r>
      <w:r w:rsidR="000C5025" w:rsidRPr="00D452A9">
        <w:rPr>
          <w:rFonts w:eastAsiaTheme="minorEastAsia"/>
          <w:noProof/>
        </w:rPr>
        <w:t>(25)</w:t>
      </w:r>
      <w:r w:rsidR="00E21B06" w:rsidRPr="00D452A9">
        <w:rPr>
          <w:rFonts w:eastAsiaTheme="minorEastAsia"/>
        </w:rPr>
        <w:fldChar w:fldCharType="end"/>
      </w:r>
      <w:r w:rsidR="00F95CC8" w:rsidRPr="00D452A9">
        <w:rPr>
          <w:rFonts w:eastAsiaTheme="minorEastAsia"/>
        </w:rPr>
        <w:t>.</w:t>
      </w:r>
      <w:r w:rsidR="00E21B06" w:rsidRPr="00D452A9">
        <w:rPr>
          <w:rFonts w:eastAsiaTheme="minorEastAsia"/>
        </w:rPr>
        <w:t xml:space="preserve"> </w:t>
      </w:r>
      <w:r w:rsidR="0048513E" w:rsidRPr="00D452A9">
        <w:t xml:space="preserve">In the denominator, the odds weights </w:t>
      </w:r>
      <m:oMath>
        <m:f>
          <m:fPr>
            <m:ctrlPr>
              <w:rPr>
                <w:rFonts w:ascii="Cambria Math" w:hAnsi="Cambria Math"/>
              </w:rPr>
            </m:ctrlPr>
          </m:fPr>
          <m:num>
            <m:func>
              <m:funcPr>
                <m:ctrlPr>
                  <w:rPr>
                    <w:rFonts w:ascii="Cambria Math" w:hAnsi="Cambria Math"/>
                  </w:rPr>
                </m:ctrlPr>
              </m:funcPr>
              <m:fName>
                <m:r>
                  <m:rPr>
                    <m:sty m:val="p"/>
                  </m:rPr>
                  <w:rPr>
                    <w:rFonts w:ascii="Cambria Math" w:hAnsi="Cambria Math"/>
                  </w:rPr>
                  <m:t>Pr</m:t>
                </m:r>
              </m:fName>
              <m:e>
                <m:d>
                  <m:dPr>
                    <m:ctrlPr>
                      <w:rPr>
                        <w:rFonts w:ascii="Cambria Math" w:hAnsi="Cambria Math"/>
                      </w:rPr>
                    </m:ctrlPr>
                  </m:dPr>
                  <m:e>
                    <m:r>
                      <w:rPr>
                        <w:rFonts w:ascii="Cambria Math" w:hAnsi="Cambria Math"/>
                      </w:rPr>
                      <m:t>S=1 | 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acc>
                      <m:accPr>
                        <m:ctrlPr>
                          <w:rPr>
                            <w:rFonts w:ascii="Cambria Math" w:hAnsi="Cambria Math"/>
                          </w:rPr>
                        </m:ctrlPr>
                      </m:accPr>
                      <m:e>
                        <m:r>
                          <w:rPr>
                            <w:rFonts w:ascii="Cambria Math" w:hAnsi="Cambria Math"/>
                          </w:rPr>
                          <m:t>γ</m:t>
                        </m:r>
                      </m:e>
                    </m:acc>
                  </m:e>
                </m:d>
              </m:e>
            </m:func>
          </m:num>
          <m:den>
            <m:r>
              <m:rPr>
                <m:sty m:val="p"/>
              </m:rPr>
              <w:rPr>
                <w:rFonts w:ascii="Cambria Math" w:hAnsi="Cambria Math"/>
              </w:rPr>
              <m:t>Pr</m:t>
            </m:r>
            <m:d>
              <m:dPr>
                <m:ctrlPr>
                  <w:rPr>
                    <w:rFonts w:ascii="Cambria Math" w:hAnsi="Cambria Math"/>
                  </w:rPr>
                </m:ctrlPr>
              </m:dPr>
              <m:e>
                <m:r>
                  <m:rPr>
                    <m:sty m:val="p"/>
                  </m:rPr>
                  <w:rPr>
                    <w:rFonts w:ascii="Cambria Math" w:hAnsi="Cambria Math"/>
                  </w:rPr>
                  <m:t xml:space="preserve">S=2 </m:t>
                </m:r>
              </m:e>
              <m:e>
                <m:r>
                  <m:rPr>
                    <m:sty m:val="p"/>
                  </m:rPr>
                  <w:rPr>
                    <w:rFonts w:ascii="Cambria Math" w:hAnsi="Cambria Math"/>
                  </w:rPr>
                  <m:t>A=a, W=w</m:t>
                </m:r>
                <m:r>
                  <w:rPr>
                    <w:rFonts w:ascii="Cambria Math" w:hAnsi="Cambria Math"/>
                  </w:rPr>
                  <m:t>;</m:t>
                </m:r>
                <m:acc>
                  <m:accPr>
                    <m:ctrlPr>
                      <w:rPr>
                        <w:rFonts w:ascii="Cambria Math" w:hAnsi="Cambria Math"/>
                      </w:rPr>
                    </m:ctrlPr>
                  </m:accPr>
                  <m:e>
                    <m:r>
                      <w:rPr>
                        <w:rFonts w:ascii="Cambria Math" w:hAnsi="Cambria Math"/>
                      </w:rPr>
                      <m:t>γ</m:t>
                    </m:r>
                  </m:e>
                </m:acc>
              </m:e>
            </m:d>
          </m:den>
        </m:f>
        <m:r>
          <w:rPr>
            <w:rFonts w:ascii="Cambria Math" w:hAnsi="Cambria Math"/>
            <w:sz w:val="20"/>
            <w:szCs w:val="20"/>
          </w:rPr>
          <m:t xml:space="preserve"> </m:t>
        </m:r>
      </m:oMath>
      <w:r w:rsidR="0048513E" w:rsidRPr="00D452A9">
        <w:t xml:space="preserve">generalize the study outcome distribution to the target population. </w:t>
      </w:r>
      <w:commentRangeStart w:id="35"/>
      <w:r w:rsidR="008D1F43" w:rsidRPr="00D452A9">
        <w:t xml:space="preserve">Weighting the study population by the inverse probability of treatment and inverse odds of sampling creates a pseudo-target population with the same covariate distribution as the study population and independence between IDU history and covariate distribution. </w:t>
      </w:r>
      <w:commentRangeEnd w:id="35"/>
      <w:r w:rsidR="008D1F43" w:rsidRPr="00D452A9">
        <w:rPr>
          <w:rStyle w:val="CommentReference"/>
        </w:rPr>
        <w:commentReference w:id="35"/>
      </w:r>
      <w:r w:rsidR="008D1F43" w:rsidRPr="00D452A9">
        <w:t xml:space="preserve">Here, </w:t>
      </w:r>
      <w:r w:rsidR="00DF3ED3" w:rsidRPr="00D452A9">
        <w:t xml:space="preserve">the </w:t>
      </w:r>
      <w:r w:rsidR="0048513E" w:rsidRPr="00D452A9">
        <w:rPr>
          <w:rFonts w:eastAsiaTheme="minorEastAsia"/>
        </w:rPr>
        <w:t>s</w:t>
      </w:r>
      <w:r w:rsidR="00D057CD" w:rsidRPr="00D452A9">
        <w:rPr>
          <w:rFonts w:eastAsiaTheme="minorEastAsia"/>
        </w:rPr>
        <w:t>ampling odds</w:t>
      </w:r>
      <w:r w:rsidR="00431851" w:rsidRPr="00D452A9">
        <w:rPr>
          <w:rFonts w:eastAsiaTheme="minorEastAsia"/>
        </w:rPr>
        <w:t xml:space="preserve"> and </w:t>
      </w:r>
      <w:r w:rsidRPr="00D452A9">
        <w:rPr>
          <w:rFonts w:eastAsiaTheme="minorEastAsia"/>
        </w:rPr>
        <w:t xml:space="preserve">the </w:t>
      </w:r>
      <w:commentRangeStart w:id="36"/>
      <w:r w:rsidR="00912792" w:rsidRPr="00D452A9">
        <w:rPr>
          <w:rFonts w:eastAsiaTheme="minorEastAsia"/>
        </w:rPr>
        <w:t>conditional exposure prevalence</w:t>
      </w:r>
      <w:r w:rsidR="00431851" w:rsidRPr="00D452A9">
        <w:rPr>
          <w:rFonts w:eastAsiaTheme="minorEastAsia"/>
        </w:rPr>
        <w:t xml:space="preserve"> </w:t>
      </w:r>
      <w:commentRangeEnd w:id="36"/>
      <w:r w:rsidR="00D259C2" w:rsidRPr="00D452A9">
        <w:rPr>
          <w:rStyle w:val="CommentReference"/>
        </w:rPr>
        <w:commentReference w:id="36"/>
      </w:r>
      <w:r w:rsidR="00431851" w:rsidRPr="00D452A9">
        <w:rPr>
          <w:rFonts w:eastAsiaTheme="minorEastAsia"/>
        </w:rPr>
        <w:t xml:space="preserve">within the study sample </w:t>
      </w:r>
      <w:r w:rsidR="008D1F43" w:rsidRPr="00D452A9">
        <w:rPr>
          <w:rFonts w:eastAsiaTheme="minorEastAsia"/>
        </w:rPr>
        <w:t>were</w:t>
      </w:r>
      <w:r w:rsidR="00431851" w:rsidRPr="00D452A9">
        <w:rPr>
          <w:rFonts w:eastAsiaTheme="minorEastAsia"/>
        </w:rPr>
        <w:t xml:space="preserve"> modeled </w:t>
      </w:r>
      <w:r w:rsidR="00C202F9" w:rsidRPr="00D452A9">
        <w:rPr>
          <w:rFonts w:eastAsiaTheme="minorEastAsia"/>
        </w:rPr>
        <w:t>using</w:t>
      </w:r>
      <w:r w:rsidR="00431851" w:rsidRPr="00D452A9">
        <w:rPr>
          <w:rFonts w:eastAsiaTheme="minorEastAsia"/>
        </w:rPr>
        <w:t xml:space="preserve"> logistic regression</w:t>
      </w:r>
      <w:r w:rsidR="00431851" w:rsidRPr="00D452A9" w:rsidDel="002D0535">
        <w:t xml:space="preserve"> </w:t>
      </w:r>
      <w:r w:rsidR="00431851" w:rsidRPr="00D452A9">
        <w:t>with nadir CD4 cell count</w:t>
      </w:r>
      <w:r w:rsidRPr="00D452A9">
        <w:t xml:space="preserve"> and</w:t>
      </w:r>
      <w:r w:rsidR="00431851" w:rsidRPr="00D452A9">
        <w:t xml:space="preserve"> age </w:t>
      </w:r>
      <w:r w:rsidR="00F617D3" w:rsidRPr="00D452A9">
        <w:t>fit by</w:t>
      </w:r>
      <w:r w:rsidRPr="00D452A9">
        <w:t xml:space="preserve"> </w:t>
      </w:r>
      <w:r w:rsidR="00431851" w:rsidRPr="00D452A9">
        <w:t>restricted cubic spline</w:t>
      </w:r>
      <w:r w:rsidRPr="00D452A9">
        <w:t>s</w:t>
      </w:r>
      <w:r w:rsidR="00F617D3" w:rsidRPr="00D452A9">
        <w:t xml:space="preserve"> (knots located at the 5</w:t>
      </w:r>
      <w:r w:rsidR="00F617D3" w:rsidRPr="00D452A9">
        <w:rPr>
          <w:vertAlign w:val="superscript"/>
        </w:rPr>
        <w:t>th</w:t>
      </w:r>
      <w:r w:rsidR="00F617D3" w:rsidRPr="00D452A9">
        <w:t>, 25</w:t>
      </w:r>
      <w:r w:rsidR="00F617D3" w:rsidRPr="00D452A9">
        <w:rPr>
          <w:vertAlign w:val="superscript"/>
        </w:rPr>
        <w:t>th</w:t>
      </w:r>
      <w:r w:rsidR="00F617D3" w:rsidRPr="00D452A9">
        <w:t>, 50</w:t>
      </w:r>
      <w:r w:rsidR="00F617D3" w:rsidRPr="00D452A9">
        <w:rPr>
          <w:vertAlign w:val="superscript"/>
        </w:rPr>
        <w:t>th</w:t>
      </w:r>
      <w:r w:rsidR="00F617D3" w:rsidRPr="00D452A9">
        <w:t>, 75</w:t>
      </w:r>
      <w:r w:rsidR="00F617D3" w:rsidRPr="00D452A9">
        <w:rPr>
          <w:vertAlign w:val="superscript"/>
        </w:rPr>
        <w:t>th</w:t>
      </w:r>
      <w:r w:rsidR="00F617D3" w:rsidRPr="00D452A9">
        <w:t>, and 95</w:t>
      </w:r>
      <w:r w:rsidR="00F617D3" w:rsidRPr="00D452A9">
        <w:rPr>
          <w:vertAlign w:val="superscript"/>
        </w:rPr>
        <w:t>th</w:t>
      </w:r>
      <w:r w:rsidR="00F617D3" w:rsidRPr="00D452A9">
        <w:t xml:space="preserve"> percentiles)</w:t>
      </w:r>
      <w:r w:rsidR="00431851" w:rsidRPr="00D452A9">
        <w:t>, and a</w:t>
      </w:r>
      <w:r w:rsidRPr="00D452A9">
        <w:t>n indicator term for</w:t>
      </w:r>
      <w:r w:rsidR="00431851" w:rsidRPr="00D452A9">
        <w:t xml:space="preserve"> </w:t>
      </w:r>
      <w:r w:rsidRPr="00D452A9">
        <w:t>race</w:t>
      </w:r>
      <w:r w:rsidR="00F617D3" w:rsidRPr="00D452A9">
        <w:t xml:space="preserve"> (Black/non-Black)</w:t>
      </w:r>
      <w:r w:rsidRPr="00D452A9">
        <w:t>.</w:t>
      </w:r>
      <w:r w:rsidR="0050753F" w:rsidRPr="00D452A9">
        <w:t xml:space="preserve"> </w:t>
      </w:r>
      <w:commentRangeStart w:id="37"/>
      <w:commentRangeEnd w:id="37"/>
      <w:r w:rsidR="009C7E43" w:rsidRPr="00D452A9">
        <w:rPr>
          <w:rStyle w:val="CommentReference"/>
        </w:rPr>
        <w:commentReference w:id="37"/>
      </w:r>
      <w:r w:rsidR="008D1F43" w:rsidRPr="00D452A9" w:rsidDel="008D1F43">
        <w:t xml:space="preserve"> </w:t>
      </w:r>
    </w:p>
    <w:p w14:paraId="212FBCED" w14:textId="4D636398" w:rsidR="00D07662" w:rsidRPr="00D452A9" w:rsidRDefault="00D07662" w:rsidP="00F617D3">
      <w:pPr>
        <w:pStyle w:val="BodyText"/>
      </w:pPr>
      <w:r w:rsidRPr="00D452A9">
        <w:t xml:space="preserve">As </w:t>
      </w:r>
      <w:r w:rsidR="00DF3ED3" w:rsidRPr="00D452A9">
        <w:t xml:space="preserve">the </w:t>
      </w:r>
      <w:r w:rsidRPr="00D452A9">
        <w:t xml:space="preserve">variance of [2] is a function of the variability of </w:t>
      </w:r>
      <w:r w:rsidR="009C7E43" w:rsidRPr="00D452A9">
        <w:t xml:space="preserve">the distribution of outcomes, the sampling odds, and the treatment weights, </w:t>
      </w:r>
      <w:r w:rsidRPr="00D452A9">
        <w:t>the variance estimator should similarly incorporate the uncertainty from</w:t>
      </w:r>
      <w:r w:rsidR="009C7E43" w:rsidRPr="00D452A9">
        <w:t xml:space="preserve"> those sources</w:t>
      </w:r>
      <w:r w:rsidRPr="00D452A9">
        <w:rPr>
          <w:rFonts w:eastAsiaTheme="minorEastAsia"/>
        </w:rPr>
        <w:t xml:space="preserve">. </w:t>
      </w:r>
      <w:commentRangeStart w:id="38"/>
      <w:commentRangeStart w:id="39"/>
      <w:commentRangeStart w:id="40"/>
      <w:r w:rsidRPr="00D452A9">
        <w:t xml:space="preserve">We compare three approaches to obtain statistically </w:t>
      </w:r>
      <w:r w:rsidRPr="00D452A9">
        <w:lastRenderedPageBreak/>
        <w:t>consistent variance estimators</w:t>
      </w:r>
      <w:commentRangeEnd w:id="38"/>
      <w:r w:rsidR="00F617D3" w:rsidRPr="00D452A9">
        <w:t xml:space="preserve">: </w:t>
      </w:r>
      <w:r w:rsidR="003277CC" w:rsidRPr="00D452A9">
        <w:t>bootstrap by standard deviation, bootstrap by percentile</w:t>
      </w:r>
      <w:r w:rsidR="00F617D3" w:rsidRPr="00D452A9">
        <w:t>, and M-</w:t>
      </w:r>
      <w:r w:rsidR="008D1F43" w:rsidRPr="00D452A9">
        <w:t>e</w:t>
      </w:r>
      <w:r w:rsidR="00F617D3" w:rsidRPr="00D452A9">
        <w:t>stimation</w:t>
      </w:r>
      <w:r w:rsidR="003277CC" w:rsidRPr="00D452A9">
        <w:t xml:space="preserve">. </w:t>
      </w:r>
      <w:r w:rsidRPr="00D452A9">
        <w:rPr>
          <w:rStyle w:val="CommentReference"/>
        </w:rPr>
        <w:commentReference w:id="38"/>
      </w:r>
      <w:commentRangeEnd w:id="39"/>
      <w:r w:rsidRPr="00D452A9">
        <w:rPr>
          <w:rStyle w:val="CommentReference"/>
        </w:rPr>
        <w:commentReference w:id="39"/>
      </w:r>
      <w:commentRangeEnd w:id="40"/>
      <w:r w:rsidRPr="00D452A9">
        <w:rPr>
          <w:rStyle w:val="CommentReference"/>
        </w:rPr>
        <w:commentReference w:id="40"/>
      </w:r>
      <w:r w:rsidRPr="00D452A9">
        <w:t xml:space="preserve"> The </w:t>
      </w:r>
      <w:r w:rsidR="00910C0E" w:rsidRPr="00D452A9">
        <w:t xml:space="preserve">first two </w:t>
      </w:r>
      <w:r w:rsidRPr="00D452A9">
        <w:t>approach</w:t>
      </w:r>
      <w:r w:rsidR="00910C0E" w:rsidRPr="00D452A9">
        <w:t>es</w:t>
      </w:r>
      <w:r w:rsidRPr="00D452A9">
        <w:t xml:space="preserve"> use a nonparametric bootstrap</w:t>
      </w:r>
      <w:r w:rsidR="008B3A21" w:rsidRPr="00D452A9">
        <w:t xml:space="preserve"> </w:t>
      </w:r>
      <w:r w:rsidR="008B3A21" w:rsidRPr="00D452A9">
        <w:fldChar w:fldCharType="begin"/>
      </w:r>
      <w:r w:rsidR="000C5025" w:rsidRPr="00D452A9">
        <w:instrText xml:space="preserve"> ADDIN ZOTERO_ITEM CSL_CITATION {"citationID":"kvqSBcG5","properties":{"formattedCitation":"(26)","plainCitation":"(26)","noteIndex":0},"citationItems":[{"id":2428,"uris":["http://zotero.org/users/4426001/items/RSSY8Z2Y"],"itemData":{"id":2428,"type":"article-journal","container-title":"Nature Methods","DOI":"10.1038/nmeth.3414","ISSN":"1548-7091, 1548-7105","issue":"6","journalAbbreviation":"Nat Methods","language":"en","page":"477-478","source":"DOI.org (Crossref)","title":"Sampling distributions and the bootstrap","volume":"12","author":[{"family":"Kulesa","given":"Anthony"},{"family":"Krzywinski","given":"Martin"},{"family":"Blainey","given":"Paul"},{"family":"Altman","given":"Naomi"}],"issued":{"date-parts":[["2015",6]]},"citation-key":"kulesaSamplingDistributionsBootstrap2015"}}],"schema":"https://github.com/citation-style-language/schema/raw/master/csl-citation.json"} </w:instrText>
      </w:r>
      <w:r w:rsidR="008B3A21" w:rsidRPr="00D452A9">
        <w:fldChar w:fldCharType="separate"/>
      </w:r>
      <w:r w:rsidR="000C5025" w:rsidRPr="00D452A9">
        <w:rPr>
          <w:noProof/>
        </w:rPr>
        <w:t>(26)</w:t>
      </w:r>
      <w:r w:rsidR="008B3A21" w:rsidRPr="00D452A9">
        <w:fldChar w:fldCharType="end"/>
      </w:r>
      <w:r w:rsidR="008B3A21" w:rsidRPr="00D452A9">
        <w:t xml:space="preserve"> </w:t>
      </w:r>
      <w:r w:rsidRPr="00D452A9">
        <w:t xml:space="preserve">which draws </w:t>
      </w:r>
      <m:oMath>
        <m:r>
          <w:rPr>
            <w:rFonts w:ascii="Cambria Math" w:hAnsi="Cambria Math"/>
          </w:rPr>
          <m:t>B</m:t>
        </m:r>
      </m:oMath>
      <w:r w:rsidRPr="00D452A9">
        <w:rPr>
          <w:rFonts w:eastAsiaTheme="minorEastAsia"/>
        </w:rPr>
        <w:t xml:space="preserve"> samples with replacement, each size</w:t>
      </w:r>
      <w:r w:rsidRPr="00D452A9">
        <w:t xml:space="preserve"> </w:t>
      </w:r>
      <m:oMath>
        <m:r>
          <w:rPr>
            <w:rFonts w:ascii="Cambria Math" w:hAnsi="Cambria Math"/>
          </w:rPr>
          <m:t>N</m:t>
        </m:r>
      </m:oMath>
      <w:r w:rsidRPr="00D452A9">
        <w:t xml:space="preserve"> from the observed main data set and size </w:t>
      </w:r>
      <m:oMath>
        <m:r>
          <w:rPr>
            <w:rFonts w:ascii="Cambria Math" w:hAnsi="Cambria Math"/>
          </w:rPr>
          <m:t>M</m:t>
        </m:r>
      </m:oMath>
      <w:r w:rsidRPr="00D452A9">
        <w:t xml:space="preserve"> from the auxiliary data set. After constructing the population attributable fraction in every bootstrap sample, the standard deviation of the </w:t>
      </w:r>
      <m:oMath>
        <m:r>
          <w:rPr>
            <w:rFonts w:ascii="Cambria Math" w:hAnsi="Cambria Math"/>
          </w:rPr>
          <m:t>B</m:t>
        </m:r>
      </m:oMath>
      <w:r w:rsidRPr="00D452A9">
        <w:t xml:space="preserve"> estimates the standard error of </w:t>
      </w:r>
      <m:oMath>
        <m:acc>
          <m:accPr>
            <m:ctrlPr>
              <w:rPr>
                <w:rFonts w:ascii="Cambria Math" w:hAnsi="Cambria Math"/>
              </w:rPr>
            </m:ctrlPr>
          </m:accPr>
          <m:e>
            <m:r>
              <w:rPr>
                <w:rFonts w:ascii="Cambria Math" w:hAnsi="Cambria Math"/>
              </w:rPr>
              <m:t>θ</m:t>
            </m:r>
          </m:e>
        </m:acc>
      </m:oMath>
      <w:r w:rsidR="00910C0E" w:rsidRPr="00D452A9">
        <w:rPr>
          <w:rFonts w:eastAsiaTheme="minorEastAsia"/>
        </w:rPr>
        <w:t xml:space="preserve"> for the first variance estimator</w:t>
      </w:r>
      <w:r w:rsidRPr="00D452A9">
        <w:t xml:space="preserve">. </w:t>
      </w:r>
      <w:r w:rsidR="00910C0E" w:rsidRPr="00D452A9">
        <w:t>For the second variance estimator</w:t>
      </w:r>
      <w:r w:rsidR="00F617D3" w:rsidRPr="00D452A9">
        <w:t>, the 2.5</w:t>
      </w:r>
      <w:r w:rsidR="00F617D3" w:rsidRPr="00D452A9">
        <w:rPr>
          <w:vertAlign w:val="superscript"/>
        </w:rPr>
        <w:t>th</w:t>
      </w:r>
      <w:r w:rsidR="00F617D3" w:rsidRPr="00D452A9">
        <w:t xml:space="preserve"> and 97.5</w:t>
      </w:r>
      <w:r w:rsidR="00F617D3" w:rsidRPr="00D452A9">
        <w:rPr>
          <w:vertAlign w:val="superscript"/>
        </w:rPr>
        <w:t>th</w:t>
      </w:r>
      <w:r w:rsidR="00F617D3" w:rsidRPr="00D452A9">
        <w:t xml:space="preserve"> percentiles of the </w:t>
      </w:r>
      <m:oMath>
        <m:r>
          <w:rPr>
            <w:rFonts w:ascii="Cambria Math" w:hAnsi="Cambria Math"/>
          </w:rPr>
          <m:t>B</m:t>
        </m:r>
      </m:oMath>
      <w:r w:rsidR="00F617D3" w:rsidRPr="00D452A9">
        <w:t xml:space="preserve"> estimates can be used to construct a confidence interval. </w:t>
      </w:r>
      <w:r w:rsidRPr="00D452A9">
        <w:t xml:space="preserve">Third, </w:t>
      </w:r>
      <w:r w:rsidR="00F617D3" w:rsidRPr="00D452A9">
        <w:t xml:space="preserve">the variance for </w:t>
      </w:r>
      <m:oMath>
        <m:acc>
          <m:accPr>
            <m:ctrlPr>
              <w:rPr>
                <w:rFonts w:ascii="Cambria Math" w:hAnsi="Cambria Math"/>
              </w:rPr>
            </m:ctrlPr>
          </m:accPr>
          <m:e>
            <m:r>
              <w:rPr>
                <w:rFonts w:ascii="Cambria Math" w:hAnsi="Cambria Math"/>
              </w:rPr>
              <m:t>θ</m:t>
            </m:r>
          </m:e>
        </m:acc>
      </m:oMath>
      <w:r w:rsidRPr="00D452A9">
        <w:t xml:space="preserve"> </w:t>
      </w:r>
      <w:r w:rsidR="00F617D3" w:rsidRPr="00D452A9">
        <w:t>can be estimated using the empirical</w:t>
      </w:r>
      <w:r w:rsidRPr="00D452A9">
        <w:t xml:space="preserve"> sandwich variance estimator </w:t>
      </w:r>
      <w:r w:rsidRPr="00D452A9">
        <w:fldChar w:fldCharType="begin"/>
      </w:r>
      <w:r w:rsidR="000C5025" w:rsidRPr="00D452A9">
        <w:instrText xml:space="preserve"> ADDIN ZOTERO_ITEM CSL_CITATION {"citationID":"T7H4pe3r","properties":{"formattedCitation":"(27,28)","plainCitation":"(27,28)","noteIndex":0},"citationItems":[{"id":2151,"uris":["http://zotero.org/users/4426001/items/R6JAI9J5"],"itemData":{"id":2151,"type":"article-journal","container-title":"The American Statistician","DOI":"10.1198/000313002753631330","ISSN":"0003-1305, 1537-2731","issue":"1","journalAbbreviation":"The American Statistician","language":"en","page":"29-38","source":"DOI.org (Crossref)","title":"The Calculus of M-Estimation","volume":"56","author":[{"family":"Stefanski","given":"Leonard A"},{"family":"Boos","given":"Dennis D"}],"issued":{"date-parts":[["2002",2]]},"citation-key":"stefanskiCalculusMEstimation2002"}},{"id":2154,"uris":["http://zotero.org/users/4426001/items/UT3AVICL"],"itemData":{"id":2154,"type":"article-journal","abstract":"“Fusion” study designs combine data from different sources to answer questions that could not be answered (as well) by subsets of the data. Studies that augment main study data with validation data, as in measurement-error correction studies or generalizability studies, are examples of fusion designs. Fusion estimators, here solutions to standard stacked estimating functions, produce consistent answers to identified research questions using data from fusion designs. We describe a pair of examples of fusion designs and estimators, one where we generalize a proportion to a target population, and one where we correct measurement error in a proportion. For each case, we present an example motivated by HIV research and summarize results from simulation studies. Simulations demonstrate that the fusion estimators provide approximately unbiased results with nominal 95% confidence interval coverage. Fusion estimators can be used to appropriately combine data in answering important questions that benefit from multiple sources of information.","container-title":"American Journal of Epidemiology","DOI":"10.1093/aje/kwac067","ISSN":"0002-9262","note":"_eprint: https://academic.oup.com/aje/advance-article-pdf/doi/10.1093/aje/kwac067/43290986/kwac067.pdf","title":"Illustration of Two Fusion Designs and Estimators","URL":"https://doi.org/10.1093/aje/kwac067","author":[{"family":"Cole","given":"Stephen R"},{"family":"Edwards","given":"Jessie K"},{"family":"Breskin","given":"Alexander"},{"family":"Rosin","given":"Samuel"},{"family":"Zivich","given":"Paul N"},{"family":"Shook-Sa","given":"Bonnie E"},{"family":"Hudgens","given":"Michael G"}],"issued":{"date-parts":[["2022",4]]},"citation-key":"coleIllustrationTwoFusion2022"}}],"schema":"https://github.com/citation-style-language/schema/raw/master/csl-citation.json"} </w:instrText>
      </w:r>
      <w:r w:rsidRPr="00D452A9">
        <w:fldChar w:fldCharType="separate"/>
      </w:r>
      <w:r w:rsidR="000C5025" w:rsidRPr="00D452A9">
        <w:rPr>
          <w:noProof/>
        </w:rPr>
        <w:t>(27,28)</w:t>
      </w:r>
      <w:r w:rsidRPr="00D452A9">
        <w:fldChar w:fldCharType="end"/>
      </w:r>
      <w:r w:rsidRPr="00D452A9">
        <w:t xml:space="preserve">. The </w:t>
      </w:r>
      <w:hyperlink w:anchor="supmat">
        <w:r w:rsidRPr="00D452A9">
          <w:rPr>
            <w:rStyle w:val="Hyperlink"/>
          </w:rPr>
          <w:t>Supplemental Materials</w:t>
        </w:r>
      </w:hyperlink>
      <w:r w:rsidRPr="00D452A9">
        <w:t xml:space="preserve"> provide additional technical details.</w:t>
      </w:r>
    </w:p>
    <w:p w14:paraId="4DE0E0F1" w14:textId="50184EA4" w:rsidR="008D7401" w:rsidRPr="00D452A9" w:rsidRDefault="008D7401">
      <w:pPr>
        <w:rPr>
          <w:rFonts w:cstheme="majorHAnsi"/>
        </w:rPr>
      </w:pPr>
    </w:p>
    <w:p w14:paraId="2D6C3B22" w14:textId="35D7B914" w:rsidR="00D07662" w:rsidRPr="00D452A9" w:rsidRDefault="00D07662" w:rsidP="00D07662">
      <w:pPr>
        <w:pStyle w:val="Heading1"/>
        <w:rPr>
          <w:rFonts w:cstheme="majorHAnsi"/>
        </w:rPr>
      </w:pPr>
      <w:bookmarkStart w:id="41" w:name="discussion"/>
      <w:bookmarkEnd w:id="17"/>
      <w:bookmarkEnd w:id="34"/>
      <w:r w:rsidRPr="00D452A9">
        <w:rPr>
          <w:rFonts w:cstheme="majorHAnsi"/>
        </w:rPr>
        <w:t>Results</w:t>
      </w:r>
    </w:p>
    <w:p w14:paraId="4E10ABF1" w14:textId="35821B57" w:rsidR="00734658" w:rsidRPr="00D452A9" w:rsidRDefault="004D546B" w:rsidP="004918CC">
      <w:pPr>
        <w:pStyle w:val="BodyText"/>
        <w:ind w:firstLine="0"/>
        <w:rPr>
          <w:rFonts w:eastAsiaTheme="minorEastAsia"/>
        </w:rPr>
      </w:pPr>
      <w:r w:rsidRPr="00D452A9">
        <w:t xml:space="preserve">The observed 10-year risk of AIDS or death in the WIHS cohort was </w:t>
      </w:r>
      <w:r w:rsidR="009F7207" w:rsidRPr="00D452A9">
        <w:t>0.31</w:t>
      </w:r>
      <w:r w:rsidRPr="00D452A9">
        <w:t>.</w:t>
      </w:r>
      <w:r w:rsidR="009F7207" w:rsidRPr="00D452A9">
        <w:t xml:space="preserve"> </w:t>
      </w:r>
      <w:commentRangeStart w:id="42"/>
      <w:r w:rsidR="00AA5565" w:rsidRPr="00D452A9">
        <w:t xml:space="preserve">The </w:t>
      </w:r>
      <w:commentRangeEnd w:id="42"/>
      <w:r w:rsidR="00AA5565" w:rsidRPr="00D452A9">
        <w:rPr>
          <w:rStyle w:val="CommentReference"/>
        </w:rPr>
        <w:commentReference w:id="42"/>
      </w:r>
      <w:r w:rsidR="004918CC" w:rsidRPr="00D452A9">
        <w:t xml:space="preserve">10-year risk of AIDS or death in the target population </w:t>
      </w:r>
      <m:oMath>
        <m:r>
          <w:rPr>
            <w:rFonts w:ascii="Cambria Math" w:hAnsi="Cambria Math"/>
          </w:rPr>
          <m:t>S=1</m:t>
        </m:r>
      </m:oMath>
      <w:r w:rsidR="004918CC" w:rsidRPr="00D452A9">
        <w:rPr>
          <w:rFonts w:eastAsiaTheme="minorEastAsia"/>
        </w:rPr>
        <w:t xml:space="preserve"> was 0.22 (95% CI: 0.1</w:t>
      </w:r>
      <w:r w:rsidR="00404CF0" w:rsidRPr="00D452A9">
        <w:rPr>
          <w:rFonts w:eastAsiaTheme="minorEastAsia"/>
        </w:rPr>
        <w:t>7</w:t>
      </w:r>
      <w:r w:rsidR="004918CC" w:rsidRPr="00D452A9">
        <w:rPr>
          <w:rFonts w:eastAsiaTheme="minorEastAsia"/>
        </w:rPr>
        <w:t>, 0.26). The estimated 10-year risk of AIDS or death in the target population had nobody have a history of IDU was 0.1</w:t>
      </w:r>
      <w:r w:rsidR="00404CF0" w:rsidRPr="00D452A9">
        <w:rPr>
          <w:rFonts w:eastAsiaTheme="minorEastAsia"/>
        </w:rPr>
        <w:t>7</w:t>
      </w:r>
      <w:r w:rsidR="004918CC" w:rsidRPr="00D452A9">
        <w:rPr>
          <w:rFonts w:eastAsiaTheme="minorEastAsia"/>
        </w:rPr>
        <w:t xml:space="preserve"> (95% CI: 0.1</w:t>
      </w:r>
      <w:r w:rsidR="00404CF0" w:rsidRPr="00D452A9">
        <w:rPr>
          <w:rFonts w:eastAsiaTheme="minorEastAsia"/>
        </w:rPr>
        <w:t>2</w:t>
      </w:r>
      <w:r w:rsidR="004918CC" w:rsidRPr="00D452A9">
        <w:rPr>
          <w:rFonts w:eastAsiaTheme="minorEastAsia"/>
        </w:rPr>
        <w:t xml:space="preserve">, 0.23). </w:t>
      </w:r>
      <w:r w:rsidR="00EA0F22" w:rsidRPr="00D452A9">
        <w:rPr>
          <w:rFonts w:eastAsiaTheme="minorEastAsia"/>
        </w:rPr>
        <w:t>Therefore, the population attributable fraction was 0.1</w:t>
      </w:r>
      <w:r w:rsidR="00141037" w:rsidRPr="00D452A9">
        <w:rPr>
          <w:rFonts w:eastAsiaTheme="minorEastAsia"/>
        </w:rPr>
        <w:t>9 (</w:t>
      </w:r>
      <w:r w:rsidR="00141037" w:rsidRPr="00D452A9">
        <w:rPr>
          <w:rFonts w:eastAsiaTheme="minorEastAsia"/>
        </w:rPr>
        <w:fldChar w:fldCharType="begin"/>
      </w:r>
      <w:r w:rsidR="00141037" w:rsidRPr="00D452A9">
        <w:rPr>
          <w:rFonts w:eastAsiaTheme="minorEastAsia"/>
        </w:rPr>
        <w:instrText xml:space="preserve"> REF _Ref135925496 \h </w:instrText>
      </w:r>
      <w:r w:rsidR="00D452A9">
        <w:rPr>
          <w:rFonts w:eastAsiaTheme="minorEastAsia"/>
        </w:rPr>
        <w:instrText xml:space="preserve"> \* MERGEFORMAT </w:instrText>
      </w:r>
      <w:r w:rsidR="00141037" w:rsidRPr="00D452A9">
        <w:rPr>
          <w:rFonts w:eastAsiaTheme="minorEastAsia"/>
        </w:rPr>
      </w:r>
      <w:r w:rsidR="00141037" w:rsidRPr="00D452A9">
        <w:rPr>
          <w:rFonts w:eastAsiaTheme="minorEastAsia"/>
        </w:rPr>
        <w:fldChar w:fldCharType="separate"/>
      </w:r>
      <w:r w:rsidR="00141037" w:rsidRPr="00D452A9">
        <w:t xml:space="preserve">Table </w:t>
      </w:r>
      <w:r w:rsidR="00141037" w:rsidRPr="00D452A9">
        <w:rPr>
          <w:noProof/>
        </w:rPr>
        <w:t>3</w:t>
      </w:r>
      <w:r w:rsidR="00141037" w:rsidRPr="00D452A9">
        <w:rPr>
          <w:rFonts w:eastAsiaTheme="minorEastAsia"/>
        </w:rPr>
        <w:fldChar w:fldCharType="end"/>
      </w:r>
      <w:r w:rsidR="00141037" w:rsidRPr="00D452A9">
        <w:rPr>
          <w:rFonts w:eastAsiaTheme="minorEastAsia"/>
        </w:rPr>
        <w:t>)</w:t>
      </w:r>
      <w:r w:rsidR="00EA0F22" w:rsidRPr="00D452A9">
        <w:rPr>
          <w:rFonts w:eastAsiaTheme="minorEastAsia"/>
        </w:rPr>
        <w:t xml:space="preserve">. </w:t>
      </w:r>
      <w:r w:rsidR="005B7D5D" w:rsidRPr="00D452A9">
        <w:rPr>
          <w:rFonts w:eastAsiaTheme="minorEastAsia"/>
        </w:rPr>
        <w:t xml:space="preserve">The standard errors for </w:t>
      </w:r>
      <w:r w:rsidR="006809ED" w:rsidRPr="00D452A9">
        <w:rPr>
          <w:rFonts w:eastAsiaTheme="minorEastAsia"/>
        </w:rPr>
        <w:t xml:space="preserve">Wald-type </w:t>
      </w:r>
      <w:r w:rsidR="005B7D5D" w:rsidRPr="00D452A9">
        <w:rPr>
          <w:rFonts w:eastAsiaTheme="minorEastAsia"/>
        </w:rPr>
        <w:t xml:space="preserve">bootstrap and M-estimation are </w:t>
      </w:r>
      <w:r w:rsidR="00AA5565" w:rsidRPr="00D452A9">
        <w:rPr>
          <w:rFonts w:eastAsiaTheme="minorEastAsia"/>
        </w:rPr>
        <w:t>0.0</w:t>
      </w:r>
      <w:r w:rsidR="0030059C" w:rsidRPr="00D452A9">
        <w:rPr>
          <w:rFonts w:eastAsiaTheme="minorEastAsia"/>
        </w:rPr>
        <w:t>81</w:t>
      </w:r>
      <w:r w:rsidR="00591E36" w:rsidRPr="00D452A9">
        <w:rPr>
          <w:rFonts w:eastAsiaTheme="minorEastAsia"/>
        </w:rPr>
        <w:t xml:space="preserve"> </w:t>
      </w:r>
      <w:r w:rsidR="00AA5565" w:rsidRPr="00D452A9">
        <w:rPr>
          <w:rFonts w:eastAsiaTheme="minorEastAsia"/>
        </w:rPr>
        <w:t>and 0.</w:t>
      </w:r>
      <w:r w:rsidR="00835BE7" w:rsidRPr="00D452A9">
        <w:rPr>
          <w:rFonts w:eastAsiaTheme="minorEastAsia"/>
        </w:rPr>
        <w:t>0</w:t>
      </w:r>
      <w:r w:rsidR="00BA3DAF" w:rsidRPr="00D452A9">
        <w:rPr>
          <w:rFonts w:eastAsiaTheme="minorEastAsia"/>
        </w:rPr>
        <w:t>76</w:t>
      </w:r>
      <w:r w:rsidR="00AA5565" w:rsidRPr="00D452A9">
        <w:rPr>
          <w:rFonts w:eastAsiaTheme="minorEastAsia"/>
        </w:rPr>
        <w:t xml:space="preserve"> </w:t>
      </w:r>
      <w:commentRangeStart w:id="43"/>
      <w:commentRangeStart w:id="44"/>
      <w:r w:rsidR="00AA5565" w:rsidRPr="00D452A9">
        <w:rPr>
          <w:rFonts w:eastAsiaTheme="minorEastAsia"/>
        </w:rPr>
        <w:t>respectively</w:t>
      </w:r>
      <w:commentRangeEnd w:id="43"/>
      <w:r w:rsidR="005B48BD" w:rsidRPr="00D452A9">
        <w:rPr>
          <w:rStyle w:val="CommentReference"/>
        </w:rPr>
        <w:commentReference w:id="43"/>
      </w:r>
      <w:commentRangeEnd w:id="44"/>
      <w:r w:rsidR="00734658" w:rsidRPr="00D452A9">
        <w:rPr>
          <w:rStyle w:val="CommentReference"/>
        </w:rPr>
        <w:commentReference w:id="44"/>
      </w:r>
      <w:r w:rsidR="00AA5565" w:rsidRPr="00D452A9">
        <w:rPr>
          <w:rFonts w:eastAsiaTheme="minorEastAsia"/>
        </w:rPr>
        <w:t xml:space="preserve">. </w:t>
      </w:r>
      <w:r w:rsidR="00734658" w:rsidRPr="00D452A9">
        <w:rPr>
          <w:rFonts w:eastAsiaTheme="minorEastAsia"/>
        </w:rPr>
        <w:t xml:space="preserve"> </w:t>
      </w:r>
    </w:p>
    <w:p w14:paraId="4DA346C3" w14:textId="0BDE9297" w:rsidR="004965AC" w:rsidRPr="00D452A9" w:rsidRDefault="004965AC" w:rsidP="004965AC">
      <w:pPr>
        <w:pStyle w:val="BodyText"/>
        <w:rPr>
          <w:rFonts w:eastAsiaTheme="minorEastAsia"/>
        </w:rPr>
      </w:pPr>
      <w:r w:rsidRPr="00D452A9">
        <w:rPr>
          <w:rFonts w:eastAsiaTheme="minorEastAsia"/>
        </w:rPr>
        <w:t xml:space="preserve">As the target population size decreases, the M-estimation standard error estimates increase. Similarly, the bootstrap confidence interval estimates for </w:t>
      </w:r>
      <m:oMath>
        <m:r>
          <w:rPr>
            <w:rFonts w:ascii="Cambria Math" w:eastAsiaTheme="minorEastAsia" w:hAnsi="Cambria Math"/>
          </w:rPr>
          <m:t>B=1000</m:t>
        </m:r>
      </m:oMath>
      <w:r w:rsidRPr="00D452A9">
        <w:rPr>
          <w:rFonts w:eastAsiaTheme="minorEastAsia"/>
        </w:rPr>
        <w:t xml:space="preserve"> iterations grows wider as the target population size decreases.</w:t>
      </w:r>
    </w:p>
    <w:p w14:paraId="3D223BE5" w14:textId="6F59E527" w:rsidR="001602F5" w:rsidRPr="00D452A9" w:rsidRDefault="00D259C2" w:rsidP="00C76D74">
      <w:pPr>
        <w:pStyle w:val="BodyText"/>
        <w:ind w:firstLine="0"/>
        <w:rPr>
          <w:rFonts w:eastAsiaTheme="minorEastAsia"/>
        </w:rPr>
      </w:pPr>
      <w:r w:rsidRPr="00D452A9">
        <w:rPr>
          <w:rFonts w:eastAsiaTheme="minorEastAsia"/>
        </w:rPr>
        <w:tab/>
        <w:t xml:space="preserve">If the data were not transported across populations, </w:t>
      </w:r>
      <w:r w:rsidR="004D6F1E" w:rsidRPr="00D452A9">
        <w:rPr>
          <w:rFonts w:eastAsiaTheme="minorEastAsia"/>
        </w:rPr>
        <w:t>the estimated 10-year risk of AIDS or death had nobody had a history of IDU was 0.24 (95% CI: 0.21, 0.28). Therefore, the population attributable fraction that ignores transportability is 0.21 (bootstrap 95% CI: 0.1</w:t>
      </w:r>
      <w:r w:rsidR="0030059C" w:rsidRPr="00D452A9">
        <w:rPr>
          <w:rFonts w:eastAsiaTheme="minorEastAsia"/>
        </w:rPr>
        <w:t>4</w:t>
      </w:r>
      <w:r w:rsidR="004D6F1E" w:rsidRPr="00D452A9">
        <w:rPr>
          <w:rFonts w:eastAsiaTheme="minorEastAsia"/>
        </w:rPr>
        <w:t xml:space="preserve">, </w:t>
      </w:r>
      <w:r w:rsidR="004D6F1E" w:rsidRPr="00D452A9">
        <w:rPr>
          <w:rFonts w:eastAsiaTheme="minorEastAsia"/>
        </w:rPr>
        <w:lastRenderedPageBreak/>
        <w:t>0.2</w:t>
      </w:r>
      <w:r w:rsidR="0030059C" w:rsidRPr="00D452A9">
        <w:rPr>
          <w:rFonts w:eastAsiaTheme="minorEastAsia"/>
        </w:rPr>
        <w:t>8</w:t>
      </w:r>
      <w:r w:rsidR="004D6F1E" w:rsidRPr="00D452A9">
        <w:rPr>
          <w:rFonts w:eastAsiaTheme="minorEastAsia"/>
        </w:rPr>
        <w:t xml:space="preserve">). </w:t>
      </w:r>
      <w:r w:rsidR="00B4643E" w:rsidRPr="00D452A9">
        <w:rPr>
          <w:rFonts w:eastAsiaTheme="minorEastAsia"/>
        </w:rPr>
        <w:t xml:space="preserve">The standard error which correctly accounts for the uncertainty from transporting across populations is double the standard error which ignores transportability. </w:t>
      </w:r>
    </w:p>
    <w:p w14:paraId="620E45AD" w14:textId="77777777" w:rsidR="00C76D74" w:rsidRPr="00D452A9" w:rsidRDefault="00C76D74" w:rsidP="00C76D74">
      <w:pPr>
        <w:pStyle w:val="BodyText"/>
        <w:ind w:firstLine="0"/>
        <w:rPr>
          <w:rFonts w:eastAsiaTheme="minorEastAsia"/>
        </w:rPr>
      </w:pPr>
    </w:p>
    <w:p w14:paraId="5753A483" w14:textId="35BA0A19" w:rsidR="008D7401" w:rsidRPr="00D452A9" w:rsidRDefault="00000000">
      <w:pPr>
        <w:pStyle w:val="Heading1"/>
        <w:rPr>
          <w:rFonts w:cstheme="majorHAnsi"/>
        </w:rPr>
      </w:pPr>
      <w:r w:rsidRPr="00D452A9">
        <w:rPr>
          <w:rFonts w:cstheme="majorHAnsi"/>
        </w:rPr>
        <w:t>Discussion</w:t>
      </w:r>
    </w:p>
    <w:p w14:paraId="7929D596" w14:textId="0EE88C0C" w:rsidR="00C76D74" w:rsidRPr="00D452A9" w:rsidRDefault="005960B7" w:rsidP="004D546B">
      <w:pPr>
        <w:pStyle w:val="BodyText"/>
        <w:ind w:firstLine="0"/>
      </w:pPr>
      <w:r w:rsidRPr="00D452A9">
        <w:t xml:space="preserve">Under the hypothetical intervention of removing women’s prior injection drug use, we would expect to see a caseload reduction of </w:t>
      </w:r>
      <w:r w:rsidR="006809ED" w:rsidRPr="00D452A9">
        <w:t>0.1</w:t>
      </w:r>
      <w:r w:rsidR="00B1121E" w:rsidRPr="00D452A9">
        <w:t>9</w:t>
      </w:r>
      <w:r w:rsidR="00BA2080" w:rsidRPr="00D452A9">
        <w:t xml:space="preserve">. </w:t>
      </w:r>
      <w:r w:rsidR="00C76D74" w:rsidRPr="00D452A9">
        <w:t xml:space="preserve">With decreasing target population sizes, the uncertainty </w:t>
      </w:r>
      <w:r w:rsidR="000B75F7" w:rsidRPr="00D452A9">
        <w:t xml:space="preserve">from </w:t>
      </w:r>
      <w:r w:rsidR="00C76D74" w:rsidRPr="00D452A9">
        <w:t xml:space="preserve">the odds weight </w:t>
      </w:r>
      <w:commentRangeStart w:id="45"/>
      <w:r w:rsidR="00C76D74" w:rsidRPr="00D452A9">
        <w:t>models propagates through the standard error</w:t>
      </w:r>
      <w:commentRangeEnd w:id="45"/>
      <w:r w:rsidR="00C76D74" w:rsidRPr="00D452A9">
        <w:rPr>
          <w:rStyle w:val="CommentReference"/>
        </w:rPr>
        <w:commentReference w:id="45"/>
      </w:r>
      <w:r w:rsidR="00C76D74" w:rsidRPr="00D452A9">
        <w:t>. Ignoring the transportability across target populations underestimates the standard error, even in the case with a complete census of the target population.</w:t>
      </w:r>
      <w:r w:rsidR="003339FE" w:rsidRPr="00D452A9">
        <w:t xml:space="preserve"> </w:t>
      </w:r>
      <w:r w:rsidR="00DD726D" w:rsidRPr="00D452A9">
        <w:t xml:space="preserve">Although no difference between the population attributable fractions under random samples should be seen, </w:t>
      </w:r>
      <w:r w:rsidR="00164FEA" w:rsidRPr="00D452A9">
        <w:t xml:space="preserve">the population attributable fraction can be sensitive to small cell sizes when estimating the outcome under no exposure and the natural course. </w:t>
      </w:r>
    </w:p>
    <w:p w14:paraId="1AAD181A" w14:textId="1166FD29" w:rsidR="003339FE" w:rsidRPr="00D452A9" w:rsidRDefault="003339FE" w:rsidP="004D546B">
      <w:pPr>
        <w:pStyle w:val="BodyText"/>
        <w:ind w:firstLine="0"/>
      </w:pPr>
      <w:r w:rsidRPr="00D452A9">
        <w:tab/>
      </w:r>
      <w:r w:rsidRPr="00D452A9">
        <w:rPr>
          <w:rStyle w:val="cl-7f30a2f2"/>
        </w:rPr>
        <w:t xml:space="preserve">Making identification explicit prevents glossing over assumptions such as random sampling from the target population. The parameter (Equation [1]) and estimator (Equation [2]) are mathematically equivalent to the population attributable fraction used by Levin </w:t>
      </w:r>
      <w:r w:rsidRPr="00D452A9">
        <w:rPr>
          <w:rStyle w:val="cl-7f30a2f2"/>
        </w:rPr>
        <w:fldChar w:fldCharType="begin"/>
      </w:r>
      <w:r w:rsidRPr="00D452A9">
        <w:rPr>
          <w:rStyle w:val="cl-7f30a2f2"/>
        </w:rPr>
        <w:instrText xml:space="preserve"> ADDIN ZOTERO_ITEM CSL_CITATION {"citationID":"Lf7txtZm","properties":{"formattedCitation":"(29)","plainCitation":"(29)","noteIndex":0},"citationItems":[{"id":2139,"uris":["http://zotero.org/users/4426001/items/9MEHX7MC"],"itemData":{"id":2139,"type":"article-journal","container-title":"Acta Unio Int. Contra Cancrum","issue":"3","language":"en","page":"531–541","title":"The occurrence of lung cancer in man","volume":"9","author":[{"family":"Levin","given":"M L"}],"issued":{"date-parts":[["1953"]]},"citation-key":"levinOccurrenceLungCancer1953"}}],"schema":"https://github.com/citation-style-language/schema/raw/master/csl-citation.json"} </w:instrText>
      </w:r>
      <w:r w:rsidRPr="00D452A9">
        <w:rPr>
          <w:rStyle w:val="cl-7f30a2f2"/>
        </w:rPr>
        <w:fldChar w:fldCharType="separate"/>
      </w:r>
      <w:r w:rsidRPr="00D452A9">
        <w:rPr>
          <w:rStyle w:val="cl-7f30a2f2"/>
          <w:noProof/>
        </w:rPr>
        <w:t>(29)</w:t>
      </w:r>
      <w:r w:rsidRPr="00D452A9">
        <w:rPr>
          <w:rStyle w:val="cl-7f30a2f2"/>
        </w:rPr>
        <w:fldChar w:fldCharType="end"/>
      </w:r>
      <w:r w:rsidRPr="00D452A9">
        <w:rPr>
          <w:rStyle w:val="cl-7f30a2f2"/>
        </w:rPr>
        <w:t xml:space="preserve"> and Miettinen </w:t>
      </w:r>
      <w:r w:rsidRPr="00D452A9">
        <w:rPr>
          <w:rStyle w:val="cl-7f30a2f2"/>
        </w:rPr>
        <w:fldChar w:fldCharType="begin"/>
      </w:r>
      <w:r w:rsidRPr="00D452A9">
        <w:rPr>
          <w:rStyle w:val="cl-7f30a2f2"/>
        </w:rPr>
        <w:instrText xml:space="preserve"> ADDIN ZOTERO_ITEM CSL_CITATION {"citationID":"q0LICLcl","properties":{"formattedCitation":"(30)","plainCitation":"(30)","noteIndex":0},"citationItems":[{"id":2138,"uris":["http://zotero.org/users/4426001/items/SF6WCUZF"],"itemData":{"id":2138,"type":"article-journal","container-title":"American Journal of Epidemiology","DOI":"10.1093/oxfordjournals.aje.a121617","ISSN":"1476-6256, 0002-9262","issue":"5","language":"en","note":"DOI: 10.1093/oxfordjournals.aje.a121617\nPMID: 4825599","page":"325-332","source":"DOI.org (Crossref)","title":"PROPORTION OF DISEASE CAUSED OR PREVENTED BY A GIVEN EXPOSURE, TRAIT OR INTERVENTION1","volume":"99","author":[{"family":"Miettinen","given":"Olli S."}],"issued":{"date-parts":[["1974",5]]},"citation-key":"miettinenPROPORTIONDISEASECAUSED1974"}}],"schema":"https://github.com/citation-style-language/schema/raw/master/csl-citation.json"} </w:instrText>
      </w:r>
      <w:r w:rsidRPr="00D452A9">
        <w:rPr>
          <w:rStyle w:val="cl-7f30a2f2"/>
        </w:rPr>
        <w:fldChar w:fldCharType="separate"/>
      </w:r>
      <w:r w:rsidRPr="00D452A9">
        <w:rPr>
          <w:rStyle w:val="cl-7f30a2f2"/>
          <w:noProof/>
        </w:rPr>
        <w:t>(30)</w:t>
      </w:r>
      <w:r w:rsidRPr="00D452A9">
        <w:rPr>
          <w:rStyle w:val="cl-7f30a2f2"/>
        </w:rPr>
        <w:fldChar w:fldCharType="end"/>
      </w:r>
      <w:r w:rsidRPr="00D452A9">
        <w:rPr>
          <w:rStyle w:val="cl-7f30a2f2"/>
        </w:rPr>
        <w:t xml:space="preserve">, except expressed using potential outcomes </w:t>
      </w:r>
      <w:r w:rsidRPr="00D452A9">
        <w:rPr>
          <w:rStyle w:val="cl-7f30a2f2"/>
        </w:rPr>
        <w:fldChar w:fldCharType="begin"/>
      </w:r>
      <w:r w:rsidRPr="00D452A9">
        <w:rPr>
          <w:rStyle w:val="cl-7f30a2f2"/>
        </w:rPr>
        <w:instrText xml:space="preserve"> ADDIN ZOTERO_ITEM CSL_CITATION {"citationID":"Y9GFaXXk","properties":{"formattedCitation":"(2)","plainCitation":"(2)","noteIndex":0},"citationItems":[{"id":5671,"uris":["http://zotero.org/users/4426001/items/8BAEIQQE"],"itemData":{"id":5671,"type":"article-journal","abstract":"The attributable fraction (population) has attracted much attention from a theoretical perspective and has been used extensively to assess the impact of potential health interventions. However, despite its extensive use, there is much confusion about its concept and calculation methods. In this article, we discuss the concepts of and calculation methods for the attributable fraction and related measures in the counterfactual framework, both with and without stratification by covariates. Generally, the attributable fraction is useful when the exposure of interest has a causal effect on the outcome. However, it is important to understand that this statement applies to the exposed group. Although the target population of the attributable fraction (population) is the total population, the causal effect should be present not in the total population but in the exposed group. As related measures, we discuss the preventable fraction and prevented fraction, which are generally useful when the exposure of interest has a preventive effect on the outcome, and we further propose a new measure called the attributed fraction. We also discuss the causal and preventive excess fractions, and provide notes on vaccine efficacy. Finally, we discuss the relations between the aforementioned six measures and six possible patterns using a conceptual schema.","container-title":"Journal of Causal Inference","DOI":"10.1515/jci-2021-0068","ISSN":"2193-3685","issue":"1","language":"en","note":"publisher: De Gruyter","source":"www-degruyter-com.libproxy.lib.unc.edu","title":"Attributable fraction and related measures: Conceptual relations in the counterfactual framework","title-short":"Attributable fraction and related measures","URL":"https://www.degruyter.com/document/doi/10.1515/jci-2021-0068/html","volume":"11","author":[{"family":"Suzuki","given":"Etsuji"},{"family":"Yamamoto","given":"Eiji"}],"accessed":{"date-parts":[["2023",4,10]]},"issued":{"date-parts":[["2023",1,1]]},"citation-key":"suzukiAttributableFractionRelated2023"}}],"schema":"https://github.com/citation-style-language/schema/raw/master/csl-citation.json"} </w:instrText>
      </w:r>
      <w:r w:rsidRPr="00D452A9">
        <w:rPr>
          <w:rStyle w:val="cl-7f30a2f2"/>
        </w:rPr>
        <w:fldChar w:fldCharType="separate"/>
      </w:r>
      <w:r w:rsidRPr="00D452A9">
        <w:rPr>
          <w:rStyle w:val="cl-7f30a2f2"/>
          <w:noProof/>
        </w:rPr>
        <w:t>(2)</w:t>
      </w:r>
      <w:r w:rsidRPr="00D452A9">
        <w:rPr>
          <w:rStyle w:val="cl-7f30a2f2"/>
        </w:rPr>
        <w:fldChar w:fldCharType="end"/>
      </w:r>
      <w:r w:rsidRPr="00D452A9">
        <w:rPr>
          <w:rStyle w:val="cl-7f30a2f2"/>
        </w:rPr>
        <w:t xml:space="preserve">. Presenting simple mathematical expressions without consideration of study and target populations means researchers are likely plugging in estimates without regard for possible differences across populations </w:t>
      </w:r>
      <w:r w:rsidRPr="00D452A9">
        <w:rPr>
          <w:rStyle w:val="cl-7f30a2f2"/>
        </w:rPr>
        <w:fldChar w:fldCharType="begin"/>
      </w:r>
      <w:r w:rsidRPr="00D452A9">
        <w:rPr>
          <w:rStyle w:val="cl-7f30a2f2"/>
        </w:rPr>
        <w:instrText xml:space="preserve"> ADDIN ZOTERO_ITEM CSL_CITATION {"citationID":"Ulihtxds","properties":{"formattedCitation":"(2,4,31)","plainCitation":"(2,4,31)","noteIndex":0},"citationItems":[{"id":5671,"uris":["http://zotero.org/users/4426001/items/8BAEIQQE"],"itemData":{"id":5671,"type":"article-journal","abstract":"The attributable fraction (population) has attracted much attention from a theoretical perspective and has been used extensively to assess the impact of potential health interventions. However, despite its extensive use, there is much confusion about its concept and calculation methods. In this article, we discuss the concepts of and calculation methods for the attributable fraction and related measures in the counterfactual framework, both with and without stratification by covariates. Generally, the attributable fraction is useful when the exposure of interest has a causal effect on the outcome. However, it is important to understand that this statement applies to the exposed group. Although the target population of the attributable fraction (population) is the total population, the causal effect should be present not in the total population but in the exposed group. As related measures, we discuss the preventable fraction and prevented fraction, which are generally useful when the exposure of interest has a preventive effect on the outcome, and we further propose a new measure called the attributed fraction. We also discuss the causal and preventive excess fractions, and provide notes on vaccine efficacy. Finally, we discuss the relations between the aforementioned six measures and six possible patterns using a conceptual schema.","container-title":"Journal of Causal Inference","DOI":"10.1515/jci-2021-0068","ISSN":"2193-3685","issue":"1","language":"en","note":"publisher: De Gruyter","source":"www-degruyter-com.libproxy.lib.unc.edu","title":"Attributable fraction and related measures: Conceptual relations in the counterfactual framework","title-short":"Attributable fraction and related measures","URL":"https://www.degruyter.com/document/doi/10.1515/jci-2021-0068/html","volume":"11","author":[{"family":"Suzuki","given":"Etsuji"},{"family":"Yamamoto","given":"Eiji"}],"accessed":{"date-parts":[["2023",4,10]]},"issued":{"date-parts":[["2023",1,1]]},"citation-key":"suzukiAttributableFractionRelated2023"}},{"id":5740,"uris":["http://zotero.org/users/4426001/items/G8Y8B2LL"],"itemData":{"id":5740,"type":"article-journal","abstract":"This paper examines several methods for deriving standardized morbidity ratios (SMR) and attributable fraction (attributable risk percentage) estimates. We show that some of the proposed methods will, in general, produce biased estimators, although the low variance of certain estimators sometimes compensates for their bias. A few methods are based on statistical fallacies and should be avoided, especially the method of deriving the expected number of cases from a regression equation that does not include the exposure under study.","container-title":"Statistics in Medicine","DOI":"10.1002/sim.4780030206","ISSN":"0277-6715","issue":"2","journalAbbreviation":"Stat Med","language":"eng","note":"PMID: 6463450","page":"131-141","source":"PubMed","title":"Bias in methods for deriving standardized morbidity ratio and attributable fraction estimates","volume":"3","author":[{"family":"Greenland","given":"S."}],"issued":{"date-parts":[["1984"]]},"citation-key":"greenlandBiasMethodsDeriving1984"}},{"id":2267,"uris":["http://zotero.org/users/4426001/items/PH6DDZWC"],"itemData":{"id":2267,"type":"article-journal","container-title":"American Journal of Public Health","DOI":"10.2105/AJPH.88.1.15","ISSN":"0090-0036, 1541-0048","issue":"1","journalAbbreviation":"Am J Public Health","language":"en","note":"DOI: 10.2105/ajph.88.1.15\nPMCID: 1508384\nPMID: 9584027","page":"15-19","source":"DOI.org (Crossref)","title":"Use and misuse of population attributable fractions.","volume":"88","author":[{"family":"Rockhill","given":"B"},{"family":"Newman","given":"B"},{"family":"Weinberg","given":"C"}],"issued":{"date-parts":[["1998",1]]},"citation-key":"rockhillUseMisusePopulation1998a"}}],"schema":"https://github.com/citation-style-language/schema/raw/master/csl-citation.json"} </w:instrText>
      </w:r>
      <w:r w:rsidRPr="00D452A9">
        <w:rPr>
          <w:rStyle w:val="cl-7f30a2f2"/>
        </w:rPr>
        <w:fldChar w:fldCharType="separate"/>
      </w:r>
      <w:r w:rsidRPr="00D452A9">
        <w:t>(2,4,31)</w:t>
      </w:r>
      <w:r w:rsidRPr="00D452A9">
        <w:rPr>
          <w:rStyle w:val="cl-7f30a2f2"/>
        </w:rPr>
        <w:fldChar w:fldCharType="end"/>
      </w:r>
      <w:r w:rsidRPr="00D452A9">
        <w:rPr>
          <w:rStyle w:val="cl-7f30a2f2"/>
        </w:rPr>
        <w:t>.</w:t>
      </w:r>
    </w:p>
    <w:p w14:paraId="7B16E3F5" w14:textId="0BF70E28" w:rsidR="001602F5" w:rsidRPr="00D452A9" w:rsidRDefault="00421840" w:rsidP="004D546B">
      <w:pPr>
        <w:pStyle w:val="BodyText"/>
        <w:ind w:firstLine="0"/>
        <w:rPr>
          <w:rStyle w:val="cl-7f30a2f2"/>
        </w:rPr>
      </w:pPr>
      <w:r w:rsidRPr="00D452A9">
        <w:rPr>
          <w:rStyle w:val="cl-7f30a2f2"/>
        </w:rPr>
        <w:tab/>
        <w:t xml:space="preserve"> </w:t>
      </w:r>
      <w:r w:rsidR="00C22718" w:rsidRPr="00D452A9">
        <w:rPr>
          <w:rStyle w:val="cl-7f30a2f2"/>
        </w:rPr>
        <w:t xml:space="preserve">Our </w:t>
      </w:r>
      <w:commentRangeStart w:id="46"/>
      <w:r w:rsidR="006948D4" w:rsidRPr="00D452A9">
        <w:rPr>
          <w:rStyle w:val="cl-7f30a2f2"/>
        </w:rPr>
        <w:t>illustration</w:t>
      </w:r>
      <w:r w:rsidR="00C22718" w:rsidRPr="00D452A9">
        <w:rPr>
          <w:rStyle w:val="cl-7f30a2f2"/>
        </w:rPr>
        <w:t xml:space="preserve"> </w:t>
      </w:r>
      <w:commentRangeEnd w:id="46"/>
      <w:r w:rsidR="006948D4" w:rsidRPr="00D452A9">
        <w:rPr>
          <w:rStyle w:val="CommentReference"/>
        </w:rPr>
        <w:commentReference w:id="46"/>
      </w:r>
      <w:r w:rsidR="00C22718" w:rsidRPr="00D452A9">
        <w:rPr>
          <w:rStyle w:val="cl-7f30a2f2"/>
        </w:rPr>
        <w:t xml:space="preserve">of the population attributable fraction and multiple variance estimators has limitations in its real-world application. </w:t>
      </w:r>
      <w:r w:rsidR="003D25E2" w:rsidRPr="00D452A9">
        <w:rPr>
          <w:rStyle w:val="cl-7f30a2f2"/>
        </w:rPr>
        <w:t>First</w:t>
      </w:r>
      <w:r w:rsidRPr="00D452A9">
        <w:rPr>
          <w:rStyle w:val="cl-7f30a2f2"/>
        </w:rPr>
        <w:t xml:space="preserve">, the causal question of whether </w:t>
      </w:r>
      <w:r w:rsidR="008122FB" w:rsidRPr="00D452A9">
        <w:rPr>
          <w:rStyle w:val="cl-7f30a2f2"/>
        </w:rPr>
        <w:t xml:space="preserve">elimination of </w:t>
      </w:r>
      <w:r w:rsidRPr="00D452A9">
        <w:rPr>
          <w:rStyle w:val="cl-7f30a2f2"/>
        </w:rPr>
        <w:t xml:space="preserve">injection drug use </w:t>
      </w:r>
      <w:r w:rsidR="008122FB" w:rsidRPr="00D452A9">
        <w:rPr>
          <w:rStyle w:val="cl-7f30a2f2"/>
        </w:rPr>
        <w:t>prevents a proportion of</w:t>
      </w:r>
      <w:commentRangeStart w:id="47"/>
      <w:r w:rsidRPr="00D452A9">
        <w:rPr>
          <w:rStyle w:val="cl-7f30a2f2"/>
        </w:rPr>
        <w:t xml:space="preserve"> </w:t>
      </w:r>
      <w:commentRangeEnd w:id="47"/>
      <w:r w:rsidR="00C22718" w:rsidRPr="00D452A9">
        <w:rPr>
          <w:rStyle w:val="CommentReference"/>
        </w:rPr>
        <w:commentReference w:id="47"/>
      </w:r>
      <w:r w:rsidRPr="00D452A9">
        <w:rPr>
          <w:rStyle w:val="cl-7f30a2f2"/>
        </w:rPr>
        <w:t xml:space="preserve">AIDS or death has a fragile foundation. A history of </w:t>
      </w:r>
      <w:r w:rsidRPr="00D452A9">
        <w:rPr>
          <w:rStyle w:val="cl-7f30a2f2"/>
        </w:rPr>
        <w:lastRenderedPageBreak/>
        <w:t>injection drug use is not an incident exposure, so no</w:t>
      </w:r>
      <w:r w:rsidR="008122FB" w:rsidRPr="00D452A9">
        <w:rPr>
          <w:rStyle w:val="cl-7f30a2f2"/>
        </w:rPr>
        <w:t xml:space="preserve"> reasonable</w:t>
      </w:r>
      <w:r w:rsidRPr="00D452A9">
        <w:rPr>
          <w:rStyle w:val="cl-7f30a2f2"/>
        </w:rPr>
        <w:t xml:space="preserve"> intervention exists for </w:t>
      </w:r>
      <w:r w:rsidR="008122FB" w:rsidRPr="00D452A9">
        <w:rPr>
          <w:rStyle w:val="cl-7f30a2f2"/>
        </w:rPr>
        <w:t>this</w:t>
      </w:r>
      <w:r w:rsidRPr="00D452A9">
        <w:rPr>
          <w:rStyle w:val="cl-7f30a2f2"/>
        </w:rPr>
        <w:t xml:space="preserve"> study population. Even if there was an intervention, it may prevent HIV, </w:t>
      </w:r>
      <w:r w:rsidR="003D25E2" w:rsidRPr="00D452A9">
        <w:rPr>
          <w:rStyle w:val="cl-7f30a2f2"/>
        </w:rPr>
        <w:t xml:space="preserve">changing our target population composition. Second, the </w:t>
      </w:r>
      <w:commentRangeStart w:id="48"/>
      <w:commentRangeStart w:id="49"/>
      <w:r w:rsidR="003D25E2" w:rsidRPr="00D452A9">
        <w:rPr>
          <w:rStyle w:val="cl-7f30a2f2"/>
        </w:rPr>
        <w:t xml:space="preserve">case definition for AIDS </w:t>
      </w:r>
      <w:commentRangeEnd w:id="48"/>
      <w:r w:rsidR="005B48BD" w:rsidRPr="00D452A9">
        <w:rPr>
          <w:rStyle w:val="CommentReference"/>
        </w:rPr>
        <w:commentReference w:id="48"/>
      </w:r>
      <w:commentRangeEnd w:id="49"/>
      <w:r w:rsidR="001602F5" w:rsidRPr="00D452A9">
        <w:rPr>
          <w:rStyle w:val="CommentReference"/>
        </w:rPr>
        <w:commentReference w:id="49"/>
      </w:r>
      <w:r w:rsidR="003D25E2" w:rsidRPr="00D452A9">
        <w:rPr>
          <w:rStyle w:val="cl-7f30a2f2"/>
        </w:rPr>
        <w:t>changed between 2006 (the 10</w:t>
      </w:r>
      <w:r w:rsidR="003D25E2" w:rsidRPr="00D452A9">
        <w:rPr>
          <w:rStyle w:val="cl-7f30a2f2"/>
          <w:vertAlign w:val="superscript"/>
        </w:rPr>
        <w:t>th</w:t>
      </w:r>
      <w:r w:rsidR="003D25E2" w:rsidRPr="00D452A9">
        <w:rPr>
          <w:rStyle w:val="cl-7f30a2f2"/>
        </w:rPr>
        <w:t xml:space="preserve"> year of study follow-up) and 202</w:t>
      </w:r>
      <w:r w:rsidR="007435BA" w:rsidRPr="00D452A9">
        <w:rPr>
          <w:rStyle w:val="cl-7f30a2f2"/>
        </w:rPr>
        <w:t>1</w:t>
      </w:r>
      <w:r w:rsidR="003D25E2" w:rsidRPr="00D452A9">
        <w:rPr>
          <w:rStyle w:val="cl-7f30a2f2"/>
        </w:rPr>
        <w:t xml:space="preserve"> (the year target population data was measured), </w:t>
      </w:r>
      <w:commentRangeStart w:id="50"/>
      <w:r w:rsidR="003D25E2" w:rsidRPr="00D452A9">
        <w:rPr>
          <w:rStyle w:val="cl-7f30a2f2"/>
        </w:rPr>
        <w:t xml:space="preserve">leading to possible </w:t>
      </w:r>
      <w:r w:rsidR="006948D4" w:rsidRPr="00D452A9">
        <w:rPr>
          <w:rStyle w:val="cl-7f30a2f2"/>
        </w:rPr>
        <w:t>complications which were ignored here</w:t>
      </w:r>
      <w:r w:rsidR="003D25E2" w:rsidRPr="00D452A9">
        <w:rPr>
          <w:rStyle w:val="cl-7f30a2f2"/>
        </w:rPr>
        <w:t xml:space="preserve">. </w:t>
      </w:r>
      <w:commentRangeEnd w:id="50"/>
      <w:r w:rsidR="001602F5" w:rsidRPr="00D452A9">
        <w:rPr>
          <w:rStyle w:val="CommentReference"/>
        </w:rPr>
        <w:commentReference w:id="50"/>
      </w:r>
      <w:r w:rsidR="003D25E2" w:rsidRPr="00D452A9">
        <w:rPr>
          <w:rStyle w:val="cl-7f30a2f2"/>
        </w:rPr>
        <w:t xml:space="preserve">Third, </w:t>
      </w:r>
      <w:r w:rsidR="006948D4" w:rsidRPr="00D452A9">
        <w:rPr>
          <w:rStyle w:val="cl-7f30a2f2"/>
        </w:rPr>
        <w:t xml:space="preserve">the conditional exchangeability assumption used in the parameter identification step only holds if there is no uncontrolled confounding, which is unlikely. </w:t>
      </w:r>
      <w:r w:rsidR="0053103F" w:rsidRPr="00D452A9">
        <w:rPr>
          <w:rStyle w:val="cl-7f30a2f2"/>
        </w:rPr>
        <w:t xml:space="preserve">Fourth, </w:t>
      </w:r>
      <w:r w:rsidR="006948D4" w:rsidRPr="00D452A9">
        <w:rPr>
          <w:rStyle w:val="cl-7f30a2f2"/>
        </w:rPr>
        <w:t xml:space="preserve">the race variable is a proxy for racism and oversimplifies the underlying racial constructs </w:t>
      </w:r>
      <w:r w:rsidR="006948D4" w:rsidRPr="00D452A9">
        <w:rPr>
          <w:rStyle w:val="cl-7f30a2f2"/>
        </w:rPr>
        <w:fldChar w:fldCharType="begin"/>
      </w:r>
      <w:r w:rsidR="004E2460" w:rsidRPr="00D452A9">
        <w:rPr>
          <w:rStyle w:val="cl-7f30a2f2"/>
        </w:rPr>
        <w:instrText xml:space="preserve"> ADDIN ZOTERO_ITEM CSL_CITATION {"citationID":"YOClawjH","properties":{"formattedCitation":"(32)","plainCitation":"(32)","noteIndex":0},"citationItems":[{"id":5759,"uris":["http://zotero.org/users/4426001/items/ZE75I5VQ"],"itemData":{"id":5759,"type":"article-journal","abstract":"Despite repeated calls by scholars to critically engage with the concepts of race and ethnicity in US epidemiologic research, the incorporation of these social constructs in scholarship may be suboptimal. This study characterizes the conceptualization, operationalization, and utilization of race and ethnicity in US research published in leading journals whose publications shape discourse and norms around race, ethnicity, and health within the field of epidemiology. We systematically reviewed randomly selected articles from prominent epidemiology journals across 5 periods: 1995-1999, 2000-2004, 2005-2009, 2010-2014, and 2015-2018. All original human-subjects research conducted in the United States was eligible for review. Information on definitions, measurement, coding, and use in analysis was extracted. We reviewed 1,050 articles, including 414 (39%) in our analyses. Four studies explicitly defined race and/or ethnicity. Authors rarely made clear delineations between race and ethnicity, often adopting an ethnoracial construct. In the majority of studies across time periods, authors did not state how race and/or ethnicity was measured. Top coding schemes included \"Black, White\" (race), \"Hispanic, non-Hispanic\" (ethnicity), and \"Black, White, Hispanic\" (ethnoracial). Most often, race and ethnicity were deemed \"not of interest\" in analyses (e.g., control variables). Broadly, disciplinary practices have remained largely the same between 1995 and 2018 and are in need of improvement.","container-title":"American Journal of Epidemiology","DOI":"10.1093/aje/kwac146","ISSN":"1476-6256","issue":"3","journalAbbreviation":"Am J Epidemiol","language":"eng","note":"PMID: 35938872\nPMCID: PMC9985111","page":"483-496","source":"PubMed","title":"Conceptualization, Operationalization, and Utilization of Race and Ethnicity in Major Epidemiology Journals, 1995-2018: A Systematic Review","title-short":"Conceptualization, Operationalization, and Utilization of Race and Ethnicity in Major Epidemiology Journals, 1995-2018","volume":"192","author":[{"family":"Martinez","given":"Rae Anne M."},{"family":"Andrabi","given":"Nafeesa"},{"family":"Goodwin","given":"Andrea N."},{"family":"Wilbur","given":"Rachel E."},{"family":"Smith","given":"Natalie R."},{"family":"Zivich","given":"Paul N."}],"issued":{"date-parts":[["2023",2,24]]},"citation-key":"martinezConceptualizationOperationalizationUtilization2023"}}],"schema":"https://github.com/citation-style-language/schema/raw/master/csl-citation.json"} </w:instrText>
      </w:r>
      <w:r w:rsidR="006948D4" w:rsidRPr="00D452A9">
        <w:rPr>
          <w:rStyle w:val="cl-7f30a2f2"/>
        </w:rPr>
        <w:fldChar w:fldCharType="separate"/>
      </w:r>
      <w:r w:rsidR="004E2460" w:rsidRPr="00D452A9">
        <w:rPr>
          <w:rStyle w:val="cl-7f30a2f2"/>
          <w:noProof/>
        </w:rPr>
        <w:t>(32)</w:t>
      </w:r>
      <w:r w:rsidR="006948D4" w:rsidRPr="00D452A9">
        <w:rPr>
          <w:rStyle w:val="cl-7f30a2f2"/>
        </w:rPr>
        <w:fldChar w:fldCharType="end"/>
      </w:r>
      <w:r w:rsidR="006948D4" w:rsidRPr="00D452A9">
        <w:rPr>
          <w:rStyle w:val="cl-7f30a2f2"/>
        </w:rPr>
        <w:t xml:space="preserve">. </w:t>
      </w:r>
      <w:r w:rsidR="00C03210" w:rsidRPr="00D452A9">
        <w:rPr>
          <w:rStyle w:val="cl-7f30a2f2"/>
        </w:rPr>
        <w:t xml:space="preserve">Lastly, for ease of exposition, all administrative and right censored individuals were treated as not having the outcome, which means the risk estimates are underestimates. Methods to account for right censoring in the risk calculations can be developed but are beyond the scope of this paper.  </w:t>
      </w:r>
    </w:p>
    <w:p w14:paraId="33EABB74" w14:textId="77777777" w:rsidR="00227BD0" w:rsidRPr="00D452A9" w:rsidRDefault="00227BD0" w:rsidP="00227BD0">
      <w:pPr>
        <w:pStyle w:val="Heading1"/>
        <w:rPr>
          <w:rFonts w:cstheme="majorHAnsi"/>
        </w:rPr>
      </w:pPr>
    </w:p>
    <w:p w14:paraId="3E570BD4" w14:textId="047FBFB8" w:rsidR="00227BD0" w:rsidRPr="00D452A9" w:rsidRDefault="00227BD0" w:rsidP="00227BD0">
      <w:pPr>
        <w:pStyle w:val="Heading1"/>
        <w:rPr>
          <w:rFonts w:cstheme="majorHAnsi"/>
        </w:rPr>
      </w:pPr>
      <w:r w:rsidRPr="00D452A9">
        <w:rPr>
          <w:rFonts w:cstheme="majorHAnsi"/>
        </w:rPr>
        <w:t>Conclusion</w:t>
      </w:r>
    </w:p>
    <w:p w14:paraId="1013CDCF" w14:textId="5B95FFD1" w:rsidR="0048513E" w:rsidRPr="00D452A9" w:rsidRDefault="00227BD0" w:rsidP="00227BD0">
      <w:pPr>
        <w:pStyle w:val="BodyText"/>
        <w:ind w:firstLine="0"/>
      </w:pPr>
      <w:r w:rsidRPr="00D452A9">
        <w:t xml:space="preserve">Reframing the population attributable fraction as an inherently causal measure requires clear identification of causal assumptions. </w:t>
      </w:r>
      <w:r w:rsidRPr="00D452A9">
        <w:rPr>
          <w:rStyle w:val="cl-7f30a2f2"/>
        </w:rPr>
        <w:t xml:space="preserve">The population attributable fraction is also one of the simplest measures requiring data fusion techniques </w:t>
      </w:r>
      <w:r w:rsidRPr="00D452A9">
        <w:rPr>
          <w:rStyle w:val="cl-7f30a2f2"/>
        </w:rPr>
        <w:fldChar w:fldCharType="begin"/>
      </w:r>
      <w:r w:rsidRPr="00D452A9">
        <w:rPr>
          <w:rStyle w:val="cl-7f30a2f2"/>
        </w:rPr>
        <w:instrText xml:space="preserve"> ADDIN ZOTERO_ITEM CSL_CITATION {"citationID":"jy0uEZFB","properties":{"formattedCitation":"(28)","plainCitation":"(28)","noteIndex":0},"citationItems":[{"id":2154,"uris":["http://zotero.org/users/4426001/items/UT3AVICL"],"itemData":{"id":2154,"type":"article-journal","abstract":"“Fusion” study designs combine data from different sources to answer questions that could not be answered (as well) by subsets of the data. Studies that augment main study data with validation data, as in measurement-error correction studies or generalizability studies, are examples of fusion designs. Fusion estimators, here solutions to standard stacked estimating functions, produce consistent answers to identified research questions using data from fusion designs. We describe a pair of examples of fusion designs and estimators, one where we generalize a proportion to a target population, and one where we correct measurement error in a proportion. For each case, we present an example motivated by HIV research and summarize results from simulation studies. Simulations demonstrate that the fusion estimators provide approximately unbiased results with nominal 95% confidence interval coverage. Fusion estimators can be used to appropriately combine data in answering important questions that benefit from multiple sources of information.","container-title":"American Journal of Epidemiology","DOI":"10.1093/aje/kwac067","ISSN":"0002-9262","note":"_eprint: https://academic.oup.com/aje/advance-article-pdf/doi/10.1093/aje/kwac067/43290986/kwac067.pdf","title":"Illustration of Two Fusion Designs and Estimators","URL":"https://doi.org/10.1093/aje/kwac067","author":[{"family":"Cole","given":"Stephen R"},{"family":"Edwards","given":"Jessie K"},{"family":"Breskin","given":"Alexander"},{"family":"Rosin","given":"Samuel"},{"family":"Zivich","given":"Paul N"},{"family":"Shook-Sa","given":"Bonnie E"},{"family":"Hudgens","given":"Michael G"}],"issued":{"date-parts":[["2022",4]]},"citation-key":"coleIllustrationTwoFusion2022"}}],"schema":"https://github.com/citation-style-language/schema/raw/master/csl-citation.json"} </w:instrText>
      </w:r>
      <w:r w:rsidRPr="00D452A9">
        <w:rPr>
          <w:rStyle w:val="cl-7f30a2f2"/>
        </w:rPr>
        <w:fldChar w:fldCharType="separate"/>
      </w:r>
      <w:r w:rsidRPr="00D452A9">
        <w:rPr>
          <w:rStyle w:val="cl-7f30a2f2"/>
          <w:noProof/>
        </w:rPr>
        <w:t>(28)</w:t>
      </w:r>
      <w:r w:rsidRPr="00D452A9">
        <w:rPr>
          <w:rStyle w:val="cl-7f30a2f2"/>
        </w:rPr>
        <w:fldChar w:fldCharType="end"/>
      </w:r>
      <w:r w:rsidRPr="00D452A9">
        <w:rPr>
          <w:rStyle w:val="cl-7f30a2f2"/>
        </w:rPr>
        <w:t xml:space="preserve">. </w:t>
      </w:r>
      <w:r w:rsidRPr="00D452A9">
        <w:t>Because our study population was not a representative sample of the target population, we leveraged M-estimation to accurately propagate uncertainty in</w:t>
      </w:r>
      <w:r w:rsidR="000B75F7" w:rsidRPr="00D452A9">
        <w:t xml:space="preserve"> each parametric model to the final measure</w:t>
      </w:r>
      <w:r w:rsidRPr="00D452A9">
        <w:t xml:space="preserve">. For future directions, the estimation of related parameters and their variance, </w:t>
      </w:r>
      <w:r w:rsidRPr="00D452A9">
        <w:rPr>
          <w:rStyle w:val="cl-7f30a2f2"/>
        </w:rPr>
        <w:t xml:space="preserve">such as the attributed fraction, preventative fraction, and causal excess fraction follow using the techniques described in this paper </w:t>
      </w:r>
      <w:r w:rsidRPr="00D452A9">
        <w:rPr>
          <w:rStyle w:val="cl-7f30a2f2"/>
        </w:rPr>
        <w:fldChar w:fldCharType="begin"/>
      </w:r>
      <w:r w:rsidRPr="00D452A9">
        <w:rPr>
          <w:rStyle w:val="cl-7f30a2f2"/>
        </w:rPr>
        <w:instrText xml:space="preserve"> ADDIN ZOTERO_ITEM CSL_CITATION {"citationID":"frFf99e1","properties":{"formattedCitation":"(2)","plainCitation":"(2)","noteIndex":0},"citationItems":[{"id":5671,"uris":["http://zotero.org/users/4426001/items/8BAEIQQE"],"itemData":{"id":5671,"type":"article-journal","abstract":"The attributable fraction (population) has attracted much attention from a theoretical perspective and has been used extensively to assess the impact of potential health interventions. However, despite its extensive use, there is much confusion about its concept and calculation methods. In this article, we discuss the concepts of and calculation methods for the attributable fraction and related measures in the counterfactual framework, both with and without stratification by covariates. Generally, the attributable fraction is useful when the exposure of interest has a causal effect on the outcome. However, it is important to understand that this statement applies to the exposed group. Although the target population of the attributable fraction (population) is the total population, the causal effect should be present not in the total population but in the exposed group. As related measures, we discuss the preventable fraction and prevented fraction, which are generally useful when the exposure of interest has a preventive effect on the outcome, and we further propose a new measure called the attributed fraction. We also discuss the causal and preventive excess fractions, and provide notes on vaccine efficacy. Finally, we discuss the relations between the aforementioned six measures and six possible patterns using a conceptual schema.","container-title":"Journal of Causal Inference","DOI":"10.1515/jci-2021-0068","ISSN":"2193-3685","issue":"1","language":"en","note":"publisher: De Gruyter","source":"www-degruyter-com.libproxy.lib.unc.edu","title":"Attributable fraction and related measures: Conceptual relations in the counterfactual framework","title-short":"Attributable fraction and related measures","URL":"https://www.degruyter.com/document/doi/10.1515/jci-2021-0068/html","volume":"11","author":[{"family":"Suzuki","given":"Etsuji"},{"family":"Yamamoto","given":"Eiji"}],"accessed":{"date-parts":[["2023",4,10]]},"issued":{"date-parts":[["2023",1,1]]},"citation-key":"suzukiAttributableFractionRelated2023"}}],"schema":"https://github.com/citation-style-language/schema/raw/master/csl-citation.json"} </w:instrText>
      </w:r>
      <w:r w:rsidRPr="00D452A9">
        <w:rPr>
          <w:rStyle w:val="cl-7f30a2f2"/>
        </w:rPr>
        <w:fldChar w:fldCharType="separate"/>
      </w:r>
      <w:r w:rsidRPr="00D452A9">
        <w:rPr>
          <w:rStyle w:val="cl-7f30a2f2"/>
          <w:noProof/>
        </w:rPr>
        <w:t>(2)</w:t>
      </w:r>
      <w:r w:rsidRPr="00D452A9">
        <w:rPr>
          <w:rStyle w:val="cl-7f30a2f2"/>
        </w:rPr>
        <w:fldChar w:fldCharType="end"/>
      </w:r>
      <w:r w:rsidRPr="00D452A9">
        <w:rPr>
          <w:rStyle w:val="cl-7f30a2f2"/>
        </w:rPr>
        <w:t>. Generalizations of the population attributable fraction which account for time-to-</w:t>
      </w:r>
      <w:r w:rsidRPr="00D452A9">
        <w:rPr>
          <w:rStyle w:val="cl-7f30a2f2"/>
        </w:rPr>
        <w:lastRenderedPageBreak/>
        <w:t xml:space="preserve">event, time-dependent exposure, and more complex censoring scenarios are also next steps </w:t>
      </w:r>
      <w:r w:rsidRPr="00D452A9">
        <w:rPr>
          <w:rStyle w:val="cl-7f30a2f2"/>
        </w:rPr>
        <w:fldChar w:fldCharType="begin"/>
      </w:r>
      <w:r w:rsidRPr="00D452A9">
        <w:rPr>
          <w:rStyle w:val="cl-7f30a2f2"/>
        </w:rPr>
        <w:instrText xml:space="preserve"> ADDIN ZOTERO_ITEM CSL_CITATION {"citationID":"Ru8gRiij","properties":{"formattedCitation":"(33\\uc0\\u8211{}35)","plainCitation":"(33–35)","noteIndex":0},"citationItems":[{"id":4143,"uris":["http://zotero.org/users/4426001/items/QFTJXR4Q"],"itemData":{"id":4143,"type":"article-journal","abstract":"Abstract\n               \n                  Background\n                  Even though the population-attributable fraction (PAF) is a well-established metric, it is often incorrectly estimated or interpreted not only in clinical application, but also in statistical research articles. The risk of bias is especially high in more complex time-to-event data settings.\n               \n               \n                  Methods\n                  We explain how the PAF can be defined, identified and estimated in time-to-event settings with competing risks and time-dependent exposures. By using multi-state methodology and inverse probability weighting, we demonstrate how to reduce or completely avoid severe types of biases including competing risks bias, immortal time bias and confounding due to both baseline and time-varying patient characteristics.\n               \n               \n                  Results\n                  The method is exemplarily applied to a real data set. Moreover, we estimate the number of deaths that were attributable to ventilator-associated pneumonia in France in the year 2016. The example demonstrates how, under certain simplifying assumptions, PAF estimates can be extrapolated to a target population of interest.\n               \n               \n                  Conclusions\n                  Defining and estimating the PAF in advanced time-to-event settings within a framework that unifies causal and multi-state modelling enables to tackle common sources of bias and allows straightforward implementation with standard software packages.","container-title":"International Journal of Epidemiology","DOI":"10.1093/ije/dyac217","language":"en","source":"discovery.researcher.life","title":"The population-attributable fraction for time-to-event data","URL":"https://discovery.researcher.life/article/the-population-attributable-fraction-for-time-to-event-data/ad2ac48e3e2a399bb0e4fa488576b6ad","author":[{"family":"Cube","given":"Maja","non-dropping-particle":"von"},{"family":"Schumacher","given":"Martin"},{"family":"Timsit","given":"Jean Francois"},{"family":"Decruyenaere","given":"Johan"},{"family":"Steen","given":"Johan"}],"accessed":{"date-parts":[["2023",1,18]]},"issued":{"date-parts":[["2022",11,22]]},"citation-key":"voncubePopulationattributableFractionTimetoevent2022"}},{"id":4176,"uris":["http://zotero.org/users/4426001/items/XMF78M6K"],"itemData":{"id":4176,"type":"article-journal","abstract":"The population-attributable fraction (PAF) quantifies the public health impact of a harmful exposure. Despite being a measure of significant importance, an estimand accommodating complicated time-to-event data is not clearly defined. We discuss current estimands of the PAF used to quantify the public health impact of an internal time-dependent exposure for data subject to competing outcomes. To overcome some limitations, we proposed a novel estimand that is based on dynamic prediction by landmarking. In a profound simulation study, we discuss interpretation and performance of the various estimands and their estimators. The methods are applied to a large French database to estimate the health impact of ventilator-associated pneumonia for patients in intensive care.","container-title":"Statistics in Medicine","DOI":"10.1002/sim.8208","note":"ARXIV_ID: 1904.08692\nDOI: 10.1002/sim.8208\nMAG ID: 2964281289\nPMID: 31162706\nS2ID: 1253f5ffe1b54d53dc9c430e528618acad1e40d3","title":"the population attributable fraction for time dependent exposures and competing risks a discussion on estimands","author":[{"family":"Cube","given":"Maja","non-dropping-particle":"von"},{"literal":"Martin Schumacher"},{"family":"Bailly","given":"Sébastien"},{"family":"Timsit","given":"Jean-François"},{"family":"Lepape","given":"Alain"},{"family":"Savey","given":"Anne"},{"family":"Machut","given":"Anaïs"},{"family":"Wolkewitz","given":"Martin"}],"issued":{"date-parts":[["2019"]]},"citation-key":"voncubePopulationAttributableFraction2019"}},{"id":4171,"uris":["http://zotero.org/users/4426001/items/4BECASEC"],"itemData":{"id":4171,"type":"article-journal","abstract":"The population-attributable fraction (PAF) is a popular epidemiological measure for the burden of a harmful exposure within a population. It is often interpreted causally as proportion of preventable cases after an elimination of exposure. Originally, the PAF has been defined for cohort studies of fixed length with a baseline exposure or cross-sectional studies. An extension of the definition to complex time-to-event data is not straightforward. We revise the proposed approaches in literature and provide a clear concept of the PAF for these data situations. The conceptualization is achieved by a proper differentiation between estimands and estimators as well as causal effect measures and measures of association.","container-title":"Journal of The Royal Statistical Society Series A-statistics in Society","DOI":"10.1111/rssa.12486","issue":"4","note":"ARXIV_ID: 1903.10315\nDOI: 10.1111/rssa.12486\nMAG ID: 3104334246\nS2ID: dadc094fa3bff1882a92e61b3342bf489c8723b0","page":"1479-1500","title":"Causal inference with multistate models—estimands and estimators of the population attributable fraction","volume":"183","author":[{"family":"Cube","given":"Maja","non-dropping-particle":"von"},{"family":"Schumacher","given":"Martin"},{"family":"Wolkewitz","given":"Martin"}],"issued":{"date-parts":[["2020"]]},"citation-key":"voncubeCausalInferenceMultistate2020"}}],"schema":"https://github.com/citation-style-language/schema/raw/master/csl-citation.json"} </w:instrText>
      </w:r>
      <w:r w:rsidRPr="00D452A9">
        <w:rPr>
          <w:rStyle w:val="cl-7f30a2f2"/>
        </w:rPr>
        <w:fldChar w:fldCharType="separate"/>
      </w:r>
      <w:r w:rsidRPr="00D452A9">
        <w:t>(33–35)</w:t>
      </w:r>
      <w:r w:rsidRPr="00D452A9">
        <w:rPr>
          <w:rStyle w:val="cl-7f30a2f2"/>
        </w:rPr>
        <w:fldChar w:fldCharType="end"/>
      </w:r>
      <w:r w:rsidRPr="00D452A9">
        <w:rPr>
          <w:rStyle w:val="cl-7f30a2f2"/>
        </w:rPr>
        <w:t xml:space="preserve">.  </w:t>
      </w:r>
      <w:bookmarkStart w:id="51" w:name="tables-and-figures"/>
      <w:bookmarkEnd w:id="41"/>
      <w:r w:rsidR="0048513E" w:rsidRPr="00D452A9">
        <w:br w:type="page"/>
      </w:r>
    </w:p>
    <w:p w14:paraId="30BE8BFB" w14:textId="584FFFC3" w:rsidR="008D7401" w:rsidRPr="00D452A9" w:rsidRDefault="00000000">
      <w:pPr>
        <w:pStyle w:val="Heading1"/>
        <w:rPr>
          <w:rFonts w:cstheme="majorHAnsi"/>
        </w:rPr>
      </w:pPr>
      <w:r w:rsidRPr="00D452A9">
        <w:rPr>
          <w:rFonts w:cstheme="majorHAnsi"/>
        </w:rPr>
        <w:lastRenderedPageBreak/>
        <w:t>Tables and Figures</w:t>
      </w:r>
    </w:p>
    <w:p w14:paraId="190CDB93" w14:textId="51E7BE73" w:rsidR="008D7401" w:rsidRPr="00D452A9" w:rsidRDefault="008D7401">
      <w:pPr>
        <w:pStyle w:val="TableCaption"/>
        <w:rPr>
          <w:rFonts w:cstheme="majorHAnsi"/>
        </w:rPr>
      </w:pPr>
    </w:p>
    <w:p w14:paraId="38D54A05" w14:textId="02ED9FF3" w:rsidR="00C96EC0" w:rsidRPr="00D452A9" w:rsidRDefault="00C96EC0" w:rsidP="006E777A">
      <w:pPr>
        <w:pStyle w:val="Caption"/>
        <w:keepNext/>
        <w:rPr>
          <w:rFonts w:cstheme="majorHAnsi"/>
        </w:rPr>
      </w:pPr>
      <w:bookmarkStart w:id="52" w:name="_Ref120863221"/>
      <w:r w:rsidRPr="00D452A9">
        <w:rPr>
          <w:rFonts w:cstheme="majorHAnsi"/>
        </w:rPr>
        <w:t xml:space="preserve">Table </w:t>
      </w:r>
      <w:r w:rsidRPr="00D452A9">
        <w:rPr>
          <w:rFonts w:cstheme="majorHAnsi"/>
        </w:rPr>
        <w:fldChar w:fldCharType="begin"/>
      </w:r>
      <w:r w:rsidRPr="00D452A9">
        <w:rPr>
          <w:rFonts w:cstheme="majorHAnsi"/>
        </w:rPr>
        <w:instrText xml:space="preserve"> SEQ Table \* ARABIC </w:instrText>
      </w:r>
      <w:r w:rsidRPr="00D452A9">
        <w:rPr>
          <w:rFonts w:cstheme="majorHAnsi"/>
        </w:rPr>
        <w:fldChar w:fldCharType="separate"/>
      </w:r>
      <w:r w:rsidR="00A90C96" w:rsidRPr="00D452A9">
        <w:rPr>
          <w:rFonts w:cstheme="majorHAnsi"/>
          <w:noProof/>
        </w:rPr>
        <w:t>1</w:t>
      </w:r>
      <w:r w:rsidRPr="00D452A9">
        <w:rPr>
          <w:rFonts w:cstheme="majorHAnsi"/>
          <w:noProof/>
        </w:rPr>
        <w:fldChar w:fldCharType="end"/>
      </w:r>
      <w:bookmarkEnd w:id="52"/>
      <w:r w:rsidRPr="00D452A9">
        <w:rPr>
          <w:rFonts w:cstheme="majorHAnsi"/>
        </w:rPr>
        <w:t xml:space="preserve">: Characteristics </w:t>
      </w:r>
      <w:commentRangeStart w:id="53"/>
      <w:r w:rsidRPr="00D452A9">
        <w:rPr>
          <w:rFonts w:cstheme="majorHAnsi"/>
        </w:rPr>
        <w:t>of HIV/AIDS Prevalence in US Women</w:t>
      </w:r>
      <w:commentRangeEnd w:id="53"/>
      <w:r w:rsidR="001602F5" w:rsidRPr="00D452A9">
        <w:rPr>
          <w:rStyle w:val="CommentReference"/>
          <w:rFonts w:cstheme="majorHAnsi"/>
          <w:i w:val="0"/>
        </w:rPr>
        <w:commentReference w:id="53"/>
      </w:r>
    </w:p>
    <w:tbl>
      <w:tblPr>
        <w:tblStyle w:val="TableGrid"/>
        <w:tblW w:w="0" w:type="auto"/>
        <w:tblLayout w:type="fixed"/>
        <w:tblLook w:val="04A0" w:firstRow="1" w:lastRow="0" w:firstColumn="1" w:lastColumn="0" w:noHBand="0" w:noVBand="1"/>
      </w:tblPr>
      <w:tblGrid>
        <w:gridCol w:w="1620"/>
        <w:gridCol w:w="1050"/>
        <w:gridCol w:w="1512"/>
        <w:gridCol w:w="1512"/>
        <w:gridCol w:w="1512"/>
        <w:gridCol w:w="1512"/>
      </w:tblGrid>
      <w:tr w:rsidR="006509F1" w:rsidRPr="00D452A9" w14:paraId="33FE887C" w14:textId="77777777" w:rsidTr="001E08D4">
        <w:trPr>
          <w:trHeight w:val="315"/>
        </w:trPr>
        <w:tc>
          <w:tcPr>
            <w:tcW w:w="1620" w:type="dxa"/>
            <w:vMerge w:val="restart"/>
            <w:tcBorders>
              <w:left w:val="nil"/>
              <w:bottom w:val="nil"/>
              <w:right w:val="nil"/>
            </w:tcBorders>
            <w:tcMar>
              <w:top w:w="29" w:type="dxa"/>
              <w:left w:w="115" w:type="dxa"/>
              <w:bottom w:w="29" w:type="dxa"/>
              <w:right w:w="115" w:type="dxa"/>
            </w:tcMar>
            <w:vAlign w:val="bottom"/>
          </w:tcPr>
          <w:p w14:paraId="22DB4E25" w14:textId="643BC93A" w:rsidR="002A2753" w:rsidRPr="00D452A9" w:rsidRDefault="007435BA" w:rsidP="007435BA">
            <w:pPr>
              <w:jc w:val="center"/>
              <w:rPr>
                <w:rStyle w:val="cl-7f30a2f2"/>
                <w:rFonts w:cstheme="majorHAnsi"/>
                <w:color w:val="000000"/>
              </w:rPr>
            </w:pPr>
            <w:r w:rsidRPr="00D452A9">
              <w:rPr>
                <w:rStyle w:val="cl-7f30a2f2"/>
                <w:rFonts w:cstheme="majorHAnsi"/>
                <w:color w:val="000000"/>
              </w:rPr>
              <w:t>Variable</w:t>
            </w:r>
          </w:p>
        </w:tc>
        <w:tc>
          <w:tcPr>
            <w:tcW w:w="1050" w:type="dxa"/>
            <w:vMerge w:val="restart"/>
            <w:tcBorders>
              <w:left w:val="nil"/>
              <w:bottom w:val="nil"/>
              <w:right w:val="nil"/>
            </w:tcBorders>
            <w:tcMar>
              <w:top w:w="29" w:type="dxa"/>
              <w:left w:w="115" w:type="dxa"/>
              <w:bottom w:w="29" w:type="dxa"/>
              <w:right w:w="115" w:type="dxa"/>
            </w:tcMar>
            <w:vAlign w:val="bottom"/>
          </w:tcPr>
          <w:p w14:paraId="5251AF5E" w14:textId="00A355D5" w:rsidR="002A2753" w:rsidRPr="00D452A9" w:rsidRDefault="002A2753" w:rsidP="007435BA">
            <w:pPr>
              <w:jc w:val="center"/>
              <w:rPr>
                <w:rStyle w:val="cl-7f30a2f2"/>
                <w:rFonts w:cstheme="majorHAnsi"/>
                <w:color w:val="000000"/>
              </w:rPr>
            </w:pPr>
            <w:r w:rsidRPr="00D452A9">
              <w:rPr>
                <w:rStyle w:val="cl-7f30a2f2"/>
                <w:rFonts w:cstheme="majorHAnsi"/>
                <w:color w:val="000000"/>
              </w:rPr>
              <w:t>WIHS Study</w:t>
            </w:r>
          </w:p>
        </w:tc>
        <w:tc>
          <w:tcPr>
            <w:tcW w:w="6048" w:type="dxa"/>
            <w:gridSpan w:val="4"/>
            <w:tcBorders>
              <w:left w:val="nil"/>
              <w:bottom w:val="single" w:sz="4" w:space="0" w:color="auto"/>
              <w:right w:val="nil"/>
            </w:tcBorders>
            <w:tcMar>
              <w:top w:w="29" w:type="dxa"/>
              <w:left w:w="115" w:type="dxa"/>
              <w:bottom w:w="29" w:type="dxa"/>
              <w:right w:w="115" w:type="dxa"/>
            </w:tcMar>
            <w:vAlign w:val="bottom"/>
          </w:tcPr>
          <w:p w14:paraId="668268E2" w14:textId="18D07FF3" w:rsidR="002A2753" w:rsidRPr="00D452A9" w:rsidRDefault="007435BA" w:rsidP="007435BA">
            <w:pPr>
              <w:jc w:val="center"/>
              <w:rPr>
                <w:rStyle w:val="cl-7f30a2f2"/>
                <w:rFonts w:cstheme="majorHAnsi"/>
                <w:color w:val="000000"/>
              </w:rPr>
            </w:pPr>
            <w:r w:rsidRPr="00D452A9">
              <w:rPr>
                <w:rStyle w:val="cl-7f30a2f2"/>
                <w:rFonts w:cstheme="majorHAnsi"/>
                <w:color w:val="000000"/>
              </w:rPr>
              <w:t>CDC Estimates of HIV/AIDS Prevalence in US Women, 2021</w:t>
            </w:r>
          </w:p>
        </w:tc>
      </w:tr>
      <w:tr w:rsidR="006509F1" w:rsidRPr="00D452A9" w14:paraId="25C70C69" w14:textId="77777777" w:rsidTr="001E08D4">
        <w:trPr>
          <w:trHeight w:val="140"/>
        </w:trPr>
        <w:tc>
          <w:tcPr>
            <w:tcW w:w="1620" w:type="dxa"/>
            <w:vMerge/>
            <w:tcBorders>
              <w:top w:val="nil"/>
              <w:left w:val="nil"/>
              <w:bottom w:val="single" w:sz="4" w:space="0" w:color="auto"/>
              <w:right w:val="nil"/>
            </w:tcBorders>
            <w:tcMar>
              <w:top w:w="29" w:type="dxa"/>
              <w:left w:w="115" w:type="dxa"/>
              <w:bottom w:w="29" w:type="dxa"/>
              <w:right w:w="115" w:type="dxa"/>
            </w:tcMar>
            <w:vAlign w:val="bottom"/>
          </w:tcPr>
          <w:p w14:paraId="46C6C37B" w14:textId="77777777" w:rsidR="00CC4D14" w:rsidRPr="00D452A9" w:rsidRDefault="00CC4D14" w:rsidP="00CC4D14">
            <w:pPr>
              <w:jc w:val="center"/>
              <w:rPr>
                <w:rStyle w:val="cl-7f30a2f2"/>
                <w:rFonts w:cstheme="majorHAnsi"/>
                <w:color w:val="000000"/>
              </w:rPr>
            </w:pPr>
          </w:p>
        </w:tc>
        <w:tc>
          <w:tcPr>
            <w:tcW w:w="1050" w:type="dxa"/>
            <w:vMerge/>
            <w:tcBorders>
              <w:top w:val="nil"/>
              <w:left w:val="nil"/>
              <w:bottom w:val="single" w:sz="4" w:space="0" w:color="auto"/>
              <w:right w:val="nil"/>
            </w:tcBorders>
            <w:tcMar>
              <w:top w:w="29" w:type="dxa"/>
              <w:left w:w="115" w:type="dxa"/>
              <w:bottom w:w="29" w:type="dxa"/>
              <w:right w:w="115" w:type="dxa"/>
            </w:tcMar>
            <w:vAlign w:val="bottom"/>
          </w:tcPr>
          <w:p w14:paraId="524615A2" w14:textId="77777777" w:rsidR="00CC4D14" w:rsidRPr="00D452A9" w:rsidRDefault="00CC4D14" w:rsidP="00CC4D14">
            <w:pPr>
              <w:jc w:val="center"/>
              <w:rPr>
                <w:rStyle w:val="cl-7f30a2f2"/>
                <w:rFonts w:cstheme="majorHAnsi"/>
                <w:color w:val="000000"/>
              </w:rPr>
            </w:pPr>
          </w:p>
        </w:tc>
        <w:tc>
          <w:tcPr>
            <w:tcW w:w="1512" w:type="dxa"/>
            <w:tcBorders>
              <w:top w:val="single" w:sz="4" w:space="0" w:color="auto"/>
              <w:left w:val="nil"/>
              <w:bottom w:val="single" w:sz="4" w:space="0" w:color="auto"/>
              <w:right w:val="nil"/>
            </w:tcBorders>
            <w:tcMar>
              <w:top w:w="29" w:type="dxa"/>
              <w:left w:w="115" w:type="dxa"/>
              <w:bottom w:w="29" w:type="dxa"/>
              <w:right w:w="115" w:type="dxa"/>
            </w:tcMar>
            <w:vAlign w:val="bottom"/>
          </w:tcPr>
          <w:p w14:paraId="65B8BA6C" w14:textId="0579D31C" w:rsidR="00CC4D14" w:rsidRPr="00D452A9" w:rsidRDefault="00CC4D14" w:rsidP="00CC4D14">
            <w:pPr>
              <w:jc w:val="center"/>
              <w:rPr>
                <w:rStyle w:val="cl-7f30a2f2"/>
                <w:rFonts w:cstheme="majorHAnsi"/>
                <w:color w:val="000000"/>
              </w:rPr>
            </w:pPr>
            <w:r>
              <w:rPr>
                <w:rStyle w:val="cl-7f30a2f2"/>
                <w:rFonts w:cstheme="majorHAnsi"/>
                <w:color w:val="000000"/>
              </w:rPr>
              <w:t>M=200 sample</w:t>
            </w:r>
          </w:p>
        </w:tc>
        <w:tc>
          <w:tcPr>
            <w:tcW w:w="1512" w:type="dxa"/>
            <w:tcBorders>
              <w:top w:val="single" w:sz="4" w:space="0" w:color="auto"/>
              <w:left w:val="nil"/>
              <w:bottom w:val="single" w:sz="4" w:space="0" w:color="auto"/>
              <w:right w:val="nil"/>
            </w:tcBorders>
            <w:tcMar>
              <w:top w:w="29" w:type="dxa"/>
              <w:left w:w="115" w:type="dxa"/>
              <w:bottom w:w="29" w:type="dxa"/>
              <w:right w:w="115" w:type="dxa"/>
            </w:tcMar>
            <w:vAlign w:val="bottom"/>
          </w:tcPr>
          <w:p w14:paraId="3CD5FE94" w14:textId="6B3D4881" w:rsidR="00CC4D14" w:rsidRPr="00D452A9" w:rsidRDefault="00CC4D14" w:rsidP="00CC4D14">
            <w:pPr>
              <w:jc w:val="center"/>
              <w:rPr>
                <w:rStyle w:val="cl-7f30a2f2"/>
                <w:rFonts w:cstheme="majorHAnsi"/>
                <w:color w:val="000000"/>
              </w:rPr>
            </w:pPr>
            <w:r>
              <w:rPr>
                <w:rStyle w:val="cl-7f30a2f2"/>
                <w:rFonts w:cstheme="majorHAnsi"/>
                <w:color w:val="000000"/>
              </w:rPr>
              <w:t>M=1,000 sample</w:t>
            </w:r>
          </w:p>
        </w:tc>
        <w:tc>
          <w:tcPr>
            <w:tcW w:w="1512" w:type="dxa"/>
            <w:tcBorders>
              <w:top w:val="single" w:sz="4" w:space="0" w:color="auto"/>
              <w:left w:val="nil"/>
              <w:bottom w:val="single" w:sz="4" w:space="0" w:color="auto"/>
              <w:right w:val="nil"/>
            </w:tcBorders>
            <w:tcMar>
              <w:top w:w="29" w:type="dxa"/>
              <w:left w:w="115" w:type="dxa"/>
              <w:bottom w:w="29" w:type="dxa"/>
              <w:right w:w="115" w:type="dxa"/>
            </w:tcMar>
            <w:vAlign w:val="bottom"/>
          </w:tcPr>
          <w:p w14:paraId="7AD4A184" w14:textId="3126BEA4" w:rsidR="00CC4D14" w:rsidRPr="00D452A9" w:rsidRDefault="00CC4D14" w:rsidP="00CC4D14">
            <w:pPr>
              <w:jc w:val="center"/>
              <w:rPr>
                <w:rStyle w:val="cl-7f30a2f2"/>
                <w:rFonts w:cstheme="majorHAnsi"/>
                <w:color w:val="000000"/>
              </w:rPr>
            </w:pPr>
            <w:r>
              <w:rPr>
                <w:rStyle w:val="cl-7f30a2f2"/>
                <w:rFonts w:cstheme="majorHAnsi"/>
                <w:color w:val="000000"/>
              </w:rPr>
              <w:t>M=5,000 sample</w:t>
            </w:r>
          </w:p>
        </w:tc>
        <w:tc>
          <w:tcPr>
            <w:tcW w:w="1512" w:type="dxa"/>
            <w:tcBorders>
              <w:top w:val="single" w:sz="4" w:space="0" w:color="auto"/>
              <w:left w:val="nil"/>
              <w:bottom w:val="single" w:sz="4" w:space="0" w:color="auto"/>
              <w:right w:val="nil"/>
            </w:tcBorders>
            <w:tcMar>
              <w:top w:w="29" w:type="dxa"/>
              <w:left w:w="115" w:type="dxa"/>
              <w:bottom w:w="29" w:type="dxa"/>
              <w:right w:w="115" w:type="dxa"/>
            </w:tcMar>
            <w:vAlign w:val="bottom"/>
          </w:tcPr>
          <w:p w14:paraId="06A33FA6" w14:textId="77777777" w:rsidR="00CC4D14" w:rsidRPr="00D452A9" w:rsidRDefault="00CC4D14" w:rsidP="00CC4D14">
            <w:pPr>
              <w:jc w:val="center"/>
              <w:rPr>
                <w:rStyle w:val="cl-7f30a2f2"/>
                <w:rFonts w:cstheme="majorHAnsi"/>
                <w:color w:val="000000"/>
              </w:rPr>
            </w:pPr>
            <w:r w:rsidRPr="00D452A9">
              <w:rPr>
                <w:rStyle w:val="cl-7f30a2f2"/>
                <w:rFonts w:cstheme="majorHAnsi"/>
                <w:color w:val="000000"/>
              </w:rPr>
              <w:t>M=245,772</w:t>
            </w:r>
          </w:p>
          <w:p w14:paraId="5B13E863" w14:textId="3FCD75E2" w:rsidR="00CC4D14" w:rsidRPr="00D452A9" w:rsidRDefault="00CC4D14" w:rsidP="00CC4D14">
            <w:pPr>
              <w:jc w:val="center"/>
              <w:rPr>
                <w:rStyle w:val="cl-7f30a2f2"/>
                <w:rFonts w:cstheme="majorHAnsi"/>
                <w:color w:val="000000"/>
              </w:rPr>
            </w:pPr>
            <w:r w:rsidRPr="00D452A9">
              <w:rPr>
                <w:rStyle w:val="cl-7f30a2f2"/>
                <w:rFonts w:cstheme="majorHAnsi"/>
                <w:color w:val="000000"/>
              </w:rPr>
              <w:t>Full sample</w:t>
            </w:r>
          </w:p>
        </w:tc>
      </w:tr>
      <w:tr w:rsidR="006509F1" w:rsidRPr="00D452A9" w14:paraId="6091D528" w14:textId="77777777" w:rsidTr="001E08D4">
        <w:trPr>
          <w:trHeight w:val="284"/>
        </w:trPr>
        <w:tc>
          <w:tcPr>
            <w:tcW w:w="1620" w:type="dxa"/>
            <w:tcBorders>
              <w:top w:val="single" w:sz="4" w:space="0" w:color="auto"/>
              <w:left w:val="nil"/>
              <w:bottom w:val="nil"/>
              <w:right w:val="nil"/>
            </w:tcBorders>
            <w:tcMar>
              <w:top w:w="29" w:type="dxa"/>
              <w:left w:w="115" w:type="dxa"/>
              <w:bottom w:w="29" w:type="dxa"/>
              <w:right w:w="115" w:type="dxa"/>
            </w:tcMar>
          </w:tcPr>
          <w:p w14:paraId="6033E7F1" w14:textId="2F5905C3" w:rsidR="00CC4D14" w:rsidRPr="00D452A9" w:rsidRDefault="00CC4D14" w:rsidP="00CC4D14">
            <w:pPr>
              <w:rPr>
                <w:rStyle w:val="cl-7f30a2f2"/>
                <w:rFonts w:cstheme="majorHAnsi"/>
                <w:color w:val="000000"/>
              </w:rPr>
            </w:pPr>
            <w:r w:rsidRPr="00D452A9">
              <w:rPr>
                <w:rStyle w:val="cl-7f30a2f2"/>
                <w:rFonts w:cstheme="majorHAnsi"/>
                <w:color w:val="000000"/>
              </w:rPr>
              <w:t>IDU</w:t>
            </w:r>
          </w:p>
        </w:tc>
        <w:tc>
          <w:tcPr>
            <w:tcW w:w="1050" w:type="dxa"/>
            <w:tcBorders>
              <w:top w:val="single" w:sz="4" w:space="0" w:color="auto"/>
              <w:left w:val="nil"/>
              <w:bottom w:val="nil"/>
              <w:right w:val="nil"/>
            </w:tcBorders>
            <w:tcMar>
              <w:top w:w="29" w:type="dxa"/>
              <w:left w:w="115" w:type="dxa"/>
              <w:bottom w:w="29" w:type="dxa"/>
              <w:right w:w="115" w:type="dxa"/>
            </w:tcMar>
          </w:tcPr>
          <w:p w14:paraId="4255F38C" w14:textId="77777777" w:rsidR="00CC4D14" w:rsidRPr="00D452A9" w:rsidRDefault="00CC4D14" w:rsidP="00CC4D14">
            <w:pPr>
              <w:jc w:val="right"/>
              <w:rPr>
                <w:rStyle w:val="cl-7f30a2f2"/>
                <w:rFonts w:cstheme="majorHAnsi"/>
                <w:color w:val="000000"/>
              </w:rPr>
            </w:pPr>
          </w:p>
        </w:tc>
        <w:tc>
          <w:tcPr>
            <w:tcW w:w="1512" w:type="dxa"/>
            <w:tcBorders>
              <w:top w:val="single" w:sz="4" w:space="0" w:color="auto"/>
              <w:left w:val="nil"/>
              <w:bottom w:val="nil"/>
              <w:right w:val="nil"/>
            </w:tcBorders>
            <w:tcMar>
              <w:top w:w="29" w:type="dxa"/>
              <w:left w:w="115" w:type="dxa"/>
              <w:bottom w:w="29" w:type="dxa"/>
              <w:right w:w="115" w:type="dxa"/>
            </w:tcMar>
          </w:tcPr>
          <w:p w14:paraId="766D2A62" w14:textId="77777777" w:rsidR="00CC4D14" w:rsidRPr="00D452A9" w:rsidRDefault="00CC4D14" w:rsidP="00CC4D14">
            <w:pPr>
              <w:jc w:val="right"/>
              <w:rPr>
                <w:rStyle w:val="cl-7f30a2f2"/>
                <w:rFonts w:cstheme="majorHAnsi"/>
                <w:color w:val="000000"/>
              </w:rPr>
            </w:pPr>
          </w:p>
        </w:tc>
        <w:tc>
          <w:tcPr>
            <w:tcW w:w="1512" w:type="dxa"/>
            <w:tcBorders>
              <w:top w:val="single" w:sz="4" w:space="0" w:color="auto"/>
              <w:left w:val="nil"/>
              <w:bottom w:val="nil"/>
              <w:right w:val="nil"/>
            </w:tcBorders>
            <w:tcMar>
              <w:top w:w="29" w:type="dxa"/>
              <w:left w:w="115" w:type="dxa"/>
              <w:bottom w:w="29" w:type="dxa"/>
              <w:right w:w="115" w:type="dxa"/>
            </w:tcMar>
          </w:tcPr>
          <w:p w14:paraId="6BF94A69" w14:textId="77777777" w:rsidR="00CC4D14" w:rsidRPr="00D452A9" w:rsidRDefault="00CC4D14" w:rsidP="00CC4D14">
            <w:pPr>
              <w:jc w:val="right"/>
              <w:rPr>
                <w:rStyle w:val="cl-7f30a2f2"/>
                <w:rFonts w:cstheme="majorHAnsi"/>
                <w:color w:val="000000"/>
              </w:rPr>
            </w:pPr>
          </w:p>
        </w:tc>
        <w:tc>
          <w:tcPr>
            <w:tcW w:w="1512" w:type="dxa"/>
            <w:tcBorders>
              <w:top w:val="single" w:sz="4" w:space="0" w:color="auto"/>
              <w:left w:val="nil"/>
              <w:bottom w:val="nil"/>
              <w:right w:val="nil"/>
            </w:tcBorders>
            <w:tcMar>
              <w:top w:w="29" w:type="dxa"/>
              <w:left w:w="115" w:type="dxa"/>
              <w:bottom w:w="29" w:type="dxa"/>
              <w:right w:w="115" w:type="dxa"/>
            </w:tcMar>
          </w:tcPr>
          <w:p w14:paraId="54FFDA5A" w14:textId="78944A74" w:rsidR="00CC4D14" w:rsidRPr="00D452A9" w:rsidRDefault="00CC4D14" w:rsidP="00CC4D14">
            <w:pPr>
              <w:jc w:val="right"/>
              <w:rPr>
                <w:rStyle w:val="cl-7f30a2f2"/>
                <w:rFonts w:cstheme="majorHAnsi"/>
                <w:color w:val="000000"/>
              </w:rPr>
            </w:pPr>
          </w:p>
        </w:tc>
        <w:tc>
          <w:tcPr>
            <w:tcW w:w="1512" w:type="dxa"/>
            <w:tcBorders>
              <w:top w:val="single" w:sz="4" w:space="0" w:color="auto"/>
              <w:left w:val="nil"/>
              <w:bottom w:val="nil"/>
              <w:right w:val="nil"/>
            </w:tcBorders>
            <w:tcMar>
              <w:top w:w="29" w:type="dxa"/>
              <w:left w:w="115" w:type="dxa"/>
              <w:bottom w:w="29" w:type="dxa"/>
              <w:right w:w="115" w:type="dxa"/>
            </w:tcMar>
          </w:tcPr>
          <w:p w14:paraId="22E905D7" w14:textId="77777777" w:rsidR="00CC4D14" w:rsidRPr="00D452A9" w:rsidRDefault="00CC4D14" w:rsidP="00CC4D14">
            <w:pPr>
              <w:jc w:val="right"/>
              <w:rPr>
                <w:rStyle w:val="cl-7f30a2f2"/>
                <w:rFonts w:cstheme="majorHAnsi"/>
                <w:color w:val="000000"/>
              </w:rPr>
            </w:pPr>
          </w:p>
        </w:tc>
      </w:tr>
      <w:tr w:rsidR="006509F1" w:rsidRPr="00D452A9" w14:paraId="12AC2F69" w14:textId="77777777" w:rsidTr="001E08D4">
        <w:trPr>
          <w:trHeight w:val="284"/>
        </w:trPr>
        <w:tc>
          <w:tcPr>
            <w:tcW w:w="1620" w:type="dxa"/>
            <w:tcBorders>
              <w:top w:val="nil"/>
              <w:left w:val="nil"/>
              <w:bottom w:val="nil"/>
              <w:right w:val="nil"/>
            </w:tcBorders>
            <w:tcMar>
              <w:top w:w="29" w:type="dxa"/>
              <w:left w:w="115" w:type="dxa"/>
              <w:bottom w:w="29" w:type="dxa"/>
              <w:right w:w="115" w:type="dxa"/>
            </w:tcMar>
          </w:tcPr>
          <w:p w14:paraId="55AB4762" w14:textId="29AC2DD9" w:rsidR="00CC4D14" w:rsidRPr="00D452A9" w:rsidRDefault="00CC4D14" w:rsidP="00CC4D14">
            <w:pPr>
              <w:jc w:val="right"/>
              <w:rPr>
                <w:rStyle w:val="cl-7f30a2f2"/>
                <w:rFonts w:cstheme="majorHAnsi"/>
                <w:color w:val="000000"/>
              </w:rPr>
            </w:pPr>
            <w:r w:rsidRPr="00D452A9">
              <w:rPr>
                <w:rStyle w:val="cl-7f30a2f2"/>
                <w:rFonts w:cstheme="majorHAnsi"/>
                <w:color w:val="000000"/>
              </w:rPr>
              <w:t>Has history</w:t>
            </w:r>
          </w:p>
        </w:tc>
        <w:tc>
          <w:tcPr>
            <w:tcW w:w="1050" w:type="dxa"/>
            <w:tcBorders>
              <w:top w:val="nil"/>
              <w:left w:val="nil"/>
              <w:bottom w:val="nil"/>
              <w:right w:val="nil"/>
            </w:tcBorders>
            <w:tcMar>
              <w:top w:w="29" w:type="dxa"/>
              <w:left w:w="115" w:type="dxa"/>
              <w:bottom w:w="29" w:type="dxa"/>
              <w:right w:w="115" w:type="dxa"/>
            </w:tcMar>
          </w:tcPr>
          <w:p w14:paraId="26DE4B00" w14:textId="49A042F1" w:rsidR="00CC4D14" w:rsidRPr="00D452A9" w:rsidRDefault="00CC4D14" w:rsidP="00CC4D14">
            <w:pPr>
              <w:jc w:val="right"/>
              <w:rPr>
                <w:rStyle w:val="cl-7f30a2f2"/>
                <w:rFonts w:cstheme="majorHAnsi"/>
                <w:color w:val="000000"/>
              </w:rPr>
            </w:pPr>
            <w:r w:rsidRPr="00D452A9">
              <w:rPr>
                <w:rStyle w:val="cl-7f30a2f2"/>
                <w:rFonts w:cstheme="majorHAnsi"/>
                <w:color w:val="000000"/>
              </w:rPr>
              <w:t>37.7%</w:t>
            </w:r>
          </w:p>
        </w:tc>
        <w:tc>
          <w:tcPr>
            <w:tcW w:w="1512" w:type="dxa"/>
            <w:tcBorders>
              <w:top w:val="nil"/>
              <w:left w:val="nil"/>
              <w:bottom w:val="nil"/>
              <w:right w:val="nil"/>
            </w:tcBorders>
            <w:tcMar>
              <w:top w:w="29" w:type="dxa"/>
              <w:left w:w="115" w:type="dxa"/>
              <w:bottom w:w="29" w:type="dxa"/>
              <w:right w:w="115" w:type="dxa"/>
            </w:tcMar>
          </w:tcPr>
          <w:p w14:paraId="38F01505" w14:textId="5DF32EEE" w:rsidR="00CC4D14" w:rsidRPr="00D452A9" w:rsidRDefault="00D74307" w:rsidP="00CC4D14">
            <w:pPr>
              <w:jc w:val="right"/>
              <w:rPr>
                <w:rStyle w:val="cl-7f30a2f2"/>
                <w:rFonts w:cstheme="majorHAnsi"/>
                <w:color w:val="000000"/>
              </w:rPr>
            </w:pPr>
            <w:r>
              <w:rPr>
                <w:rStyle w:val="cl-7f30a2f2"/>
                <w:rFonts w:cstheme="majorHAnsi"/>
                <w:color w:val="000000"/>
              </w:rPr>
              <w:t>19.5%</w:t>
            </w:r>
          </w:p>
        </w:tc>
        <w:tc>
          <w:tcPr>
            <w:tcW w:w="1512" w:type="dxa"/>
            <w:tcBorders>
              <w:top w:val="nil"/>
              <w:left w:val="nil"/>
              <w:bottom w:val="nil"/>
              <w:right w:val="nil"/>
            </w:tcBorders>
            <w:tcMar>
              <w:top w:w="29" w:type="dxa"/>
              <w:left w:w="115" w:type="dxa"/>
              <w:bottom w:w="29" w:type="dxa"/>
              <w:right w:w="115" w:type="dxa"/>
            </w:tcMar>
          </w:tcPr>
          <w:p w14:paraId="3DEFAF30" w14:textId="6965711D" w:rsidR="00CC4D14" w:rsidRPr="00D452A9" w:rsidRDefault="00D74307" w:rsidP="00CC4D14">
            <w:pPr>
              <w:jc w:val="right"/>
              <w:rPr>
                <w:rStyle w:val="cl-7f30a2f2"/>
                <w:rFonts w:cstheme="majorHAnsi"/>
                <w:color w:val="000000"/>
              </w:rPr>
            </w:pPr>
            <w:r>
              <w:rPr>
                <w:rStyle w:val="cl-7f30a2f2"/>
                <w:rFonts w:cstheme="majorHAnsi"/>
                <w:color w:val="000000"/>
              </w:rPr>
              <w:t>22.1</w:t>
            </w:r>
            <w:r w:rsidR="00CC4D14"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6D63285F" w14:textId="55C8143A" w:rsidR="00CC4D14" w:rsidRPr="00D452A9" w:rsidRDefault="00D74307" w:rsidP="00CC4D14">
            <w:pPr>
              <w:jc w:val="right"/>
              <w:rPr>
                <w:rStyle w:val="cl-7f30a2f2"/>
                <w:rFonts w:cstheme="majorHAnsi"/>
                <w:color w:val="000000"/>
              </w:rPr>
            </w:pPr>
            <w:r>
              <w:rPr>
                <w:rStyle w:val="cl-7f30a2f2"/>
                <w:rFonts w:cstheme="majorHAnsi"/>
                <w:color w:val="000000"/>
              </w:rPr>
              <w:t>20.1</w:t>
            </w:r>
            <w:r w:rsidR="00CC4D14"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6B46B575" w14:textId="7AC38137" w:rsidR="00CC4D14" w:rsidRPr="00D452A9" w:rsidRDefault="00CC4D14" w:rsidP="00CC4D14">
            <w:pPr>
              <w:jc w:val="right"/>
              <w:rPr>
                <w:rStyle w:val="cl-7f30a2f2"/>
                <w:rFonts w:cstheme="majorHAnsi"/>
                <w:color w:val="000000"/>
              </w:rPr>
            </w:pPr>
            <w:r w:rsidRPr="00D452A9">
              <w:rPr>
                <w:rStyle w:val="cl-7f30a2f2"/>
                <w:rFonts w:cstheme="majorHAnsi"/>
                <w:color w:val="000000"/>
              </w:rPr>
              <w:t>19.5%</w:t>
            </w:r>
          </w:p>
        </w:tc>
      </w:tr>
      <w:tr w:rsidR="006509F1" w:rsidRPr="00D452A9" w14:paraId="79D2FC3E" w14:textId="77777777" w:rsidTr="001E08D4">
        <w:trPr>
          <w:trHeight w:val="284"/>
        </w:trPr>
        <w:tc>
          <w:tcPr>
            <w:tcW w:w="1620" w:type="dxa"/>
            <w:tcBorders>
              <w:top w:val="nil"/>
              <w:left w:val="nil"/>
              <w:bottom w:val="nil"/>
              <w:right w:val="nil"/>
            </w:tcBorders>
            <w:tcMar>
              <w:top w:w="29" w:type="dxa"/>
              <w:left w:w="115" w:type="dxa"/>
              <w:bottom w:w="29" w:type="dxa"/>
              <w:right w:w="115" w:type="dxa"/>
            </w:tcMar>
          </w:tcPr>
          <w:p w14:paraId="72A383D1" w14:textId="25CC6C56" w:rsidR="00CC4D14" w:rsidRPr="00D452A9" w:rsidRDefault="00CC4D14" w:rsidP="00CC4D14">
            <w:pPr>
              <w:jc w:val="right"/>
              <w:rPr>
                <w:rStyle w:val="cl-7f30a2f2"/>
                <w:rFonts w:cstheme="majorHAnsi"/>
                <w:color w:val="000000"/>
              </w:rPr>
            </w:pPr>
            <w:r w:rsidRPr="00D452A9">
              <w:rPr>
                <w:rStyle w:val="cl-7f30a2f2"/>
                <w:rFonts w:cstheme="majorHAnsi"/>
                <w:color w:val="000000"/>
              </w:rPr>
              <w:t>No history</w:t>
            </w:r>
          </w:p>
        </w:tc>
        <w:tc>
          <w:tcPr>
            <w:tcW w:w="1050" w:type="dxa"/>
            <w:tcBorders>
              <w:top w:val="nil"/>
              <w:left w:val="nil"/>
              <w:bottom w:val="nil"/>
              <w:right w:val="nil"/>
            </w:tcBorders>
            <w:tcMar>
              <w:top w:w="29" w:type="dxa"/>
              <w:left w:w="115" w:type="dxa"/>
              <w:bottom w:w="29" w:type="dxa"/>
              <w:right w:w="115" w:type="dxa"/>
            </w:tcMar>
          </w:tcPr>
          <w:p w14:paraId="0604DD5E" w14:textId="3CCBD5ED" w:rsidR="00CC4D14" w:rsidRPr="00D452A9" w:rsidRDefault="00CC4D14" w:rsidP="00CC4D14">
            <w:pPr>
              <w:jc w:val="right"/>
              <w:rPr>
                <w:rStyle w:val="cl-7f30a2f2"/>
                <w:rFonts w:cstheme="majorHAnsi"/>
                <w:color w:val="000000"/>
              </w:rPr>
            </w:pPr>
            <w:r w:rsidRPr="00D452A9">
              <w:rPr>
                <w:rStyle w:val="cl-7f30a2f2"/>
                <w:rFonts w:cstheme="majorHAnsi"/>
                <w:color w:val="000000"/>
              </w:rPr>
              <w:t>62.3%</w:t>
            </w:r>
          </w:p>
        </w:tc>
        <w:tc>
          <w:tcPr>
            <w:tcW w:w="1512" w:type="dxa"/>
            <w:tcBorders>
              <w:top w:val="nil"/>
              <w:left w:val="nil"/>
              <w:bottom w:val="nil"/>
              <w:right w:val="nil"/>
            </w:tcBorders>
            <w:tcMar>
              <w:top w:w="29" w:type="dxa"/>
              <w:left w:w="115" w:type="dxa"/>
              <w:bottom w:w="29" w:type="dxa"/>
              <w:right w:w="115" w:type="dxa"/>
            </w:tcMar>
          </w:tcPr>
          <w:p w14:paraId="03AD1CF8" w14:textId="5BEFB66F" w:rsidR="00CC4D14" w:rsidRPr="00D452A9" w:rsidRDefault="00D74307" w:rsidP="00CC4D14">
            <w:pPr>
              <w:jc w:val="right"/>
              <w:rPr>
                <w:rStyle w:val="cl-7f30a2f2"/>
                <w:rFonts w:cstheme="majorHAnsi"/>
                <w:color w:val="000000"/>
              </w:rPr>
            </w:pPr>
            <w:r>
              <w:rPr>
                <w:rStyle w:val="cl-7f30a2f2"/>
                <w:rFonts w:cstheme="majorHAnsi"/>
                <w:color w:val="000000"/>
              </w:rPr>
              <w:t>80.5%</w:t>
            </w:r>
          </w:p>
        </w:tc>
        <w:tc>
          <w:tcPr>
            <w:tcW w:w="1512" w:type="dxa"/>
            <w:tcBorders>
              <w:top w:val="nil"/>
              <w:left w:val="nil"/>
              <w:bottom w:val="nil"/>
              <w:right w:val="nil"/>
            </w:tcBorders>
            <w:tcMar>
              <w:top w:w="29" w:type="dxa"/>
              <w:left w:w="115" w:type="dxa"/>
              <w:bottom w:w="29" w:type="dxa"/>
              <w:right w:w="115" w:type="dxa"/>
            </w:tcMar>
          </w:tcPr>
          <w:p w14:paraId="0F7F1153" w14:textId="0AE6DC6A" w:rsidR="00CC4D14" w:rsidRPr="00D452A9" w:rsidRDefault="00D74307" w:rsidP="00CC4D14">
            <w:pPr>
              <w:jc w:val="right"/>
              <w:rPr>
                <w:rStyle w:val="cl-7f30a2f2"/>
                <w:rFonts w:cstheme="majorHAnsi"/>
                <w:color w:val="000000"/>
              </w:rPr>
            </w:pPr>
            <w:r>
              <w:rPr>
                <w:rStyle w:val="cl-7f30a2f2"/>
                <w:rFonts w:cstheme="majorHAnsi"/>
                <w:color w:val="000000"/>
              </w:rPr>
              <w:t>77.9</w:t>
            </w:r>
            <w:r w:rsidR="00CC4D14"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233D03F4" w14:textId="2463CED4" w:rsidR="00CC4D14" w:rsidRPr="00D452A9" w:rsidRDefault="00D74307" w:rsidP="00CC4D14">
            <w:pPr>
              <w:jc w:val="right"/>
              <w:rPr>
                <w:rStyle w:val="cl-7f30a2f2"/>
                <w:rFonts w:cstheme="majorHAnsi"/>
                <w:color w:val="000000"/>
              </w:rPr>
            </w:pPr>
            <w:r>
              <w:rPr>
                <w:rStyle w:val="cl-7f30a2f2"/>
                <w:rFonts w:cstheme="majorHAnsi"/>
                <w:color w:val="000000"/>
              </w:rPr>
              <w:t>79.9</w:t>
            </w:r>
            <w:r w:rsidR="00CC4D14"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401ED4B5" w14:textId="0F52A78E" w:rsidR="00CC4D14" w:rsidRPr="00D452A9" w:rsidRDefault="00CC4D14" w:rsidP="00CC4D14">
            <w:pPr>
              <w:jc w:val="right"/>
              <w:rPr>
                <w:rStyle w:val="cl-7f30a2f2"/>
                <w:rFonts w:cstheme="majorHAnsi"/>
                <w:color w:val="000000"/>
              </w:rPr>
            </w:pPr>
            <w:r w:rsidRPr="00D452A9">
              <w:rPr>
                <w:rStyle w:val="cl-7f30a2f2"/>
                <w:rFonts w:cstheme="majorHAnsi"/>
                <w:color w:val="000000"/>
              </w:rPr>
              <w:t>80.5%</w:t>
            </w:r>
          </w:p>
        </w:tc>
      </w:tr>
      <w:tr w:rsidR="006509F1" w:rsidRPr="00D452A9" w14:paraId="3BBDB999" w14:textId="77777777" w:rsidTr="001E08D4">
        <w:trPr>
          <w:trHeight w:val="284"/>
        </w:trPr>
        <w:tc>
          <w:tcPr>
            <w:tcW w:w="1620" w:type="dxa"/>
            <w:tcBorders>
              <w:top w:val="nil"/>
              <w:left w:val="nil"/>
              <w:bottom w:val="nil"/>
              <w:right w:val="nil"/>
            </w:tcBorders>
            <w:tcMar>
              <w:top w:w="29" w:type="dxa"/>
              <w:left w:w="115" w:type="dxa"/>
              <w:bottom w:w="29" w:type="dxa"/>
              <w:right w:w="115" w:type="dxa"/>
            </w:tcMar>
          </w:tcPr>
          <w:p w14:paraId="7050A8DB" w14:textId="6C2A843B" w:rsidR="00CC4D14" w:rsidRPr="00D452A9" w:rsidRDefault="00CC4D14" w:rsidP="00CC4D14">
            <w:pPr>
              <w:rPr>
                <w:rStyle w:val="cl-7f30a2f2"/>
                <w:rFonts w:cstheme="majorHAnsi"/>
                <w:color w:val="000000"/>
              </w:rPr>
            </w:pPr>
            <w:r w:rsidRPr="00D452A9">
              <w:rPr>
                <w:rStyle w:val="cl-7f30a2f2"/>
                <w:rFonts w:cstheme="majorHAnsi"/>
                <w:color w:val="000000"/>
              </w:rPr>
              <w:t>Age</w:t>
            </w:r>
          </w:p>
        </w:tc>
        <w:tc>
          <w:tcPr>
            <w:tcW w:w="1050" w:type="dxa"/>
            <w:tcBorders>
              <w:top w:val="nil"/>
              <w:left w:val="nil"/>
              <w:bottom w:val="nil"/>
              <w:right w:val="nil"/>
            </w:tcBorders>
            <w:tcMar>
              <w:top w:w="29" w:type="dxa"/>
              <w:left w:w="115" w:type="dxa"/>
              <w:bottom w:w="29" w:type="dxa"/>
              <w:right w:w="115" w:type="dxa"/>
            </w:tcMar>
          </w:tcPr>
          <w:p w14:paraId="616ADEB4" w14:textId="77777777" w:rsidR="00CC4D14" w:rsidRPr="00D452A9" w:rsidRDefault="00CC4D14" w:rsidP="00CC4D14">
            <w:pPr>
              <w:jc w:val="right"/>
              <w:rPr>
                <w:rStyle w:val="cl-7f30a2f2"/>
                <w:rFonts w:cstheme="majorHAnsi"/>
                <w:color w:val="000000"/>
              </w:rPr>
            </w:pPr>
          </w:p>
        </w:tc>
        <w:tc>
          <w:tcPr>
            <w:tcW w:w="1512" w:type="dxa"/>
            <w:tcBorders>
              <w:top w:val="nil"/>
              <w:left w:val="nil"/>
              <w:bottom w:val="nil"/>
              <w:right w:val="nil"/>
            </w:tcBorders>
            <w:tcMar>
              <w:top w:w="29" w:type="dxa"/>
              <w:left w:w="115" w:type="dxa"/>
              <w:bottom w:w="29" w:type="dxa"/>
              <w:right w:w="115" w:type="dxa"/>
            </w:tcMar>
          </w:tcPr>
          <w:p w14:paraId="5BEE970D" w14:textId="77777777" w:rsidR="00CC4D14" w:rsidRPr="00D452A9" w:rsidRDefault="00CC4D14" w:rsidP="00CC4D14">
            <w:pPr>
              <w:jc w:val="right"/>
              <w:rPr>
                <w:rStyle w:val="cl-7f30a2f2"/>
                <w:rFonts w:cstheme="majorHAnsi"/>
                <w:color w:val="000000"/>
              </w:rPr>
            </w:pPr>
          </w:p>
        </w:tc>
        <w:tc>
          <w:tcPr>
            <w:tcW w:w="1512" w:type="dxa"/>
            <w:tcBorders>
              <w:top w:val="nil"/>
              <w:left w:val="nil"/>
              <w:bottom w:val="nil"/>
              <w:right w:val="nil"/>
            </w:tcBorders>
            <w:tcMar>
              <w:top w:w="29" w:type="dxa"/>
              <w:left w:w="115" w:type="dxa"/>
              <w:bottom w:w="29" w:type="dxa"/>
              <w:right w:w="115" w:type="dxa"/>
            </w:tcMar>
          </w:tcPr>
          <w:p w14:paraId="428A758C" w14:textId="77777777" w:rsidR="00CC4D14" w:rsidRPr="00D452A9" w:rsidRDefault="00CC4D14" w:rsidP="00CC4D14">
            <w:pPr>
              <w:jc w:val="right"/>
              <w:rPr>
                <w:rStyle w:val="cl-7f30a2f2"/>
                <w:rFonts w:cstheme="majorHAnsi"/>
                <w:color w:val="000000"/>
              </w:rPr>
            </w:pPr>
          </w:p>
        </w:tc>
        <w:tc>
          <w:tcPr>
            <w:tcW w:w="1512" w:type="dxa"/>
            <w:tcBorders>
              <w:top w:val="nil"/>
              <w:left w:val="nil"/>
              <w:bottom w:val="nil"/>
              <w:right w:val="nil"/>
            </w:tcBorders>
            <w:tcMar>
              <w:top w:w="29" w:type="dxa"/>
              <w:left w:w="115" w:type="dxa"/>
              <w:bottom w:w="29" w:type="dxa"/>
              <w:right w:w="115" w:type="dxa"/>
            </w:tcMar>
          </w:tcPr>
          <w:p w14:paraId="6B25AAA2" w14:textId="6DD5EA4D" w:rsidR="00CC4D14" w:rsidRPr="00D452A9" w:rsidRDefault="00CC4D14" w:rsidP="00CC4D14">
            <w:pPr>
              <w:jc w:val="right"/>
              <w:rPr>
                <w:rStyle w:val="cl-7f30a2f2"/>
                <w:rFonts w:cstheme="majorHAnsi"/>
                <w:color w:val="000000"/>
              </w:rPr>
            </w:pPr>
          </w:p>
        </w:tc>
        <w:tc>
          <w:tcPr>
            <w:tcW w:w="1512" w:type="dxa"/>
            <w:tcBorders>
              <w:top w:val="nil"/>
              <w:left w:val="nil"/>
              <w:bottom w:val="nil"/>
              <w:right w:val="nil"/>
            </w:tcBorders>
            <w:tcMar>
              <w:top w:w="29" w:type="dxa"/>
              <w:left w:w="115" w:type="dxa"/>
              <w:bottom w:w="29" w:type="dxa"/>
              <w:right w:w="115" w:type="dxa"/>
            </w:tcMar>
          </w:tcPr>
          <w:p w14:paraId="40D16287" w14:textId="77777777" w:rsidR="00CC4D14" w:rsidRPr="00D452A9" w:rsidRDefault="00CC4D14" w:rsidP="00CC4D14">
            <w:pPr>
              <w:jc w:val="right"/>
              <w:rPr>
                <w:rStyle w:val="cl-7f30a2f2"/>
                <w:rFonts w:cstheme="majorHAnsi"/>
                <w:color w:val="000000"/>
              </w:rPr>
            </w:pPr>
          </w:p>
        </w:tc>
      </w:tr>
      <w:tr w:rsidR="006509F1" w:rsidRPr="00D452A9" w14:paraId="5A38DBF3" w14:textId="77777777" w:rsidTr="001E08D4">
        <w:trPr>
          <w:trHeight w:val="270"/>
        </w:trPr>
        <w:tc>
          <w:tcPr>
            <w:tcW w:w="1620" w:type="dxa"/>
            <w:tcBorders>
              <w:top w:val="nil"/>
              <w:left w:val="nil"/>
              <w:bottom w:val="nil"/>
              <w:right w:val="nil"/>
            </w:tcBorders>
            <w:tcMar>
              <w:top w:w="29" w:type="dxa"/>
              <w:left w:w="115" w:type="dxa"/>
              <w:bottom w:w="29" w:type="dxa"/>
              <w:right w:w="115" w:type="dxa"/>
            </w:tcMar>
          </w:tcPr>
          <w:p w14:paraId="7885F347" w14:textId="6EACDDAA" w:rsidR="00CC4D14" w:rsidRPr="00D452A9" w:rsidRDefault="00CC4D14" w:rsidP="00CC4D14">
            <w:pPr>
              <w:jc w:val="right"/>
              <w:rPr>
                <w:rStyle w:val="cl-7f30a2f2"/>
                <w:rFonts w:cstheme="majorHAnsi"/>
                <w:color w:val="000000"/>
              </w:rPr>
            </w:pPr>
            <w:r w:rsidRPr="00D452A9">
              <w:rPr>
                <w:rStyle w:val="cl-7f30a2f2"/>
                <w:rFonts w:cstheme="majorHAnsi"/>
                <w:color w:val="000000"/>
              </w:rPr>
              <w:t>13-24</w:t>
            </w:r>
          </w:p>
        </w:tc>
        <w:tc>
          <w:tcPr>
            <w:tcW w:w="1050" w:type="dxa"/>
            <w:tcBorders>
              <w:top w:val="nil"/>
              <w:left w:val="nil"/>
              <w:bottom w:val="nil"/>
              <w:right w:val="nil"/>
            </w:tcBorders>
            <w:tcMar>
              <w:top w:w="29" w:type="dxa"/>
              <w:left w:w="115" w:type="dxa"/>
              <w:bottom w:w="29" w:type="dxa"/>
              <w:right w:w="115" w:type="dxa"/>
            </w:tcMar>
          </w:tcPr>
          <w:p w14:paraId="45D2DCAF" w14:textId="629638D3" w:rsidR="00CC4D14" w:rsidRPr="00D452A9" w:rsidRDefault="00CC4D14" w:rsidP="00CC4D14">
            <w:pPr>
              <w:jc w:val="right"/>
              <w:rPr>
                <w:rStyle w:val="cl-7f30a2f2"/>
                <w:rFonts w:cstheme="majorHAnsi"/>
                <w:color w:val="000000"/>
              </w:rPr>
            </w:pPr>
            <w:r w:rsidRPr="00D452A9">
              <w:rPr>
                <w:rStyle w:val="cl-7f30a2f2"/>
                <w:rFonts w:cstheme="majorHAnsi"/>
                <w:color w:val="000000"/>
              </w:rPr>
              <w:t>5.8%</w:t>
            </w:r>
          </w:p>
        </w:tc>
        <w:tc>
          <w:tcPr>
            <w:tcW w:w="1512" w:type="dxa"/>
            <w:tcBorders>
              <w:top w:val="nil"/>
              <w:left w:val="nil"/>
              <w:bottom w:val="nil"/>
              <w:right w:val="nil"/>
            </w:tcBorders>
            <w:tcMar>
              <w:top w:w="29" w:type="dxa"/>
              <w:left w:w="115" w:type="dxa"/>
              <w:bottom w:w="29" w:type="dxa"/>
              <w:right w:w="115" w:type="dxa"/>
            </w:tcMar>
          </w:tcPr>
          <w:p w14:paraId="45690303" w14:textId="6AFC7555" w:rsidR="00CC4D14" w:rsidRPr="00D452A9" w:rsidRDefault="00D74307" w:rsidP="00CC4D14">
            <w:pPr>
              <w:jc w:val="right"/>
              <w:rPr>
                <w:rStyle w:val="cl-7f30a2f2"/>
                <w:rFonts w:cstheme="majorHAnsi"/>
                <w:color w:val="000000"/>
              </w:rPr>
            </w:pPr>
            <w:r>
              <w:rPr>
                <w:rStyle w:val="cl-7f30a2f2"/>
                <w:rFonts w:cstheme="majorHAnsi"/>
                <w:color w:val="000000"/>
              </w:rPr>
              <w:t>3.0%</w:t>
            </w:r>
          </w:p>
        </w:tc>
        <w:tc>
          <w:tcPr>
            <w:tcW w:w="1512" w:type="dxa"/>
            <w:tcBorders>
              <w:top w:val="nil"/>
              <w:left w:val="nil"/>
              <w:bottom w:val="nil"/>
              <w:right w:val="nil"/>
            </w:tcBorders>
            <w:tcMar>
              <w:top w:w="29" w:type="dxa"/>
              <w:left w:w="115" w:type="dxa"/>
              <w:bottom w:w="29" w:type="dxa"/>
              <w:right w:w="115" w:type="dxa"/>
            </w:tcMar>
          </w:tcPr>
          <w:p w14:paraId="3D9ECA19" w14:textId="55AC5A5E" w:rsidR="00CC4D14" w:rsidRPr="00D452A9" w:rsidRDefault="00CC4D14" w:rsidP="00CC4D14">
            <w:pPr>
              <w:jc w:val="right"/>
              <w:rPr>
                <w:rStyle w:val="cl-7f30a2f2"/>
                <w:rFonts w:cstheme="majorHAnsi"/>
                <w:color w:val="000000"/>
              </w:rPr>
            </w:pPr>
            <w:r w:rsidRPr="00D452A9">
              <w:rPr>
                <w:rStyle w:val="cl-7f30a2f2"/>
                <w:rFonts w:cstheme="majorHAnsi"/>
                <w:color w:val="000000"/>
              </w:rPr>
              <w:t>2.</w:t>
            </w:r>
            <w:r w:rsidR="00D74307">
              <w:rPr>
                <w:rStyle w:val="cl-7f30a2f2"/>
                <w:rFonts w:cstheme="majorHAnsi"/>
                <w:color w:val="000000"/>
              </w:rPr>
              <w:t>0</w:t>
            </w:r>
            <w:r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68A550F8" w14:textId="08C91B18" w:rsidR="00CC4D14" w:rsidRPr="00D452A9" w:rsidRDefault="00CC4D14" w:rsidP="00CC4D14">
            <w:pPr>
              <w:jc w:val="right"/>
              <w:rPr>
                <w:rStyle w:val="cl-7f30a2f2"/>
                <w:rFonts w:cstheme="majorHAnsi"/>
                <w:color w:val="000000"/>
              </w:rPr>
            </w:pPr>
            <w:r w:rsidRPr="00D452A9">
              <w:rPr>
                <w:rStyle w:val="cl-7f30a2f2"/>
                <w:rFonts w:cstheme="majorHAnsi"/>
                <w:color w:val="000000"/>
              </w:rPr>
              <w:t>2.</w:t>
            </w:r>
            <w:r w:rsidR="00D74307">
              <w:rPr>
                <w:rStyle w:val="cl-7f30a2f2"/>
                <w:rFonts w:cstheme="majorHAnsi"/>
                <w:color w:val="000000"/>
              </w:rPr>
              <w:t>1</w:t>
            </w:r>
            <w:r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53721267" w14:textId="28551FED" w:rsidR="00CC4D14" w:rsidRPr="00D452A9" w:rsidRDefault="00CC4D14" w:rsidP="00CC4D14">
            <w:pPr>
              <w:jc w:val="right"/>
              <w:rPr>
                <w:rStyle w:val="cl-7f30a2f2"/>
                <w:rFonts w:cstheme="majorHAnsi"/>
                <w:color w:val="000000"/>
              </w:rPr>
            </w:pPr>
            <w:r w:rsidRPr="00D452A9">
              <w:rPr>
                <w:rStyle w:val="cl-7f30a2f2"/>
                <w:rFonts w:cstheme="majorHAnsi"/>
                <w:color w:val="000000"/>
              </w:rPr>
              <w:t>2.2%</w:t>
            </w:r>
          </w:p>
        </w:tc>
      </w:tr>
      <w:tr w:rsidR="006509F1" w:rsidRPr="00D452A9" w14:paraId="40376844" w14:textId="77777777" w:rsidTr="001E08D4">
        <w:trPr>
          <w:trHeight w:val="284"/>
        </w:trPr>
        <w:tc>
          <w:tcPr>
            <w:tcW w:w="1620" w:type="dxa"/>
            <w:tcBorders>
              <w:top w:val="nil"/>
              <w:left w:val="nil"/>
              <w:bottom w:val="nil"/>
              <w:right w:val="nil"/>
            </w:tcBorders>
            <w:tcMar>
              <w:top w:w="29" w:type="dxa"/>
              <w:left w:w="115" w:type="dxa"/>
              <w:bottom w:w="29" w:type="dxa"/>
              <w:right w:w="115" w:type="dxa"/>
            </w:tcMar>
          </w:tcPr>
          <w:p w14:paraId="663C9863" w14:textId="325427EA" w:rsidR="00CC4D14" w:rsidRPr="00D452A9" w:rsidRDefault="00CC4D14" w:rsidP="00CC4D14">
            <w:pPr>
              <w:jc w:val="right"/>
              <w:rPr>
                <w:rStyle w:val="cl-7f30a2f2"/>
                <w:rFonts w:cstheme="majorHAnsi"/>
                <w:color w:val="000000"/>
              </w:rPr>
            </w:pPr>
            <w:r w:rsidRPr="00D452A9">
              <w:rPr>
                <w:rStyle w:val="cl-7f30a2f2"/>
                <w:rFonts w:cstheme="majorHAnsi"/>
                <w:color w:val="000000"/>
              </w:rPr>
              <w:t>25-34</w:t>
            </w:r>
          </w:p>
        </w:tc>
        <w:tc>
          <w:tcPr>
            <w:tcW w:w="1050" w:type="dxa"/>
            <w:tcBorders>
              <w:top w:val="nil"/>
              <w:left w:val="nil"/>
              <w:bottom w:val="nil"/>
              <w:right w:val="nil"/>
            </w:tcBorders>
            <w:tcMar>
              <w:top w:w="29" w:type="dxa"/>
              <w:left w:w="115" w:type="dxa"/>
              <w:bottom w:w="29" w:type="dxa"/>
              <w:right w:w="115" w:type="dxa"/>
            </w:tcMar>
          </w:tcPr>
          <w:p w14:paraId="3DAEE867" w14:textId="22D19D7D" w:rsidR="00CC4D14" w:rsidRPr="00D452A9" w:rsidRDefault="00CC4D14" w:rsidP="00CC4D14">
            <w:pPr>
              <w:jc w:val="right"/>
              <w:rPr>
                <w:rStyle w:val="cl-7f30a2f2"/>
                <w:rFonts w:cstheme="majorHAnsi"/>
                <w:color w:val="000000"/>
              </w:rPr>
            </w:pPr>
            <w:r w:rsidRPr="00D452A9">
              <w:rPr>
                <w:rStyle w:val="cl-7f30a2f2"/>
                <w:rFonts w:cstheme="majorHAnsi"/>
                <w:color w:val="000000"/>
              </w:rPr>
              <w:t>37.5%</w:t>
            </w:r>
          </w:p>
        </w:tc>
        <w:tc>
          <w:tcPr>
            <w:tcW w:w="1512" w:type="dxa"/>
            <w:tcBorders>
              <w:top w:val="nil"/>
              <w:left w:val="nil"/>
              <w:bottom w:val="nil"/>
              <w:right w:val="nil"/>
            </w:tcBorders>
            <w:tcMar>
              <w:top w:w="29" w:type="dxa"/>
              <w:left w:w="115" w:type="dxa"/>
              <w:bottom w:w="29" w:type="dxa"/>
              <w:right w:w="115" w:type="dxa"/>
            </w:tcMar>
          </w:tcPr>
          <w:p w14:paraId="7A169A78" w14:textId="76EBFD1B" w:rsidR="00CC4D14" w:rsidRPr="00D452A9" w:rsidRDefault="00D74307" w:rsidP="00CC4D14">
            <w:pPr>
              <w:jc w:val="right"/>
              <w:rPr>
                <w:rStyle w:val="cl-7f30a2f2"/>
                <w:rFonts w:cstheme="majorHAnsi"/>
                <w:color w:val="000000"/>
              </w:rPr>
            </w:pPr>
            <w:r>
              <w:rPr>
                <w:rStyle w:val="cl-7f30a2f2"/>
                <w:rFonts w:cstheme="majorHAnsi"/>
                <w:color w:val="000000"/>
              </w:rPr>
              <w:t>8.5%</w:t>
            </w:r>
          </w:p>
        </w:tc>
        <w:tc>
          <w:tcPr>
            <w:tcW w:w="1512" w:type="dxa"/>
            <w:tcBorders>
              <w:top w:val="nil"/>
              <w:left w:val="nil"/>
              <w:bottom w:val="nil"/>
              <w:right w:val="nil"/>
            </w:tcBorders>
            <w:tcMar>
              <w:top w:w="29" w:type="dxa"/>
              <w:left w:w="115" w:type="dxa"/>
              <w:bottom w:w="29" w:type="dxa"/>
              <w:right w:w="115" w:type="dxa"/>
            </w:tcMar>
          </w:tcPr>
          <w:p w14:paraId="5030F2BE" w14:textId="1CAAA509" w:rsidR="00CC4D14" w:rsidRPr="00D452A9" w:rsidRDefault="00D74307" w:rsidP="00CC4D14">
            <w:pPr>
              <w:jc w:val="right"/>
              <w:rPr>
                <w:rStyle w:val="cl-7f30a2f2"/>
                <w:rFonts w:cstheme="majorHAnsi"/>
                <w:color w:val="000000"/>
              </w:rPr>
            </w:pPr>
            <w:r>
              <w:rPr>
                <w:rStyle w:val="cl-7f30a2f2"/>
                <w:rFonts w:cstheme="majorHAnsi"/>
                <w:color w:val="000000"/>
              </w:rPr>
              <w:t>8.6</w:t>
            </w:r>
            <w:r w:rsidR="00CC4D14"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00DD3453" w14:textId="5F7BFA91" w:rsidR="00CC4D14" w:rsidRPr="00D452A9" w:rsidRDefault="00CC4D14" w:rsidP="00CC4D14">
            <w:pPr>
              <w:jc w:val="right"/>
              <w:rPr>
                <w:rStyle w:val="cl-7f30a2f2"/>
                <w:rFonts w:cstheme="majorHAnsi"/>
                <w:color w:val="000000"/>
              </w:rPr>
            </w:pPr>
            <w:r w:rsidRPr="00D452A9">
              <w:rPr>
                <w:rStyle w:val="cl-7f30a2f2"/>
                <w:rFonts w:cstheme="majorHAnsi"/>
                <w:color w:val="000000"/>
              </w:rPr>
              <w:t>10.</w:t>
            </w:r>
            <w:r w:rsidR="00D74307">
              <w:rPr>
                <w:rStyle w:val="cl-7f30a2f2"/>
                <w:rFonts w:cstheme="majorHAnsi"/>
                <w:color w:val="000000"/>
              </w:rPr>
              <w:t>6</w:t>
            </w:r>
            <w:r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780057DB" w14:textId="49AB5281" w:rsidR="00CC4D14" w:rsidRPr="00D452A9" w:rsidRDefault="00CC4D14" w:rsidP="00CC4D14">
            <w:pPr>
              <w:jc w:val="right"/>
              <w:rPr>
                <w:rStyle w:val="cl-7f30a2f2"/>
                <w:rFonts w:cstheme="majorHAnsi"/>
                <w:color w:val="000000"/>
              </w:rPr>
            </w:pPr>
            <w:r w:rsidRPr="00D452A9">
              <w:rPr>
                <w:rStyle w:val="cl-7f30a2f2"/>
                <w:rFonts w:cstheme="majorHAnsi"/>
                <w:color w:val="000000"/>
              </w:rPr>
              <w:t>10.4%</w:t>
            </w:r>
          </w:p>
        </w:tc>
      </w:tr>
      <w:tr w:rsidR="006509F1" w:rsidRPr="00D452A9" w14:paraId="16BF9B1F" w14:textId="77777777" w:rsidTr="001E08D4">
        <w:trPr>
          <w:trHeight w:val="284"/>
        </w:trPr>
        <w:tc>
          <w:tcPr>
            <w:tcW w:w="1620" w:type="dxa"/>
            <w:tcBorders>
              <w:top w:val="nil"/>
              <w:left w:val="nil"/>
              <w:bottom w:val="nil"/>
              <w:right w:val="nil"/>
            </w:tcBorders>
            <w:tcMar>
              <w:top w:w="29" w:type="dxa"/>
              <w:left w:w="115" w:type="dxa"/>
              <w:bottom w:w="29" w:type="dxa"/>
              <w:right w:w="115" w:type="dxa"/>
            </w:tcMar>
          </w:tcPr>
          <w:p w14:paraId="28A7CE59" w14:textId="2F9064F6" w:rsidR="00CC4D14" w:rsidRPr="00D452A9" w:rsidRDefault="00CC4D14" w:rsidP="00CC4D14">
            <w:pPr>
              <w:jc w:val="right"/>
              <w:rPr>
                <w:rStyle w:val="cl-7f30a2f2"/>
                <w:rFonts w:cstheme="majorHAnsi"/>
                <w:color w:val="000000"/>
              </w:rPr>
            </w:pPr>
            <w:r w:rsidRPr="00D452A9">
              <w:rPr>
                <w:rStyle w:val="cl-7f30a2f2"/>
                <w:rFonts w:cstheme="majorHAnsi"/>
                <w:color w:val="000000"/>
              </w:rPr>
              <w:t>35-44</w:t>
            </w:r>
          </w:p>
        </w:tc>
        <w:tc>
          <w:tcPr>
            <w:tcW w:w="1050" w:type="dxa"/>
            <w:tcBorders>
              <w:top w:val="nil"/>
              <w:left w:val="nil"/>
              <w:bottom w:val="nil"/>
              <w:right w:val="nil"/>
            </w:tcBorders>
            <w:tcMar>
              <w:top w:w="29" w:type="dxa"/>
              <w:left w:w="115" w:type="dxa"/>
              <w:bottom w:w="29" w:type="dxa"/>
              <w:right w:w="115" w:type="dxa"/>
            </w:tcMar>
          </w:tcPr>
          <w:p w14:paraId="48A3F769" w14:textId="361464DA" w:rsidR="00CC4D14" w:rsidRPr="00D452A9" w:rsidRDefault="00CC4D14" w:rsidP="00CC4D14">
            <w:pPr>
              <w:jc w:val="right"/>
              <w:rPr>
                <w:rStyle w:val="cl-7f30a2f2"/>
                <w:rFonts w:cstheme="majorHAnsi"/>
                <w:color w:val="000000"/>
              </w:rPr>
            </w:pPr>
            <w:r w:rsidRPr="00D452A9">
              <w:rPr>
                <w:rStyle w:val="cl-7f30a2f2"/>
                <w:rFonts w:cstheme="majorHAnsi"/>
                <w:color w:val="000000"/>
              </w:rPr>
              <w:t>42.0%</w:t>
            </w:r>
          </w:p>
        </w:tc>
        <w:tc>
          <w:tcPr>
            <w:tcW w:w="1512" w:type="dxa"/>
            <w:tcBorders>
              <w:top w:val="nil"/>
              <w:left w:val="nil"/>
              <w:bottom w:val="nil"/>
              <w:right w:val="nil"/>
            </w:tcBorders>
            <w:tcMar>
              <w:top w:w="29" w:type="dxa"/>
              <w:left w:w="115" w:type="dxa"/>
              <w:bottom w:w="29" w:type="dxa"/>
              <w:right w:w="115" w:type="dxa"/>
            </w:tcMar>
          </w:tcPr>
          <w:p w14:paraId="55575122" w14:textId="13C15551" w:rsidR="00CC4D14" w:rsidRPr="00D452A9" w:rsidRDefault="00D74307" w:rsidP="00CC4D14">
            <w:pPr>
              <w:jc w:val="right"/>
              <w:rPr>
                <w:rStyle w:val="cl-7f30a2f2"/>
                <w:rFonts w:cstheme="majorHAnsi"/>
                <w:color w:val="000000"/>
              </w:rPr>
            </w:pPr>
            <w:r>
              <w:rPr>
                <w:rStyle w:val="cl-7f30a2f2"/>
                <w:rFonts w:cstheme="majorHAnsi"/>
                <w:color w:val="000000"/>
              </w:rPr>
              <w:t>21.0%</w:t>
            </w:r>
          </w:p>
        </w:tc>
        <w:tc>
          <w:tcPr>
            <w:tcW w:w="1512" w:type="dxa"/>
            <w:tcBorders>
              <w:top w:val="nil"/>
              <w:left w:val="nil"/>
              <w:bottom w:val="nil"/>
              <w:right w:val="nil"/>
            </w:tcBorders>
            <w:tcMar>
              <w:top w:w="29" w:type="dxa"/>
              <w:left w:w="115" w:type="dxa"/>
              <w:bottom w:w="29" w:type="dxa"/>
              <w:right w:w="115" w:type="dxa"/>
            </w:tcMar>
          </w:tcPr>
          <w:p w14:paraId="11D064F7" w14:textId="65A4C596" w:rsidR="00CC4D14" w:rsidRPr="00D452A9" w:rsidRDefault="00CC4D14" w:rsidP="00CC4D14">
            <w:pPr>
              <w:jc w:val="right"/>
              <w:rPr>
                <w:rStyle w:val="cl-7f30a2f2"/>
                <w:rFonts w:cstheme="majorHAnsi"/>
                <w:color w:val="000000"/>
              </w:rPr>
            </w:pPr>
            <w:r w:rsidRPr="00D452A9">
              <w:rPr>
                <w:rStyle w:val="cl-7f30a2f2"/>
                <w:rFonts w:cstheme="majorHAnsi"/>
                <w:color w:val="000000"/>
              </w:rPr>
              <w:t>1</w:t>
            </w:r>
            <w:r w:rsidR="00D74307">
              <w:rPr>
                <w:rStyle w:val="cl-7f30a2f2"/>
                <w:rFonts w:cstheme="majorHAnsi"/>
                <w:color w:val="000000"/>
              </w:rPr>
              <w:t>8.0</w:t>
            </w:r>
            <w:r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02BE0285" w14:textId="211E2A45" w:rsidR="00CC4D14" w:rsidRPr="00D452A9" w:rsidRDefault="00CC4D14" w:rsidP="00CC4D14">
            <w:pPr>
              <w:jc w:val="right"/>
              <w:rPr>
                <w:rStyle w:val="cl-7f30a2f2"/>
                <w:rFonts w:cstheme="majorHAnsi"/>
                <w:color w:val="000000"/>
              </w:rPr>
            </w:pPr>
            <w:r w:rsidRPr="00D452A9">
              <w:rPr>
                <w:rStyle w:val="cl-7f30a2f2"/>
                <w:rFonts w:cstheme="majorHAnsi"/>
                <w:color w:val="000000"/>
              </w:rPr>
              <w:t>19.</w:t>
            </w:r>
            <w:r w:rsidR="00D74307">
              <w:rPr>
                <w:rStyle w:val="cl-7f30a2f2"/>
                <w:rFonts w:cstheme="majorHAnsi"/>
                <w:color w:val="000000"/>
              </w:rPr>
              <w:t>4</w:t>
            </w:r>
            <w:r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38F47F2C" w14:textId="3B4CFEFF" w:rsidR="00CC4D14" w:rsidRPr="00D452A9" w:rsidRDefault="00CC4D14" w:rsidP="00CC4D14">
            <w:pPr>
              <w:jc w:val="right"/>
              <w:rPr>
                <w:rStyle w:val="cl-7f30a2f2"/>
                <w:rFonts w:cstheme="majorHAnsi"/>
                <w:color w:val="000000"/>
              </w:rPr>
            </w:pPr>
            <w:r w:rsidRPr="00D452A9">
              <w:rPr>
                <w:rStyle w:val="cl-7f30a2f2"/>
                <w:rFonts w:cstheme="majorHAnsi"/>
                <w:color w:val="000000"/>
              </w:rPr>
              <w:t>19.5%</w:t>
            </w:r>
          </w:p>
        </w:tc>
      </w:tr>
      <w:tr w:rsidR="006509F1" w:rsidRPr="00D452A9" w14:paraId="230F8D9D" w14:textId="77777777" w:rsidTr="001E08D4">
        <w:trPr>
          <w:trHeight w:val="284"/>
        </w:trPr>
        <w:tc>
          <w:tcPr>
            <w:tcW w:w="1620" w:type="dxa"/>
            <w:tcBorders>
              <w:top w:val="nil"/>
              <w:left w:val="nil"/>
              <w:bottom w:val="nil"/>
              <w:right w:val="nil"/>
            </w:tcBorders>
            <w:tcMar>
              <w:top w:w="29" w:type="dxa"/>
              <w:left w:w="115" w:type="dxa"/>
              <w:bottom w:w="29" w:type="dxa"/>
              <w:right w:w="115" w:type="dxa"/>
            </w:tcMar>
          </w:tcPr>
          <w:p w14:paraId="570256F7" w14:textId="76840D4A" w:rsidR="00CC4D14" w:rsidRPr="00D452A9" w:rsidRDefault="00CC4D14" w:rsidP="00CC4D14">
            <w:pPr>
              <w:jc w:val="right"/>
              <w:rPr>
                <w:rStyle w:val="cl-7f30a2f2"/>
                <w:rFonts w:cstheme="majorHAnsi"/>
                <w:color w:val="000000"/>
              </w:rPr>
            </w:pPr>
            <w:r w:rsidRPr="00D452A9">
              <w:rPr>
                <w:rStyle w:val="cl-7f30a2f2"/>
                <w:rFonts w:cstheme="majorHAnsi"/>
                <w:color w:val="000000"/>
              </w:rPr>
              <w:t>45-54</w:t>
            </w:r>
          </w:p>
        </w:tc>
        <w:tc>
          <w:tcPr>
            <w:tcW w:w="1050" w:type="dxa"/>
            <w:tcBorders>
              <w:top w:val="nil"/>
              <w:left w:val="nil"/>
              <w:bottom w:val="nil"/>
              <w:right w:val="nil"/>
            </w:tcBorders>
            <w:tcMar>
              <w:top w:w="29" w:type="dxa"/>
              <w:left w:w="115" w:type="dxa"/>
              <w:bottom w:w="29" w:type="dxa"/>
              <w:right w:w="115" w:type="dxa"/>
            </w:tcMar>
          </w:tcPr>
          <w:p w14:paraId="0FCF15CE" w14:textId="4B1704A1" w:rsidR="00CC4D14" w:rsidRPr="00D452A9" w:rsidRDefault="00CC4D14" w:rsidP="00CC4D14">
            <w:pPr>
              <w:jc w:val="right"/>
              <w:rPr>
                <w:rStyle w:val="cl-7f30a2f2"/>
                <w:rFonts w:cstheme="majorHAnsi"/>
                <w:color w:val="000000"/>
              </w:rPr>
            </w:pPr>
            <w:r w:rsidRPr="00D452A9">
              <w:rPr>
                <w:rStyle w:val="cl-7f30a2f2"/>
                <w:rFonts w:cstheme="majorHAnsi"/>
                <w:color w:val="000000"/>
              </w:rPr>
              <w:t>12.2%</w:t>
            </w:r>
          </w:p>
        </w:tc>
        <w:tc>
          <w:tcPr>
            <w:tcW w:w="1512" w:type="dxa"/>
            <w:tcBorders>
              <w:top w:val="nil"/>
              <w:left w:val="nil"/>
              <w:bottom w:val="nil"/>
              <w:right w:val="nil"/>
            </w:tcBorders>
            <w:tcMar>
              <w:top w:w="29" w:type="dxa"/>
              <w:left w:w="115" w:type="dxa"/>
              <w:bottom w:w="29" w:type="dxa"/>
              <w:right w:w="115" w:type="dxa"/>
            </w:tcMar>
          </w:tcPr>
          <w:p w14:paraId="16842BAC" w14:textId="363D78F6" w:rsidR="00CC4D14" w:rsidRPr="00D452A9" w:rsidRDefault="00D74307" w:rsidP="00CC4D14">
            <w:pPr>
              <w:jc w:val="right"/>
              <w:rPr>
                <w:rStyle w:val="cl-7f30a2f2"/>
                <w:rFonts w:cstheme="majorHAnsi"/>
                <w:color w:val="000000"/>
              </w:rPr>
            </w:pPr>
            <w:r>
              <w:rPr>
                <w:rStyle w:val="cl-7f30a2f2"/>
                <w:rFonts w:cstheme="majorHAnsi"/>
                <w:color w:val="000000"/>
              </w:rPr>
              <w:t>23.0%</w:t>
            </w:r>
          </w:p>
        </w:tc>
        <w:tc>
          <w:tcPr>
            <w:tcW w:w="1512" w:type="dxa"/>
            <w:tcBorders>
              <w:top w:val="nil"/>
              <w:left w:val="nil"/>
              <w:bottom w:val="nil"/>
              <w:right w:val="nil"/>
            </w:tcBorders>
            <w:tcMar>
              <w:top w:w="29" w:type="dxa"/>
              <w:left w:w="115" w:type="dxa"/>
              <w:bottom w:w="29" w:type="dxa"/>
              <w:right w:w="115" w:type="dxa"/>
            </w:tcMar>
          </w:tcPr>
          <w:p w14:paraId="678C22EC" w14:textId="765CF50D" w:rsidR="00CC4D14" w:rsidRPr="00D452A9" w:rsidRDefault="00D74307" w:rsidP="00CC4D14">
            <w:pPr>
              <w:jc w:val="right"/>
              <w:rPr>
                <w:rStyle w:val="cl-7f30a2f2"/>
                <w:rFonts w:cstheme="majorHAnsi"/>
                <w:color w:val="000000"/>
              </w:rPr>
            </w:pPr>
            <w:r>
              <w:rPr>
                <w:rStyle w:val="cl-7f30a2f2"/>
                <w:rFonts w:cstheme="majorHAnsi"/>
                <w:color w:val="000000"/>
              </w:rPr>
              <w:t>29.8</w:t>
            </w:r>
            <w:r w:rsidR="00CC4D14"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0624B5D8" w14:textId="4669A7C7" w:rsidR="00CC4D14" w:rsidRPr="00D452A9" w:rsidRDefault="00CC4D14" w:rsidP="00CC4D14">
            <w:pPr>
              <w:jc w:val="right"/>
              <w:rPr>
                <w:rStyle w:val="cl-7f30a2f2"/>
                <w:rFonts w:cstheme="majorHAnsi"/>
                <w:color w:val="000000"/>
              </w:rPr>
            </w:pPr>
            <w:r w:rsidRPr="00D452A9">
              <w:rPr>
                <w:rStyle w:val="cl-7f30a2f2"/>
                <w:rFonts w:cstheme="majorHAnsi"/>
                <w:color w:val="000000"/>
              </w:rPr>
              <w:t>2</w:t>
            </w:r>
            <w:r w:rsidR="00D74307">
              <w:rPr>
                <w:rStyle w:val="cl-7f30a2f2"/>
                <w:rFonts w:cstheme="majorHAnsi"/>
                <w:color w:val="000000"/>
              </w:rPr>
              <w:t>7.1</w:t>
            </w:r>
            <w:r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20D19360" w14:textId="7B1F0B51" w:rsidR="00CC4D14" w:rsidRPr="00D452A9" w:rsidRDefault="00CC4D14" w:rsidP="00CC4D14">
            <w:pPr>
              <w:jc w:val="right"/>
              <w:rPr>
                <w:rStyle w:val="cl-7f30a2f2"/>
                <w:rFonts w:cstheme="majorHAnsi"/>
                <w:color w:val="000000"/>
              </w:rPr>
            </w:pPr>
            <w:r w:rsidRPr="00D452A9">
              <w:rPr>
                <w:rStyle w:val="cl-7f30a2f2"/>
                <w:rFonts w:cstheme="majorHAnsi"/>
                <w:color w:val="000000"/>
              </w:rPr>
              <w:t>26.8%</w:t>
            </w:r>
          </w:p>
        </w:tc>
      </w:tr>
      <w:tr w:rsidR="006509F1" w:rsidRPr="00D452A9" w14:paraId="2D955428" w14:textId="77777777" w:rsidTr="001E08D4">
        <w:trPr>
          <w:trHeight w:val="284"/>
        </w:trPr>
        <w:tc>
          <w:tcPr>
            <w:tcW w:w="1620" w:type="dxa"/>
            <w:tcBorders>
              <w:top w:val="nil"/>
              <w:left w:val="nil"/>
              <w:bottom w:val="nil"/>
              <w:right w:val="nil"/>
            </w:tcBorders>
            <w:tcMar>
              <w:top w:w="29" w:type="dxa"/>
              <w:left w:w="115" w:type="dxa"/>
              <w:bottom w:w="29" w:type="dxa"/>
              <w:right w:w="115" w:type="dxa"/>
            </w:tcMar>
          </w:tcPr>
          <w:p w14:paraId="26B87B4E" w14:textId="14CB339C" w:rsidR="00CC4D14" w:rsidRPr="00D452A9" w:rsidRDefault="00CC4D14" w:rsidP="00CC4D14">
            <w:pPr>
              <w:jc w:val="right"/>
              <w:rPr>
                <w:rStyle w:val="cl-7f30a2f2"/>
                <w:rFonts w:cstheme="majorHAnsi"/>
                <w:color w:val="000000"/>
              </w:rPr>
            </w:pPr>
            <w:r w:rsidRPr="00D452A9">
              <w:rPr>
                <w:rStyle w:val="cl-7f30a2f2"/>
                <w:rFonts w:cstheme="majorHAnsi"/>
                <w:color w:val="000000"/>
              </w:rPr>
              <w:t>55+</w:t>
            </w:r>
          </w:p>
        </w:tc>
        <w:tc>
          <w:tcPr>
            <w:tcW w:w="1050" w:type="dxa"/>
            <w:tcBorders>
              <w:top w:val="nil"/>
              <w:left w:val="nil"/>
              <w:bottom w:val="nil"/>
              <w:right w:val="nil"/>
            </w:tcBorders>
            <w:tcMar>
              <w:top w:w="29" w:type="dxa"/>
              <w:left w:w="115" w:type="dxa"/>
              <w:bottom w:w="29" w:type="dxa"/>
              <w:right w:w="115" w:type="dxa"/>
            </w:tcMar>
          </w:tcPr>
          <w:p w14:paraId="0E5F2CD1" w14:textId="157F53E4" w:rsidR="00CC4D14" w:rsidRPr="00D452A9" w:rsidRDefault="00CC4D14" w:rsidP="00CC4D14">
            <w:pPr>
              <w:jc w:val="right"/>
              <w:rPr>
                <w:rStyle w:val="cl-7f30a2f2"/>
                <w:rFonts w:cstheme="majorHAnsi"/>
                <w:color w:val="000000"/>
              </w:rPr>
            </w:pPr>
            <w:r w:rsidRPr="00D452A9">
              <w:rPr>
                <w:rStyle w:val="cl-7f30a2f2"/>
                <w:rFonts w:cstheme="majorHAnsi"/>
                <w:color w:val="000000"/>
              </w:rPr>
              <w:t>2.6%</w:t>
            </w:r>
          </w:p>
        </w:tc>
        <w:tc>
          <w:tcPr>
            <w:tcW w:w="1512" w:type="dxa"/>
            <w:tcBorders>
              <w:top w:val="nil"/>
              <w:left w:val="nil"/>
              <w:bottom w:val="nil"/>
              <w:right w:val="nil"/>
            </w:tcBorders>
            <w:tcMar>
              <w:top w:w="29" w:type="dxa"/>
              <w:left w:w="115" w:type="dxa"/>
              <w:bottom w:w="29" w:type="dxa"/>
              <w:right w:w="115" w:type="dxa"/>
            </w:tcMar>
          </w:tcPr>
          <w:p w14:paraId="7446FA5B" w14:textId="7C590ED9" w:rsidR="00CC4D14" w:rsidRPr="00D452A9" w:rsidRDefault="00D74307" w:rsidP="00CC4D14">
            <w:pPr>
              <w:jc w:val="right"/>
              <w:rPr>
                <w:rStyle w:val="cl-7f30a2f2"/>
                <w:rFonts w:cstheme="majorHAnsi"/>
                <w:color w:val="000000"/>
              </w:rPr>
            </w:pPr>
            <w:r>
              <w:rPr>
                <w:rStyle w:val="cl-7f30a2f2"/>
                <w:rFonts w:cstheme="majorHAnsi"/>
                <w:color w:val="000000"/>
              </w:rPr>
              <w:t>44.5%</w:t>
            </w:r>
          </w:p>
        </w:tc>
        <w:tc>
          <w:tcPr>
            <w:tcW w:w="1512" w:type="dxa"/>
            <w:tcBorders>
              <w:top w:val="nil"/>
              <w:left w:val="nil"/>
              <w:bottom w:val="nil"/>
              <w:right w:val="nil"/>
            </w:tcBorders>
            <w:tcMar>
              <w:top w:w="29" w:type="dxa"/>
              <w:left w:w="115" w:type="dxa"/>
              <w:bottom w:w="29" w:type="dxa"/>
              <w:right w:w="115" w:type="dxa"/>
            </w:tcMar>
          </w:tcPr>
          <w:p w14:paraId="61FF6A3F" w14:textId="0319D4D5" w:rsidR="00CC4D14" w:rsidRPr="00D452A9" w:rsidRDefault="00CC4D14" w:rsidP="00CC4D14">
            <w:pPr>
              <w:jc w:val="right"/>
              <w:rPr>
                <w:rStyle w:val="cl-7f30a2f2"/>
                <w:rFonts w:cstheme="majorHAnsi"/>
                <w:color w:val="000000"/>
              </w:rPr>
            </w:pPr>
            <w:r w:rsidRPr="00D452A9">
              <w:rPr>
                <w:rStyle w:val="cl-7f30a2f2"/>
                <w:rFonts w:cstheme="majorHAnsi"/>
                <w:color w:val="000000"/>
              </w:rPr>
              <w:t>41.</w:t>
            </w:r>
            <w:r w:rsidR="00D74307">
              <w:rPr>
                <w:rStyle w:val="cl-7f30a2f2"/>
                <w:rFonts w:cstheme="majorHAnsi"/>
                <w:color w:val="000000"/>
              </w:rPr>
              <w:t>6</w:t>
            </w:r>
            <w:r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1E9BD006" w14:textId="0E502E63" w:rsidR="00CC4D14" w:rsidRPr="00D452A9" w:rsidRDefault="00CC4D14" w:rsidP="00CC4D14">
            <w:pPr>
              <w:jc w:val="right"/>
              <w:rPr>
                <w:rStyle w:val="cl-7f30a2f2"/>
                <w:rFonts w:cstheme="majorHAnsi"/>
                <w:color w:val="000000"/>
              </w:rPr>
            </w:pPr>
            <w:r w:rsidRPr="00D452A9">
              <w:rPr>
                <w:rStyle w:val="cl-7f30a2f2"/>
                <w:rFonts w:cstheme="majorHAnsi"/>
                <w:color w:val="000000"/>
              </w:rPr>
              <w:t>40.</w:t>
            </w:r>
            <w:r w:rsidR="00D74307">
              <w:rPr>
                <w:rStyle w:val="cl-7f30a2f2"/>
                <w:rFonts w:cstheme="majorHAnsi"/>
                <w:color w:val="000000"/>
              </w:rPr>
              <w:t>9</w:t>
            </w:r>
            <w:r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392DD01A" w14:textId="76DDEFED" w:rsidR="00CC4D14" w:rsidRPr="00D452A9" w:rsidRDefault="00CC4D14" w:rsidP="00CC4D14">
            <w:pPr>
              <w:jc w:val="right"/>
              <w:rPr>
                <w:rStyle w:val="cl-7f30a2f2"/>
                <w:rFonts w:cstheme="majorHAnsi"/>
                <w:color w:val="000000"/>
              </w:rPr>
            </w:pPr>
            <w:r w:rsidRPr="00D452A9">
              <w:rPr>
                <w:rStyle w:val="cl-7f30a2f2"/>
                <w:rFonts w:cstheme="majorHAnsi"/>
                <w:color w:val="000000"/>
              </w:rPr>
              <w:t>41.1%</w:t>
            </w:r>
          </w:p>
        </w:tc>
      </w:tr>
      <w:tr w:rsidR="006509F1" w:rsidRPr="00D452A9" w14:paraId="0895A7CA" w14:textId="77777777" w:rsidTr="001E08D4">
        <w:trPr>
          <w:trHeight w:val="284"/>
        </w:trPr>
        <w:tc>
          <w:tcPr>
            <w:tcW w:w="1620" w:type="dxa"/>
            <w:tcBorders>
              <w:top w:val="nil"/>
              <w:left w:val="nil"/>
              <w:bottom w:val="nil"/>
              <w:right w:val="nil"/>
            </w:tcBorders>
            <w:tcMar>
              <w:top w:w="29" w:type="dxa"/>
              <w:left w:w="115" w:type="dxa"/>
              <w:bottom w:w="29" w:type="dxa"/>
              <w:right w:w="115" w:type="dxa"/>
            </w:tcMar>
          </w:tcPr>
          <w:p w14:paraId="241EB8B4" w14:textId="436C7D3F" w:rsidR="00CC4D14" w:rsidRPr="00D452A9" w:rsidRDefault="00CC4D14" w:rsidP="00CC4D14">
            <w:pPr>
              <w:rPr>
                <w:rStyle w:val="cl-7f30a2f2"/>
                <w:rFonts w:cstheme="majorHAnsi"/>
                <w:color w:val="000000"/>
              </w:rPr>
            </w:pPr>
            <w:r w:rsidRPr="00D452A9">
              <w:rPr>
                <w:rStyle w:val="cl-7f30a2f2"/>
                <w:rFonts w:cstheme="majorHAnsi"/>
                <w:color w:val="000000"/>
              </w:rPr>
              <w:t>Race</w:t>
            </w:r>
          </w:p>
        </w:tc>
        <w:tc>
          <w:tcPr>
            <w:tcW w:w="1050" w:type="dxa"/>
            <w:tcBorders>
              <w:top w:val="nil"/>
              <w:left w:val="nil"/>
              <w:bottom w:val="nil"/>
              <w:right w:val="nil"/>
            </w:tcBorders>
            <w:tcMar>
              <w:top w:w="29" w:type="dxa"/>
              <w:left w:w="115" w:type="dxa"/>
              <w:bottom w:w="29" w:type="dxa"/>
              <w:right w:w="115" w:type="dxa"/>
            </w:tcMar>
          </w:tcPr>
          <w:p w14:paraId="49A09A1C" w14:textId="77777777" w:rsidR="00CC4D14" w:rsidRPr="00D452A9" w:rsidRDefault="00CC4D14" w:rsidP="00CC4D14">
            <w:pPr>
              <w:jc w:val="right"/>
              <w:rPr>
                <w:rStyle w:val="cl-7f30a2f2"/>
                <w:rFonts w:cstheme="majorHAnsi"/>
                <w:color w:val="000000"/>
              </w:rPr>
            </w:pPr>
          </w:p>
        </w:tc>
        <w:tc>
          <w:tcPr>
            <w:tcW w:w="1512" w:type="dxa"/>
            <w:tcBorders>
              <w:top w:val="nil"/>
              <w:left w:val="nil"/>
              <w:bottom w:val="nil"/>
              <w:right w:val="nil"/>
            </w:tcBorders>
            <w:tcMar>
              <w:top w:w="29" w:type="dxa"/>
              <w:left w:w="115" w:type="dxa"/>
              <w:bottom w:w="29" w:type="dxa"/>
              <w:right w:w="115" w:type="dxa"/>
            </w:tcMar>
          </w:tcPr>
          <w:p w14:paraId="3144F5A8" w14:textId="77777777" w:rsidR="00CC4D14" w:rsidRPr="00D452A9" w:rsidRDefault="00CC4D14" w:rsidP="00CC4D14">
            <w:pPr>
              <w:jc w:val="right"/>
              <w:rPr>
                <w:rStyle w:val="cl-7f30a2f2"/>
                <w:rFonts w:cstheme="majorHAnsi"/>
                <w:color w:val="000000"/>
              </w:rPr>
            </w:pPr>
          </w:p>
        </w:tc>
        <w:tc>
          <w:tcPr>
            <w:tcW w:w="1512" w:type="dxa"/>
            <w:tcBorders>
              <w:top w:val="nil"/>
              <w:left w:val="nil"/>
              <w:bottom w:val="nil"/>
              <w:right w:val="nil"/>
            </w:tcBorders>
            <w:tcMar>
              <w:top w:w="29" w:type="dxa"/>
              <w:left w:w="115" w:type="dxa"/>
              <w:bottom w:w="29" w:type="dxa"/>
              <w:right w:w="115" w:type="dxa"/>
            </w:tcMar>
          </w:tcPr>
          <w:p w14:paraId="3D910938" w14:textId="77777777" w:rsidR="00CC4D14" w:rsidRPr="00D452A9" w:rsidRDefault="00CC4D14" w:rsidP="00CC4D14">
            <w:pPr>
              <w:jc w:val="right"/>
              <w:rPr>
                <w:rStyle w:val="cl-7f30a2f2"/>
                <w:rFonts w:cstheme="majorHAnsi"/>
                <w:color w:val="000000"/>
              </w:rPr>
            </w:pPr>
          </w:p>
        </w:tc>
        <w:tc>
          <w:tcPr>
            <w:tcW w:w="1512" w:type="dxa"/>
            <w:tcBorders>
              <w:top w:val="nil"/>
              <w:left w:val="nil"/>
              <w:bottom w:val="nil"/>
              <w:right w:val="nil"/>
            </w:tcBorders>
            <w:tcMar>
              <w:top w:w="29" w:type="dxa"/>
              <w:left w:w="115" w:type="dxa"/>
              <w:bottom w:w="29" w:type="dxa"/>
              <w:right w:w="115" w:type="dxa"/>
            </w:tcMar>
          </w:tcPr>
          <w:p w14:paraId="001B855C" w14:textId="77777777" w:rsidR="00CC4D14" w:rsidRPr="00D452A9" w:rsidRDefault="00CC4D14" w:rsidP="00CC4D14">
            <w:pPr>
              <w:jc w:val="right"/>
              <w:rPr>
                <w:rStyle w:val="cl-7f30a2f2"/>
                <w:rFonts w:cstheme="majorHAnsi"/>
                <w:color w:val="000000"/>
              </w:rPr>
            </w:pPr>
          </w:p>
        </w:tc>
        <w:tc>
          <w:tcPr>
            <w:tcW w:w="1512" w:type="dxa"/>
            <w:tcBorders>
              <w:top w:val="nil"/>
              <w:left w:val="nil"/>
              <w:bottom w:val="nil"/>
              <w:right w:val="nil"/>
            </w:tcBorders>
            <w:tcMar>
              <w:top w:w="29" w:type="dxa"/>
              <w:left w:w="115" w:type="dxa"/>
              <w:bottom w:w="29" w:type="dxa"/>
              <w:right w:w="115" w:type="dxa"/>
            </w:tcMar>
          </w:tcPr>
          <w:p w14:paraId="04533E9C" w14:textId="77777777" w:rsidR="00CC4D14" w:rsidRPr="00D452A9" w:rsidRDefault="00CC4D14" w:rsidP="00CC4D14">
            <w:pPr>
              <w:jc w:val="right"/>
              <w:rPr>
                <w:rStyle w:val="cl-7f30a2f2"/>
                <w:rFonts w:cstheme="majorHAnsi"/>
                <w:color w:val="000000"/>
              </w:rPr>
            </w:pPr>
          </w:p>
        </w:tc>
      </w:tr>
      <w:tr w:rsidR="006509F1" w:rsidRPr="00D452A9" w14:paraId="4821B245" w14:textId="77777777" w:rsidTr="001E08D4">
        <w:trPr>
          <w:trHeight w:val="284"/>
        </w:trPr>
        <w:tc>
          <w:tcPr>
            <w:tcW w:w="1620" w:type="dxa"/>
            <w:tcBorders>
              <w:top w:val="nil"/>
              <w:left w:val="nil"/>
              <w:bottom w:val="nil"/>
              <w:right w:val="nil"/>
            </w:tcBorders>
            <w:tcMar>
              <w:top w:w="29" w:type="dxa"/>
              <w:left w:w="115" w:type="dxa"/>
              <w:bottom w:w="29" w:type="dxa"/>
              <w:right w:w="115" w:type="dxa"/>
            </w:tcMar>
          </w:tcPr>
          <w:p w14:paraId="70529DF0" w14:textId="2A3DE00B" w:rsidR="00CC4D14" w:rsidRPr="00D452A9" w:rsidRDefault="00CC4D14" w:rsidP="00CC4D14">
            <w:pPr>
              <w:jc w:val="right"/>
              <w:rPr>
                <w:rStyle w:val="cl-7f30a2f2"/>
                <w:rFonts w:cstheme="majorHAnsi"/>
                <w:color w:val="000000"/>
              </w:rPr>
            </w:pPr>
            <w:r w:rsidRPr="00D452A9">
              <w:rPr>
                <w:rStyle w:val="cl-7f30a2f2"/>
                <w:rFonts w:cstheme="majorHAnsi"/>
                <w:color w:val="000000"/>
              </w:rPr>
              <w:t>Black</w:t>
            </w:r>
          </w:p>
        </w:tc>
        <w:tc>
          <w:tcPr>
            <w:tcW w:w="1050" w:type="dxa"/>
            <w:tcBorders>
              <w:top w:val="nil"/>
              <w:left w:val="nil"/>
              <w:bottom w:val="nil"/>
              <w:right w:val="nil"/>
            </w:tcBorders>
            <w:tcMar>
              <w:top w:w="29" w:type="dxa"/>
              <w:left w:w="115" w:type="dxa"/>
              <w:bottom w:w="29" w:type="dxa"/>
              <w:right w:w="115" w:type="dxa"/>
            </w:tcMar>
          </w:tcPr>
          <w:p w14:paraId="2C81EAD0" w14:textId="7037F227" w:rsidR="00CC4D14" w:rsidRPr="00D452A9" w:rsidRDefault="00CC4D14" w:rsidP="00CC4D14">
            <w:pPr>
              <w:jc w:val="right"/>
              <w:rPr>
                <w:rStyle w:val="cl-7f30a2f2"/>
                <w:rFonts w:cstheme="majorHAnsi"/>
                <w:color w:val="000000"/>
              </w:rPr>
            </w:pPr>
            <w:r w:rsidRPr="00D452A9">
              <w:rPr>
                <w:rStyle w:val="cl-7f30a2f2"/>
                <w:rFonts w:cstheme="majorHAnsi"/>
                <w:color w:val="000000"/>
              </w:rPr>
              <w:t>57.7%</w:t>
            </w:r>
          </w:p>
        </w:tc>
        <w:tc>
          <w:tcPr>
            <w:tcW w:w="1512" w:type="dxa"/>
            <w:tcBorders>
              <w:top w:val="nil"/>
              <w:left w:val="nil"/>
              <w:bottom w:val="nil"/>
              <w:right w:val="nil"/>
            </w:tcBorders>
            <w:tcMar>
              <w:top w:w="29" w:type="dxa"/>
              <w:left w:w="115" w:type="dxa"/>
              <w:bottom w:w="29" w:type="dxa"/>
              <w:right w:w="115" w:type="dxa"/>
            </w:tcMar>
          </w:tcPr>
          <w:p w14:paraId="0F19F353" w14:textId="32384B67" w:rsidR="00CC4D14" w:rsidRPr="00D452A9" w:rsidRDefault="00D74307" w:rsidP="00CC4D14">
            <w:pPr>
              <w:jc w:val="right"/>
              <w:rPr>
                <w:rStyle w:val="cl-7f30a2f2"/>
                <w:rFonts w:cstheme="majorHAnsi"/>
                <w:color w:val="000000"/>
              </w:rPr>
            </w:pPr>
            <w:r>
              <w:rPr>
                <w:rStyle w:val="cl-7f30a2f2"/>
                <w:rFonts w:cstheme="majorHAnsi"/>
                <w:color w:val="000000"/>
              </w:rPr>
              <w:t>58.0%</w:t>
            </w:r>
          </w:p>
        </w:tc>
        <w:tc>
          <w:tcPr>
            <w:tcW w:w="1512" w:type="dxa"/>
            <w:tcBorders>
              <w:top w:val="nil"/>
              <w:left w:val="nil"/>
              <w:bottom w:val="nil"/>
              <w:right w:val="nil"/>
            </w:tcBorders>
            <w:tcMar>
              <w:top w:w="29" w:type="dxa"/>
              <w:left w:w="115" w:type="dxa"/>
              <w:bottom w:w="29" w:type="dxa"/>
              <w:right w:w="115" w:type="dxa"/>
            </w:tcMar>
          </w:tcPr>
          <w:p w14:paraId="71986EBF" w14:textId="4434227C" w:rsidR="00CC4D14" w:rsidRPr="00D452A9" w:rsidRDefault="00CC4D14" w:rsidP="00CC4D14">
            <w:pPr>
              <w:jc w:val="right"/>
              <w:rPr>
                <w:rStyle w:val="cl-7f30a2f2"/>
                <w:rFonts w:cstheme="majorHAnsi"/>
                <w:color w:val="000000"/>
              </w:rPr>
            </w:pPr>
            <w:r w:rsidRPr="00D452A9">
              <w:rPr>
                <w:rStyle w:val="cl-7f30a2f2"/>
                <w:rFonts w:cstheme="majorHAnsi"/>
                <w:color w:val="000000"/>
              </w:rPr>
              <w:t>5</w:t>
            </w:r>
            <w:r w:rsidR="00D74307">
              <w:rPr>
                <w:rStyle w:val="cl-7f30a2f2"/>
                <w:rFonts w:cstheme="majorHAnsi"/>
                <w:color w:val="000000"/>
              </w:rPr>
              <w:t>5.3</w:t>
            </w:r>
            <w:r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7FDD8D0B" w14:textId="0FCA49B0" w:rsidR="00CC4D14" w:rsidRPr="00D452A9" w:rsidRDefault="00CC4D14" w:rsidP="00CC4D14">
            <w:pPr>
              <w:jc w:val="right"/>
              <w:rPr>
                <w:rStyle w:val="cl-7f30a2f2"/>
                <w:rFonts w:cstheme="majorHAnsi"/>
                <w:color w:val="000000"/>
              </w:rPr>
            </w:pPr>
            <w:r w:rsidRPr="00D452A9">
              <w:rPr>
                <w:rStyle w:val="cl-7f30a2f2"/>
                <w:rFonts w:cstheme="majorHAnsi"/>
                <w:color w:val="000000"/>
              </w:rPr>
              <w:t>5</w:t>
            </w:r>
            <w:r w:rsidR="00D74307">
              <w:rPr>
                <w:rStyle w:val="cl-7f30a2f2"/>
                <w:rFonts w:cstheme="majorHAnsi"/>
                <w:color w:val="000000"/>
              </w:rPr>
              <w:t>8.5</w:t>
            </w:r>
            <w:r w:rsidRPr="00D452A9">
              <w:rPr>
                <w:rStyle w:val="cl-7f30a2f2"/>
                <w:rFonts w:cstheme="majorHAnsi"/>
                <w:color w:val="000000"/>
              </w:rPr>
              <w:t>%</w:t>
            </w:r>
          </w:p>
        </w:tc>
        <w:tc>
          <w:tcPr>
            <w:tcW w:w="1512" w:type="dxa"/>
            <w:tcBorders>
              <w:top w:val="nil"/>
              <w:left w:val="nil"/>
              <w:bottom w:val="nil"/>
              <w:right w:val="nil"/>
            </w:tcBorders>
            <w:tcMar>
              <w:top w:w="29" w:type="dxa"/>
              <w:left w:w="115" w:type="dxa"/>
              <w:bottom w:w="29" w:type="dxa"/>
              <w:right w:w="115" w:type="dxa"/>
            </w:tcMar>
          </w:tcPr>
          <w:p w14:paraId="459033D8" w14:textId="2CFB829E" w:rsidR="00CC4D14" w:rsidRPr="00D452A9" w:rsidRDefault="00CC4D14" w:rsidP="00CC4D14">
            <w:pPr>
              <w:jc w:val="right"/>
              <w:rPr>
                <w:rStyle w:val="cl-7f30a2f2"/>
                <w:rFonts w:cstheme="majorHAnsi"/>
                <w:color w:val="000000"/>
              </w:rPr>
            </w:pPr>
            <w:r w:rsidRPr="00D452A9">
              <w:rPr>
                <w:rStyle w:val="cl-7f30a2f2"/>
                <w:rFonts w:cstheme="majorHAnsi"/>
                <w:color w:val="000000"/>
              </w:rPr>
              <w:t>57.9%</w:t>
            </w:r>
          </w:p>
        </w:tc>
      </w:tr>
      <w:tr w:rsidR="006509F1" w:rsidRPr="00D452A9" w14:paraId="1B023101" w14:textId="77777777" w:rsidTr="001E08D4">
        <w:trPr>
          <w:trHeight w:val="270"/>
        </w:trPr>
        <w:tc>
          <w:tcPr>
            <w:tcW w:w="1620" w:type="dxa"/>
            <w:tcBorders>
              <w:top w:val="nil"/>
              <w:left w:val="nil"/>
              <w:bottom w:val="single" w:sz="4" w:space="0" w:color="auto"/>
              <w:right w:val="nil"/>
            </w:tcBorders>
            <w:tcMar>
              <w:top w:w="29" w:type="dxa"/>
              <w:left w:w="115" w:type="dxa"/>
              <w:bottom w:w="29" w:type="dxa"/>
              <w:right w:w="115" w:type="dxa"/>
            </w:tcMar>
          </w:tcPr>
          <w:p w14:paraId="2E054998" w14:textId="55C94887" w:rsidR="00CC4D14" w:rsidRPr="00D452A9" w:rsidRDefault="00CC4D14" w:rsidP="00CC4D14">
            <w:pPr>
              <w:jc w:val="right"/>
              <w:rPr>
                <w:rStyle w:val="cl-7f30a2f2"/>
                <w:rFonts w:cstheme="majorHAnsi"/>
                <w:color w:val="000000"/>
              </w:rPr>
            </w:pPr>
            <w:r w:rsidRPr="00D452A9">
              <w:rPr>
                <w:rStyle w:val="cl-7f30a2f2"/>
                <w:rFonts w:cstheme="majorHAnsi"/>
                <w:color w:val="000000"/>
              </w:rPr>
              <w:t>non-Black</w:t>
            </w:r>
          </w:p>
        </w:tc>
        <w:tc>
          <w:tcPr>
            <w:tcW w:w="1050" w:type="dxa"/>
            <w:tcBorders>
              <w:top w:val="nil"/>
              <w:left w:val="nil"/>
              <w:bottom w:val="single" w:sz="4" w:space="0" w:color="auto"/>
              <w:right w:val="nil"/>
            </w:tcBorders>
            <w:tcMar>
              <w:top w:w="29" w:type="dxa"/>
              <w:left w:w="115" w:type="dxa"/>
              <w:bottom w:w="29" w:type="dxa"/>
              <w:right w:w="115" w:type="dxa"/>
            </w:tcMar>
          </w:tcPr>
          <w:p w14:paraId="1BE507A4" w14:textId="45500967" w:rsidR="00CC4D14" w:rsidRPr="00D452A9" w:rsidRDefault="00CC4D14" w:rsidP="00CC4D14">
            <w:pPr>
              <w:jc w:val="right"/>
              <w:rPr>
                <w:rStyle w:val="cl-7f30a2f2"/>
                <w:rFonts w:cstheme="majorHAnsi"/>
                <w:color w:val="000000"/>
              </w:rPr>
            </w:pPr>
            <w:r w:rsidRPr="00D452A9">
              <w:rPr>
                <w:rStyle w:val="cl-7f30a2f2"/>
                <w:rFonts w:cstheme="majorHAnsi"/>
                <w:color w:val="000000"/>
              </w:rPr>
              <w:t>42.3%</w:t>
            </w:r>
          </w:p>
        </w:tc>
        <w:tc>
          <w:tcPr>
            <w:tcW w:w="1512" w:type="dxa"/>
            <w:tcBorders>
              <w:top w:val="nil"/>
              <w:left w:val="nil"/>
              <w:bottom w:val="single" w:sz="4" w:space="0" w:color="auto"/>
              <w:right w:val="nil"/>
            </w:tcBorders>
            <w:tcMar>
              <w:top w:w="29" w:type="dxa"/>
              <w:left w:w="115" w:type="dxa"/>
              <w:bottom w:w="29" w:type="dxa"/>
              <w:right w:w="115" w:type="dxa"/>
            </w:tcMar>
          </w:tcPr>
          <w:p w14:paraId="3C62D3A1" w14:textId="037811DE" w:rsidR="00CC4D14" w:rsidRPr="00D452A9" w:rsidRDefault="00D74307" w:rsidP="00CC4D14">
            <w:pPr>
              <w:jc w:val="right"/>
              <w:rPr>
                <w:rStyle w:val="cl-7f30a2f2"/>
                <w:rFonts w:cstheme="majorHAnsi"/>
                <w:color w:val="000000"/>
              </w:rPr>
            </w:pPr>
            <w:r>
              <w:rPr>
                <w:rStyle w:val="cl-7f30a2f2"/>
                <w:rFonts w:cstheme="majorHAnsi"/>
                <w:color w:val="000000"/>
              </w:rPr>
              <w:t>42.0%</w:t>
            </w:r>
          </w:p>
        </w:tc>
        <w:tc>
          <w:tcPr>
            <w:tcW w:w="1512" w:type="dxa"/>
            <w:tcBorders>
              <w:top w:val="nil"/>
              <w:left w:val="nil"/>
              <w:bottom w:val="single" w:sz="4" w:space="0" w:color="auto"/>
              <w:right w:val="nil"/>
            </w:tcBorders>
            <w:tcMar>
              <w:top w:w="29" w:type="dxa"/>
              <w:left w:w="115" w:type="dxa"/>
              <w:bottom w:w="29" w:type="dxa"/>
              <w:right w:w="115" w:type="dxa"/>
            </w:tcMar>
          </w:tcPr>
          <w:p w14:paraId="365D920B" w14:textId="7AF7A951" w:rsidR="00CC4D14" w:rsidRPr="00D452A9" w:rsidRDefault="00CC4D14" w:rsidP="00CC4D14">
            <w:pPr>
              <w:jc w:val="right"/>
              <w:rPr>
                <w:rStyle w:val="cl-7f30a2f2"/>
                <w:rFonts w:cstheme="majorHAnsi"/>
                <w:color w:val="000000"/>
              </w:rPr>
            </w:pPr>
            <w:r w:rsidRPr="00D452A9">
              <w:rPr>
                <w:rStyle w:val="cl-7f30a2f2"/>
                <w:rFonts w:cstheme="majorHAnsi"/>
                <w:color w:val="000000"/>
              </w:rPr>
              <w:t>4</w:t>
            </w:r>
            <w:r w:rsidR="00D74307">
              <w:rPr>
                <w:rStyle w:val="cl-7f30a2f2"/>
                <w:rFonts w:cstheme="majorHAnsi"/>
                <w:color w:val="000000"/>
              </w:rPr>
              <w:t>4.7</w:t>
            </w:r>
            <w:r w:rsidRPr="00D452A9">
              <w:rPr>
                <w:rStyle w:val="cl-7f30a2f2"/>
                <w:rFonts w:cstheme="majorHAnsi"/>
                <w:color w:val="000000"/>
              </w:rPr>
              <w:t>%</w:t>
            </w:r>
          </w:p>
        </w:tc>
        <w:tc>
          <w:tcPr>
            <w:tcW w:w="1512" w:type="dxa"/>
            <w:tcBorders>
              <w:top w:val="nil"/>
              <w:left w:val="nil"/>
              <w:bottom w:val="single" w:sz="4" w:space="0" w:color="auto"/>
              <w:right w:val="nil"/>
            </w:tcBorders>
            <w:tcMar>
              <w:top w:w="29" w:type="dxa"/>
              <w:left w:w="115" w:type="dxa"/>
              <w:bottom w:w="29" w:type="dxa"/>
              <w:right w:w="115" w:type="dxa"/>
            </w:tcMar>
          </w:tcPr>
          <w:p w14:paraId="3EB87F92" w14:textId="1AE963AF" w:rsidR="00CC4D14" w:rsidRPr="00D452A9" w:rsidRDefault="00CC4D14" w:rsidP="00CC4D14">
            <w:pPr>
              <w:jc w:val="right"/>
              <w:rPr>
                <w:rStyle w:val="cl-7f30a2f2"/>
                <w:rFonts w:cstheme="majorHAnsi"/>
                <w:color w:val="000000"/>
              </w:rPr>
            </w:pPr>
            <w:r w:rsidRPr="00D452A9">
              <w:rPr>
                <w:rStyle w:val="cl-7f30a2f2"/>
                <w:rFonts w:cstheme="majorHAnsi"/>
                <w:color w:val="000000"/>
              </w:rPr>
              <w:t>4</w:t>
            </w:r>
            <w:r w:rsidR="00D74307">
              <w:rPr>
                <w:rStyle w:val="cl-7f30a2f2"/>
                <w:rFonts w:cstheme="majorHAnsi"/>
                <w:color w:val="000000"/>
              </w:rPr>
              <w:t>1</w:t>
            </w:r>
            <w:r w:rsidRPr="00D452A9">
              <w:rPr>
                <w:rStyle w:val="cl-7f30a2f2"/>
                <w:rFonts w:cstheme="majorHAnsi"/>
                <w:color w:val="000000"/>
              </w:rPr>
              <w:t>.</w:t>
            </w:r>
            <w:r w:rsidR="00D74307">
              <w:rPr>
                <w:rStyle w:val="cl-7f30a2f2"/>
                <w:rFonts w:cstheme="majorHAnsi"/>
                <w:color w:val="000000"/>
              </w:rPr>
              <w:t>5</w:t>
            </w:r>
            <w:r w:rsidRPr="00D452A9">
              <w:rPr>
                <w:rStyle w:val="cl-7f30a2f2"/>
                <w:rFonts w:cstheme="majorHAnsi"/>
                <w:color w:val="000000"/>
              </w:rPr>
              <w:t>%</w:t>
            </w:r>
          </w:p>
        </w:tc>
        <w:tc>
          <w:tcPr>
            <w:tcW w:w="1512" w:type="dxa"/>
            <w:tcBorders>
              <w:top w:val="nil"/>
              <w:left w:val="nil"/>
              <w:bottom w:val="single" w:sz="4" w:space="0" w:color="auto"/>
              <w:right w:val="nil"/>
            </w:tcBorders>
            <w:tcMar>
              <w:top w:w="29" w:type="dxa"/>
              <w:left w:w="115" w:type="dxa"/>
              <w:bottom w:w="29" w:type="dxa"/>
              <w:right w:w="115" w:type="dxa"/>
            </w:tcMar>
          </w:tcPr>
          <w:p w14:paraId="537718E0" w14:textId="6225AF57" w:rsidR="00CC4D14" w:rsidRPr="00D452A9" w:rsidRDefault="00CC4D14" w:rsidP="00CC4D14">
            <w:pPr>
              <w:jc w:val="right"/>
              <w:rPr>
                <w:rStyle w:val="cl-7f30a2f2"/>
                <w:rFonts w:cstheme="majorHAnsi"/>
                <w:color w:val="000000"/>
              </w:rPr>
            </w:pPr>
            <w:r w:rsidRPr="00D452A9">
              <w:rPr>
                <w:rStyle w:val="cl-7f30a2f2"/>
                <w:rFonts w:cstheme="majorHAnsi"/>
                <w:color w:val="000000"/>
              </w:rPr>
              <w:t>42.1%</w:t>
            </w:r>
          </w:p>
        </w:tc>
      </w:tr>
    </w:tbl>
    <w:p w14:paraId="4BB16C58" w14:textId="77777777" w:rsidR="002A2753" w:rsidRPr="00D452A9" w:rsidRDefault="002A2753" w:rsidP="006E777A">
      <w:pPr>
        <w:pStyle w:val="Caption"/>
        <w:keepNext/>
        <w:rPr>
          <w:rFonts w:cstheme="majorHAnsi"/>
        </w:rPr>
      </w:pPr>
    </w:p>
    <w:p w14:paraId="6BF082DB" w14:textId="77777777" w:rsidR="002A2753" w:rsidRPr="00D452A9" w:rsidRDefault="002A2753" w:rsidP="006E777A">
      <w:pPr>
        <w:pStyle w:val="Caption"/>
        <w:keepNext/>
        <w:rPr>
          <w:rFonts w:cstheme="majorHAnsi"/>
        </w:rPr>
      </w:pPr>
    </w:p>
    <w:p w14:paraId="4683B714" w14:textId="0D98E0F1" w:rsidR="00567500" w:rsidRPr="00D452A9" w:rsidRDefault="00567500">
      <w:pPr>
        <w:rPr>
          <w:rFonts w:cstheme="majorHAnsi"/>
        </w:rPr>
      </w:pPr>
    </w:p>
    <w:p w14:paraId="3CFA355F" w14:textId="77777777" w:rsidR="00567500" w:rsidRPr="00D452A9" w:rsidRDefault="00567500">
      <w:pPr>
        <w:rPr>
          <w:rFonts w:cstheme="majorHAnsi"/>
        </w:rPr>
      </w:pPr>
      <w:r w:rsidRPr="00D452A9">
        <w:rPr>
          <w:rFonts w:cstheme="majorHAnsi"/>
        </w:rPr>
        <w:br w:type="page"/>
      </w:r>
    </w:p>
    <w:p w14:paraId="4A788BD2" w14:textId="77777777" w:rsidR="00241938" w:rsidRPr="00D452A9" w:rsidRDefault="00241938">
      <w:pPr>
        <w:rPr>
          <w:rFonts w:cstheme="majorHAnsi"/>
        </w:rPr>
      </w:pPr>
    </w:p>
    <w:p w14:paraId="2A553ACE" w14:textId="5EEE38FD" w:rsidR="00567500" w:rsidRPr="00D452A9" w:rsidRDefault="00567500" w:rsidP="00567500">
      <w:pPr>
        <w:pStyle w:val="Caption"/>
        <w:keepNext/>
        <w:rPr>
          <w:rFonts w:cstheme="majorHAnsi"/>
        </w:rPr>
      </w:pPr>
      <w:bookmarkStart w:id="54" w:name="_Ref126747762"/>
      <w:r w:rsidRPr="00D452A9">
        <w:rPr>
          <w:rFonts w:cstheme="majorHAnsi"/>
        </w:rPr>
        <w:t xml:space="preserve">Table </w:t>
      </w:r>
      <w:r w:rsidRPr="00D452A9">
        <w:rPr>
          <w:rFonts w:cstheme="majorHAnsi"/>
        </w:rPr>
        <w:fldChar w:fldCharType="begin"/>
      </w:r>
      <w:r w:rsidRPr="00D452A9">
        <w:rPr>
          <w:rFonts w:cstheme="majorHAnsi"/>
        </w:rPr>
        <w:instrText xml:space="preserve"> SEQ Table \* ARABIC </w:instrText>
      </w:r>
      <w:r w:rsidRPr="00D452A9">
        <w:rPr>
          <w:rFonts w:cstheme="majorHAnsi"/>
        </w:rPr>
        <w:fldChar w:fldCharType="separate"/>
      </w:r>
      <w:r w:rsidR="00A90C96" w:rsidRPr="00D452A9">
        <w:rPr>
          <w:rFonts w:cstheme="majorHAnsi"/>
          <w:noProof/>
        </w:rPr>
        <w:t>2</w:t>
      </w:r>
      <w:r w:rsidRPr="00D452A9">
        <w:rPr>
          <w:rFonts w:cstheme="majorHAnsi"/>
          <w:noProof/>
        </w:rPr>
        <w:fldChar w:fldCharType="end"/>
      </w:r>
      <w:bookmarkEnd w:id="54"/>
      <w:r w:rsidRPr="00D452A9">
        <w:rPr>
          <w:rFonts w:cstheme="majorHAnsi"/>
        </w:rPr>
        <w:t>: Identification Conditions for Population Attributable Fraction</w:t>
      </w:r>
    </w:p>
    <w:tbl>
      <w:tblPr>
        <w:tblStyle w:val="ListTable6Colorful"/>
        <w:tblW w:w="0" w:type="auto"/>
        <w:tblCellSpacing w:w="72" w:type="dxa"/>
        <w:tblLook w:val="0620" w:firstRow="1" w:lastRow="0" w:firstColumn="0" w:lastColumn="0" w:noHBand="1" w:noVBand="1"/>
      </w:tblPr>
      <w:tblGrid>
        <w:gridCol w:w="2241"/>
        <w:gridCol w:w="3873"/>
        <w:gridCol w:w="3246"/>
      </w:tblGrid>
      <w:tr w:rsidR="00A54569" w:rsidRPr="00D452A9" w14:paraId="19A8A0E9" w14:textId="77777777" w:rsidTr="00A54569">
        <w:trPr>
          <w:cnfStyle w:val="100000000000" w:firstRow="1" w:lastRow="0" w:firstColumn="0" w:lastColumn="0" w:oddVBand="0" w:evenVBand="0" w:oddHBand="0" w:evenHBand="0" w:firstRowFirstColumn="0" w:firstRowLastColumn="0" w:lastRowFirstColumn="0" w:lastRowLastColumn="0"/>
          <w:tblCellSpacing w:w="72" w:type="dxa"/>
        </w:trPr>
        <w:tc>
          <w:tcPr>
            <w:tcW w:w="2056" w:type="dxa"/>
          </w:tcPr>
          <w:p w14:paraId="718282F8" w14:textId="77777777" w:rsidR="00567500" w:rsidRPr="00D452A9" w:rsidRDefault="00567500" w:rsidP="002A5D7A">
            <w:pPr>
              <w:rPr>
                <w:rStyle w:val="cl-7f30a2f2"/>
                <w:rFonts w:cstheme="majorHAnsi"/>
                <w:color w:val="000000"/>
              </w:rPr>
            </w:pPr>
            <w:r w:rsidRPr="00D452A9">
              <w:rPr>
                <w:rStyle w:val="cl-7f30a2f2"/>
                <w:rFonts w:cstheme="majorHAnsi"/>
                <w:color w:val="000000"/>
              </w:rPr>
              <w:t>Condition</w:t>
            </w:r>
          </w:p>
        </w:tc>
        <w:tc>
          <w:tcPr>
            <w:tcW w:w="3957" w:type="dxa"/>
          </w:tcPr>
          <w:p w14:paraId="36E75383" w14:textId="0B77FB7B" w:rsidR="00567500" w:rsidRPr="00D452A9" w:rsidRDefault="008045EC" w:rsidP="002A5D7A">
            <w:pPr>
              <w:rPr>
                <w:rStyle w:val="cl-7f30a2f2"/>
                <w:rFonts w:cstheme="majorHAnsi"/>
                <w:color w:val="000000"/>
              </w:rPr>
            </w:pPr>
            <w:r w:rsidRPr="00D452A9">
              <w:rPr>
                <w:rStyle w:val="cl-7f30a2f2"/>
                <w:rFonts w:cstheme="majorHAnsi"/>
                <w:color w:val="000000"/>
              </w:rPr>
              <w:t>Mathematical Description</w:t>
            </w:r>
          </w:p>
        </w:tc>
        <w:tc>
          <w:tcPr>
            <w:tcW w:w="3179" w:type="dxa"/>
          </w:tcPr>
          <w:p w14:paraId="637BA653" w14:textId="668A13E5" w:rsidR="00567500" w:rsidRPr="00D452A9" w:rsidRDefault="008045EC" w:rsidP="002A5D7A">
            <w:pPr>
              <w:rPr>
                <w:rStyle w:val="cl-7f30a2f2"/>
                <w:rFonts w:cstheme="majorHAnsi"/>
                <w:color w:val="000000"/>
              </w:rPr>
            </w:pPr>
            <w:r w:rsidRPr="00D452A9">
              <w:rPr>
                <w:rStyle w:val="cl-7f30a2f2"/>
                <w:rFonts w:cstheme="majorHAnsi"/>
                <w:color w:val="000000"/>
              </w:rPr>
              <w:t>Interpretation</w:t>
            </w:r>
          </w:p>
        </w:tc>
      </w:tr>
      <w:tr w:rsidR="00A54569" w:rsidRPr="00D452A9" w14:paraId="4BA3B3FA" w14:textId="77777777" w:rsidTr="00A54569">
        <w:trPr>
          <w:trHeight w:val="432"/>
          <w:tblCellSpacing w:w="72" w:type="dxa"/>
        </w:trPr>
        <w:tc>
          <w:tcPr>
            <w:tcW w:w="0" w:type="dxa"/>
          </w:tcPr>
          <w:p w14:paraId="7531CD8D" w14:textId="77777777" w:rsidR="00567500" w:rsidRPr="00D452A9" w:rsidRDefault="00567500" w:rsidP="00A54569">
            <w:pPr>
              <w:rPr>
                <w:rStyle w:val="cl-7f30a2f2"/>
                <w:rFonts w:cstheme="majorHAnsi"/>
                <w:color w:val="000000"/>
              </w:rPr>
            </w:pPr>
            <w:r w:rsidRPr="00D452A9">
              <w:rPr>
                <w:rStyle w:val="cl-7f30a2f2"/>
                <w:rFonts w:cstheme="majorHAnsi"/>
                <w:color w:val="000000"/>
              </w:rPr>
              <w:t>No measurement error</w:t>
            </w:r>
          </w:p>
        </w:tc>
        <w:tc>
          <w:tcPr>
            <w:tcW w:w="0" w:type="dxa"/>
          </w:tcPr>
          <w:p w14:paraId="12A7A24C" w14:textId="77777777" w:rsidR="00567500" w:rsidRPr="00D452A9" w:rsidRDefault="00567500" w:rsidP="002A5D7A">
            <w:pPr>
              <w:rPr>
                <w:rStyle w:val="cl-7f30a2f2"/>
                <w:rFonts w:cstheme="majorHAnsi"/>
                <w:color w:val="000000"/>
              </w:rPr>
            </w:pPr>
            <w:r w:rsidRPr="00D452A9">
              <w:rPr>
                <w:rStyle w:val="cl-7f30a2f2"/>
                <w:rFonts w:cstheme="majorHAnsi"/>
                <w:color w:val="000000"/>
              </w:rPr>
              <w:t xml:space="preserve">Measured </w:t>
            </w:r>
            <m:oMath>
              <m:sSubSup>
                <m:sSubSupPr>
                  <m:ctrlPr>
                    <w:rPr>
                      <w:rStyle w:val="cl-7f30a2f2"/>
                      <w:rFonts w:ascii="Cambria Math" w:hAnsi="Cambria Math" w:cstheme="majorHAnsi"/>
                      <w:color w:val="000000"/>
                    </w:rPr>
                  </m:ctrlPr>
                </m:sSubSupPr>
                <m:e>
                  <m:r>
                    <w:rPr>
                      <w:rStyle w:val="cl-7f30a2f2"/>
                      <w:rFonts w:ascii="Cambria Math" w:hAnsi="Cambria Math" w:cstheme="majorHAnsi"/>
                      <w:color w:val="000000"/>
                    </w:rPr>
                    <m:t>Y</m:t>
                  </m:r>
                </m:e>
                <m:sub>
                  <m:r>
                    <w:rPr>
                      <w:rStyle w:val="cl-7f30a2f2"/>
                      <w:rFonts w:ascii="Cambria Math" w:hAnsi="Cambria Math" w:cstheme="majorHAnsi"/>
                      <w:color w:val="000000"/>
                    </w:rPr>
                    <m:t>i</m:t>
                  </m:r>
                </m:sub>
                <m:sup>
                  <m:r>
                    <m:rPr>
                      <m:sty m:val="p"/>
                    </m:rPr>
                    <w:rPr>
                      <w:rStyle w:val="cl-7f30a2f2"/>
                      <w:rFonts w:ascii="Cambria Math" w:hAnsi="Cambria Math" w:cstheme="majorHAnsi"/>
                      <w:color w:val="000000"/>
                    </w:rPr>
                    <m:t>*</m:t>
                  </m:r>
                </m:sup>
              </m:sSubSup>
            </m:oMath>
            <w:r w:rsidRPr="00D452A9">
              <w:rPr>
                <w:rStyle w:val="cl-7f30a2f2"/>
                <w:rFonts w:cstheme="majorHAnsi"/>
                <w:color w:val="000000"/>
              </w:rPr>
              <w:t xml:space="preserve"> equals true outcome </w:t>
            </w:r>
            <m:oMath>
              <m:sSub>
                <m:sSubPr>
                  <m:ctrlPr>
                    <w:rPr>
                      <w:rStyle w:val="cl-7f30a2f2"/>
                      <w:rFonts w:ascii="Cambria Math" w:hAnsi="Cambria Math" w:cstheme="majorHAnsi"/>
                      <w:color w:val="000000"/>
                    </w:rPr>
                  </m:ctrlPr>
                </m:sSubPr>
                <m:e>
                  <m:r>
                    <w:rPr>
                      <w:rStyle w:val="cl-7f30a2f2"/>
                      <w:rFonts w:ascii="Cambria Math" w:hAnsi="Cambria Math" w:cstheme="majorHAnsi"/>
                      <w:color w:val="000000"/>
                    </w:rPr>
                    <m:t>Y</m:t>
                  </m:r>
                </m:e>
                <m:sub>
                  <m:r>
                    <w:rPr>
                      <w:rStyle w:val="cl-7f30a2f2"/>
                      <w:rFonts w:ascii="Cambria Math" w:hAnsi="Cambria Math" w:cstheme="majorHAnsi"/>
                      <w:color w:val="000000"/>
                    </w:rPr>
                    <m:t>i</m:t>
                  </m:r>
                </m:sub>
              </m:sSub>
            </m:oMath>
            <w:r w:rsidRPr="00D452A9">
              <w:rPr>
                <w:rStyle w:val="cl-7f30a2f2"/>
                <w:rFonts w:cstheme="majorHAnsi"/>
                <w:color w:val="000000"/>
              </w:rPr>
              <w:t xml:space="preserve"> for all individuals </w:t>
            </w:r>
            <m:oMath>
              <m:r>
                <w:rPr>
                  <w:rStyle w:val="cl-7f30a2f2"/>
                  <w:rFonts w:ascii="Cambria Math" w:hAnsi="Cambria Math" w:cstheme="majorHAnsi"/>
                  <w:color w:val="000000"/>
                </w:rPr>
                <m:t>i</m:t>
              </m:r>
            </m:oMath>
            <w:r w:rsidRPr="00D452A9">
              <w:rPr>
                <w:rStyle w:val="cl-7f30a2f2"/>
                <w:rFonts w:cstheme="majorHAnsi"/>
                <w:color w:val="000000"/>
              </w:rPr>
              <w:t xml:space="preserve">. </w:t>
            </w:r>
          </w:p>
        </w:tc>
        <w:tc>
          <w:tcPr>
            <w:tcW w:w="0" w:type="dxa"/>
          </w:tcPr>
          <w:p w14:paraId="4409EBB1" w14:textId="789A6AC6" w:rsidR="00567500" w:rsidRPr="00D452A9" w:rsidRDefault="007C2087" w:rsidP="002A5D7A">
            <w:pPr>
              <w:rPr>
                <w:rStyle w:val="cl-7f30a2f2"/>
                <w:rFonts w:cstheme="majorHAnsi"/>
                <w:color w:val="000000"/>
              </w:rPr>
            </w:pPr>
            <w:commentRangeStart w:id="55"/>
            <w:commentRangeStart w:id="56"/>
            <w:r w:rsidRPr="00D452A9">
              <w:rPr>
                <w:rStyle w:val="cl-7f30a2f2"/>
                <w:rFonts w:cstheme="majorHAnsi"/>
                <w:color w:val="000000"/>
              </w:rPr>
              <w:t>Assumption.</w:t>
            </w:r>
            <w:r w:rsidR="00567500" w:rsidRPr="00D452A9">
              <w:rPr>
                <w:rStyle w:val="cl-7f30a2f2"/>
                <w:rFonts w:cstheme="majorHAnsi"/>
                <w:color w:val="000000"/>
              </w:rPr>
              <w:t xml:space="preserve"> </w:t>
            </w:r>
            <w:commentRangeEnd w:id="55"/>
            <w:r w:rsidR="008D1F43" w:rsidRPr="00D452A9">
              <w:rPr>
                <w:rStyle w:val="CommentReference"/>
                <w:rFonts w:cstheme="majorHAnsi"/>
                <w:color w:val="auto"/>
              </w:rPr>
              <w:commentReference w:id="55"/>
            </w:r>
            <w:commentRangeEnd w:id="56"/>
            <w:r w:rsidR="00DA649B" w:rsidRPr="00D452A9">
              <w:rPr>
                <w:rStyle w:val="CommentReference"/>
                <w:rFonts w:cstheme="majorHAnsi"/>
                <w:color w:val="auto"/>
              </w:rPr>
              <w:commentReference w:id="56"/>
            </w:r>
          </w:p>
        </w:tc>
      </w:tr>
      <w:tr w:rsidR="00A54569" w:rsidRPr="00D452A9" w14:paraId="3DCD7D1C" w14:textId="77777777" w:rsidTr="00A54569">
        <w:trPr>
          <w:trHeight w:val="432"/>
          <w:tblCellSpacing w:w="72" w:type="dxa"/>
        </w:trPr>
        <w:tc>
          <w:tcPr>
            <w:tcW w:w="2056" w:type="dxa"/>
          </w:tcPr>
          <w:p w14:paraId="623C4D05" w14:textId="77777777" w:rsidR="00567500" w:rsidRPr="00D452A9" w:rsidRDefault="00567500" w:rsidP="00A54569">
            <w:pPr>
              <w:rPr>
                <w:rStyle w:val="cl-7f30a2f2"/>
                <w:rFonts w:cstheme="majorHAnsi"/>
                <w:color w:val="000000"/>
              </w:rPr>
            </w:pPr>
            <w:r w:rsidRPr="00D452A9">
              <w:rPr>
                <w:rStyle w:val="cl-7f30a2f2"/>
                <w:rFonts w:cstheme="majorHAnsi"/>
                <w:color w:val="000000"/>
              </w:rPr>
              <w:t>Conditional sampling exchangeability</w:t>
            </w:r>
          </w:p>
        </w:tc>
        <w:tc>
          <w:tcPr>
            <w:tcW w:w="3957" w:type="dxa"/>
          </w:tcPr>
          <w:p w14:paraId="3E63926E" w14:textId="77777777" w:rsidR="00567500" w:rsidRPr="00D452A9" w:rsidRDefault="00567500" w:rsidP="002A5D7A">
            <w:pPr>
              <w:rPr>
                <w:rStyle w:val="cl-7f30a2f2"/>
                <w:rFonts w:cstheme="majorHAnsi"/>
                <w:color w:val="000000"/>
              </w:rPr>
            </w:pPr>
            <m:oMathPara>
              <m:oMath>
                <m:r>
                  <w:rPr>
                    <w:rStyle w:val="cl-7f30a2f2"/>
                    <w:rFonts w:ascii="Cambria Math" w:hAnsi="Cambria Math" w:cstheme="majorHAnsi"/>
                    <w:color w:val="000000"/>
                  </w:rPr>
                  <m:t>E</m:t>
                </m:r>
                <m:d>
                  <m:dPr>
                    <m:begChr m:val="["/>
                    <m:endChr m:val="]"/>
                    <m:ctrlPr>
                      <w:rPr>
                        <w:rStyle w:val="cl-7f30a2f2"/>
                        <w:rFonts w:ascii="Cambria Math" w:hAnsi="Cambria Math" w:cstheme="majorHAnsi"/>
                        <w:color w:val="000000"/>
                      </w:rPr>
                    </m:ctrlPr>
                  </m:dPr>
                  <m:e>
                    <m:r>
                      <w:rPr>
                        <w:rStyle w:val="cl-7f30a2f2"/>
                        <w:rFonts w:ascii="Cambria Math" w:hAnsi="Cambria Math" w:cstheme="majorHAnsi"/>
                        <w:color w:val="000000"/>
                      </w:rPr>
                      <m:t>Y</m:t>
                    </m:r>
                    <m:r>
                      <m:rPr>
                        <m:sty m:val="p"/>
                      </m:rPr>
                      <w:rPr>
                        <w:rStyle w:val="cl-7f30a2f2"/>
                        <w:rFonts w:ascii="Cambria Math" w:hAnsi="Cambria Math" w:cstheme="majorHAnsi"/>
                        <w:color w:val="000000"/>
                      </w:rPr>
                      <m:t>|</m:t>
                    </m:r>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S</m:t>
                    </m:r>
                    <m:r>
                      <m:rPr>
                        <m:sty m:val="p"/>
                      </m:rPr>
                      <w:rPr>
                        <w:rStyle w:val="cl-7f30a2f2"/>
                        <w:rFonts w:ascii="Cambria Math" w:hAnsi="Cambria Math" w:cstheme="majorHAnsi"/>
                        <w:color w:val="000000"/>
                      </w:rPr>
                      <m:t>=2</m:t>
                    </m:r>
                  </m:e>
                </m:d>
                <m:r>
                  <m:rPr>
                    <m:sty m:val="p"/>
                  </m:rPr>
                  <w:rPr>
                    <w:rStyle w:val="cl-7f30a2f2"/>
                    <w:rFonts w:ascii="Cambria Math" w:hAnsi="Cambria Math" w:cstheme="majorHAnsi"/>
                    <w:color w:val="000000"/>
                  </w:rPr>
                  <m:t>=</m:t>
                </m:r>
                <m:r>
                  <w:rPr>
                    <w:rStyle w:val="cl-7f30a2f2"/>
                    <w:rFonts w:ascii="Cambria Math" w:hAnsi="Cambria Math" w:cstheme="majorHAnsi"/>
                    <w:color w:val="000000"/>
                  </w:rPr>
                  <m:t>E</m:t>
                </m:r>
                <m:d>
                  <m:dPr>
                    <m:begChr m:val="["/>
                    <m:endChr m:val="]"/>
                    <m:ctrlPr>
                      <w:rPr>
                        <w:rStyle w:val="cl-7f30a2f2"/>
                        <w:rFonts w:ascii="Cambria Math" w:hAnsi="Cambria Math" w:cstheme="majorHAnsi"/>
                        <w:color w:val="000000"/>
                      </w:rPr>
                    </m:ctrlPr>
                  </m:dPr>
                  <m:e>
                    <m:r>
                      <w:rPr>
                        <w:rStyle w:val="cl-7f30a2f2"/>
                        <w:rFonts w:ascii="Cambria Math" w:hAnsi="Cambria Math" w:cstheme="majorHAnsi"/>
                        <w:color w:val="000000"/>
                      </w:rPr>
                      <m:t>Y</m:t>
                    </m:r>
                    <m:r>
                      <m:rPr>
                        <m:sty m:val="p"/>
                      </m:rPr>
                      <w:rPr>
                        <w:rStyle w:val="cl-7f30a2f2"/>
                        <w:rFonts w:ascii="Cambria Math" w:hAnsi="Cambria Math" w:cstheme="majorHAnsi"/>
                        <w:color w:val="000000"/>
                      </w:rPr>
                      <m:t>|</m:t>
                    </m:r>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S</m:t>
                    </m:r>
                    <m:r>
                      <m:rPr>
                        <m:sty m:val="p"/>
                      </m:rPr>
                      <w:rPr>
                        <w:rStyle w:val="cl-7f30a2f2"/>
                        <w:rFonts w:ascii="Cambria Math" w:hAnsi="Cambria Math" w:cstheme="majorHAnsi"/>
                        <w:color w:val="000000"/>
                      </w:rPr>
                      <m:t>=1</m:t>
                    </m:r>
                  </m:e>
                </m:d>
              </m:oMath>
            </m:oMathPara>
          </w:p>
        </w:tc>
        <w:tc>
          <w:tcPr>
            <w:tcW w:w="3179" w:type="dxa"/>
          </w:tcPr>
          <w:p w14:paraId="0CF56918" w14:textId="77777777" w:rsidR="00567500" w:rsidRPr="00D452A9" w:rsidRDefault="00567500" w:rsidP="002A5D7A">
            <w:pPr>
              <w:rPr>
                <w:rStyle w:val="cl-7f30a2f2"/>
                <w:rFonts w:cstheme="majorHAnsi"/>
                <w:color w:val="000000"/>
              </w:rPr>
            </w:pPr>
            <w:r w:rsidRPr="00D452A9">
              <w:rPr>
                <w:rStyle w:val="cl-7f30a2f2"/>
                <w:rFonts w:cstheme="majorHAnsi"/>
                <w:color w:val="000000"/>
              </w:rPr>
              <w:t xml:space="preserve">Individuals in study representative of individuals in target population. </w:t>
            </w:r>
          </w:p>
        </w:tc>
      </w:tr>
      <w:tr w:rsidR="00A54569" w:rsidRPr="00D452A9" w14:paraId="27FF7894" w14:textId="77777777" w:rsidTr="00A54569">
        <w:trPr>
          <w:trHeight w:val="432"/>
          <w:tblCellSpacing w:w="72" w:type="dxa"/>
        </w:trPr>
        <w:tc>
          <w:tcPr>
            <w:tcW w:w="0" w:type="dxa"/>
          </w:tcPr>
          <w:p w14:paraId="0F456847" w14:textId="77777777" w:rsidR="00567500" w:rsidRPr="00D452A9" w:rsidRDefault="00567500" w:rsidP="006F3E20">
            <w:pPr>
              <w:rPr>
                <w:rStyle w:val="cl-7f30a2f2"/>
                <w:rFonts w:cstheme="majorHAnsi"/>
                <w:color w:val="000000"/>
              </w:rPr>
            </w:pPr>
            <w:r w:rsidRPr="00D452A9">
              <w:rPr>
                <w:rStyle w:val="cl-7f30a2f2"/>
                <w:rFonts w:cstheme="majorHAnsi"/>
                <w:color w:val="000000"/>
              </w:rPr>
              <w:t>Sampling positivity</w:t>
            </w:r>
          </w:p>
        </w:tc>
        <w:tc>
          <w:tcPr>
            <w:tcW w:w="0" w:type="dxa"/>
          </w:tcPr>
          <w:p w14:paraId="74BE1BBF" w14:textId="77777777" w:rsidR="00567500" w:rsidRPr="00D452A9" w:rsidRDefault="00000000" w:rsidP="002A5D7A">
            <w:pPr>
              <w:rPr>
                <w:rStyle w:val="cl-7f30a2f2"/>
                <w:rFonts w:cstheme="majorHAnsi"/>
                <w:color w:val="000000"/>
              </w:rPr>
            </w:pPr>
            <m:oMath>
              <m:func>
                <m:funcPr>
                  <m:ctrlPr>
                    <w:rPr>
                      <w:rStyle w:val="cl-7f30a2f2"/>
                      <w:rFonts w:ascii="Cambria Math" w:hAnsi="Cambria Math" w:cstheme="majorHAnsi"/>
                      <w:color w:val="000000"/>
                    </w:rPr>
                  </m:ctrlPr>
                </m:funcPr>
                <m:fName>
                  <m:r>
                    <m:rPr>
                      <m:sty m:val="p"/>
                    </m:rPr>
                    <w:rPr>
                      <w:rStyle w:val="cl-7f30a2f2"/>
                      <w:rFonts w:ascii="Cambria Math" w:hAnsi="Cambria Math" w:cstheme="majorHAnsi"/>
                      <w:color w:val="000000"/>
                    </w:rPr>
                    <m:t>Pr</m:t>
                  </m:r>
                </m:fName>
                <m:e>
                  <m:d>
                    <m:dPr>
                      <m:ctrlPr>
                        <w:rPr>
                          <w:rStyle w:val="cl-7f30a2f2"/>
                          <w:rFonts w:ascii="Cambria Math" w:hAnsi="Cambria Math" w:cstheme="majorHAnsi"/>
                          <w:color w:val="000000"/>
                        </w:rPr>
                      </m:ctrlPr>
                    </m:dPr>
                    <m:e>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 xml:space="preserve"> | </m:t>
                      </m:r>
                      <m:r>
                        <w:rPr>
                          <w:rStyle w:val="cl-7f30a2f2"/>
                          <w:rFonts w:ascii="Cambria Math" w:hAnsi="Cambria Math" w:cstheme="majorHAnsi"/>
                          <w:color w:val="000000"/>
                        </w:rPr>
                        <m:t>S</m:t>
                      </m:r>
                      <m:r>
                        <m:rPr>
                          <m:sty m:val="p"/>
                        </m:rPr>
                        <w:rPr>
                          <w:rStyle w:val="cl-7f30a2f2"/>
                          <w:rFonts w:ascii="Cambria Math" w:hAnsi="Cambria Math" w:cstheme="majorHAnsi"/>
                          <w:color w:val="000000"/>
                        </w:rPr>
                        <m:t>=2</m:t>
                      </m:r>
                    </m:e>
                  </m:d>
                </m:e>
              </m:func>
              <m:r>
                <m:rPr>
                  <m:sty m:val="p"/>
                </m:rPr>
                <w:rPr>
                  <w:rStyle w:val="cl-7f30a2f2"/>
                  <w:rFonts w:ascii="Cambria Math" w:hAnsi="Cambria Math" w:cstheme="majorHAnsi"/>
                  <w:color w:val="000000"/>
                </w:rPr>
                <m:t>&gt;0</m:t>
              </m:r>
            </m:oMath>
            <w:r w:rsidR="00567500" w:rsidRPr="00D452A9">
              <w:rPr>
                <w:rStyle w:val="cl-7f30a2f2"/>
                <w:rFonts w:cstheme="majorHAnsi"/>
                <w:color w:val="000000"/>
              </w:rPr>
              <w:t xml:space="preserve"> </w:t>
            </w:r>
          </w:p>
          <w:p w14:paraId="3C3B51D1" w14:textId="77777777" w:rsidR="00567500" w:rsidRPr="00D452A9" w:rsidRDefault="00567500" w:rsidP="002A5D7A">
            <w:pPr>
              <w:rPr>
                <w:rStyle w:val="cl-7f30a2f2"/>
                <w:rFonts w:eastAsiaTheme="minorEastAsia" w:cstheme="majorHAnsi"/>
                <w:color w:val="000000"/>
              </w:rPr>
            </w:pPr>
            <w:r w:rsidRPr="00D452A9">
              <w:rPr>
                <w:rStyle w:val="cl-7f30a2f2"/>
                <w:rFonts w:cstheme="majorHAnsi"/>
                <w:color w:val="000000"/>
              </w:rPr>
              <w:t xml:space="preserve">for all </w:t>
            </w:r>
            <m:oMath>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oMath>
            <w:r w:rsidRPr="00D452A9">
              <w:rPr>
                <w:rStyle w:val="cl-7f30a2f2"/>
                <w:rFonts w:cstheme="majorHAnsi"/>
                <w:color w:val="000000"/>
              </w:rPr>
              <w:t xml:space="preserve"> such that </w:t>
            </w:r>
          </w:p>
          <w:p w14:paraId="4ABE9A43" w14:textId="77777777" w:rsidR="00567500" w:rsidRPr="00D452A9" w:rsidRDefault="00000000" w:rsidP="002A5D7A">
            <w:pPr>
              <w:rPr>
                <w:rStyle w:val="cl-7f30a2f2"/>
                <w:rFonts w:cstheme="majorHAnsi"/>
                <w:color w:val="000000"/>
              </w:rPr>
            </w:pPr>
            <m:oMath>
              <m:func>
                <m:funcPr>
                  <m:ctrlPr>
                    <w:rPr>
                      <w:rStyle w:val="cl-7f30a2f2"/>
                      <w:rFonts w:ascii="Cambria Math" w:hAnsi="Cambria Math" w:cstheme="majorHAnsi"/>
                      <w:color w:val="000000"/>
                    </w:rPr>
                  </m:ctrlPr>
                </m:funcPr>
                <m:fName>
                  <m:r>
                    <m:rPr>
                      <m:sty m:val="p"/>
                    </m:rPr>
                    <w:rPr>
                      <w:rStyle w:val="cl-7f30a2f2"/>
                      <w:rFonts w:ascii="Cambria Math" w:hAnsi="Cambria Math" w:cstheme="majorHAnsi"/>
                      <w:color w:val="000000"/>
                    </w:rPr>
                    <m:t>Pr</m:t>
                  </m:r>
                </m:fName>
                <m:e>
                  <m:d>
                    <m:dPr>
                      <m:ctrlPr>
                        <w:rPr>
                          <w:rStyle w:val="cl-7f30a2f2"/>
                          <w:rFonts w:ascii="Cambria Math" w:hAnsi="Cambria Math" w:cstheme="majorHAnsi"/>
                          <w:color w:val="000000"/>
                        </w:rPr>
                      </m:ctrlPr>
                    </m:dPr>
                    <m:e>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 xml:space="preserve"> | </m:t>
                      </m:r>
                      <m:r>
                        <w:rPr>
                          <w:rStyle w:val="cl-7f30a2f2"/>
                          <w:rFonts w:ascii="Cambria Math" w:hAnsi="Cambria Math" w:cstheme="majorHAnsi"/>
                          <w:color w:val="000000"/>
                        </w:rPr>
                        <m:t>S</m:t>
                      </m:r>
                      <m:r>
                        <m:rPr>
                          <m:sty m:val="p"/>
                        </m:rPr>
                        <w:rPr>
                          <w:rStyle w:val="cl-7f30a2f2"/>
                          <w:rFonts w:ascii="Cambria Math" w:hAnsi="Cambria Math" w:cstheme="majorHAnsi"/>
                          <w:color w:val="000000"/>
                        </w:rPr>
                        <m:t>=1</m:t>
                      </m:r>
                    </m:e>
                  </m:d>
                </m:e>
              </m:func>
              <m:r>
                <m:rPr>
                  <m:sty m:val="p"/>
                </m:rPr>
                <w:rPr>
                  <w:rStyle w:val="cl-7f30a2f2"/>
                  <w:rFonts w:ascii="Cambria Math" w:hAnsi="Cambria Math" w:cstheme="majorHAnsi"/>
                  <w:color w:val="000000"/>
                </w:rPr>
                <m:t>&gt;0</m:t>
              </m:r>
            </m:oMath>
            <w:r w:rsidR="00567500" w:rsidRPr="00D452A9">
              <w:rPr>
                <w:rStyle w:val="cl-7f30a2f2"/>
                <w:rFonts w:cstheme="majorHAnsi"/>
                <w:color w:val="000000"/>
              </w:rPr>
              <w:t>)</w:t>
            </w:r>
          </w:p>
        </w:tc>
        <w:tc>
          <w:tcPr>
            <w:tcW w:w="0" w:type="dxa"/>
          </w:tcPr>
          <w:p w14:paraId="0D30E64B" w14:textId="77777777" w:rsidR="00567500" w:rsidRPr="00D452A9" w:rsidRDefault="00567500" w:rsidP="002A5D7A">
            <w:pPr>
              <w:rPr>
                <w:rStyle w:val="cl-7f30a2f2"/>
                <w:rFonts w:cstheme="majorHAnsi"/>
                <w:color w:val="000000"/>
              </w:rPr>
            </w:pPr>
            <w:r w:rsidRPr="00D452A9">
              <w:rPr>
                <w:rStyle w:val="cl-7f30a2f2"/>
                <w:rFonts w:cstheme="majorHAnsi"/>
                <w:color w:val="000000"/>
              </w:rPr>
              <w:t xml:space="preserve">Every individual in target population has at least 1 person representative of them in the study. </w:t>
            </w:r>
          </w:p>
        </w:tc>
      </w:tr>
      <w:tr w:rsidR="00A54569" w:rsidRPr="00D452A9" w14:paraId="0002367B" w14:textId="77777777" w:rsidTr="00A54569">
        <w:trPr>
          <w:trHeight w:val="432"/>
          <w:tblCellSpacing w:w="72" w:type="dxa"/>
        </w:trPr>
        <w:tc>
          <w:tcPr>
            <w:tcW w:w="2056" w:type="dxa"/>
          </w:tcPr>
          <w:p w14:paraId="0EC19B7D" w14:textId="77777777" w:rsidR="00567500" w:rsidRPr="00D452A9" w:rsidRDefault="00567500" w:rsidP="006F3E20">
            <w:pPr>
              <w:rPr>
                <w:rStyle w:val="cl-7f30a2f2"/>
                <w:rFonts w:cstheme="majorHAnsi"/>
                <w:color w:val="000000"/>
              </w:rPr>
            </w:pPr>
            <w:r w:rsidRPr="00D452A9">
              <w:rPr>
                <w:rStyle w:val="cl-7f30a2f2"/>
                <w:rFonts w:cstheme="majorHAnsi"/>
                <w:color w:val="000000"/>
              </w:rPr>
              <w:t>Conditional treatment exchangeability</w:t>
            </w:r>
          </w:p>
        </w:tc>
        <w:tc>
          <w:tcPr>
            <w:tcW w:w="3957" w:type="dxa"/>
          </w:tcPr>
          <w:p w14:paraId="3476B618" w14:textId="77777777" w:rsidR="00567500" w:rsidRPr="00D452A9" w:rsidRDefault="00567500" w:rsidP="002A5D7A">
            <w:pPr>
              <w:rPr>
                <w:rStyle w:val="cl-7f30a2f2"/>
                <w:rFonts w:cstheme="majorHAnsi"/>
                <w:color w:val="000000"/>
              </w:rPr>
            </w:pPr>
            <m:oMathPara>
              <m:oMath>
                <m:r>
                  <w:rPr>
                    <w:rStyle w:val="cl-7f30a2f2"/>
                    <w:rFonts w:ascii="Cambria Math" w:hAnsi="Cambria Math" w:cstheme="majorHAnsi"/>
                    <w:color w:val="000000"/>
                  </w:rPr>
                  <m:t>E</m:t>
                </m:r>
                <m:d>
                  <m:dPr>
                    <m:begChr m:val="["/>
                    <m:endChr m:val="]"/>
                    <m:ctrlPr>
                      <w:rPr>
                        <w:rStyle w:val="cl-7f30a2f2"/>
                        <w:rFonts w:ascii="Cambria Math" w:hAnsi="Cambria Math" w:cstheme="majorHAnsi"/>
                        <w:color w:val="000000"/>
                      </w:rPr>
                    </m:ctrlPr>
                  </m:dPr>
                  <m:e>
                    <m:sSup>
                      <m:sSupPr>
                        <m:ctrlPr>
                          <w:rPr>
                            <w:rStyle w:val="cl-7f30a2f2"/>
                            <w:rFonts w:ascii="Cambria Math" w:hAnsi="Cambria Math" w:cstheme="majorHAnsi"/>
                            <w:color w:val="000000"/>
                          </w:rPr>
                        </m:ctrlPr>
                      </m:sSupPr>
                      <m:e>
                        <m:r>
                          <w:rPr>
                            <w:rStyle w:val="cl-7f30a2f2"/>
                            <w:rFonts w:ascii="Cambria Math" w:hAnsi="Cambria Math" w:cstheme="majorHAnsi"/>
                            <w:color w:val="000000"/>
                          </w:rPr>
                          <m:t>Y</m:t>
                        </m:r>
                      </m:e>
                      <m:sup>
                        <m:r>
                          <w:rPr>
                            <w:rStyle w:val="cl-7f30a2f2"/>
                            <w:rFonts w:ascii="Cambria Math" w:hAnsi="Cambria Math" w:cstheme="majorHAnsi"/>
                            <w:color w:val="000000"/>
                          </w:rPr>
                          <m:t>a</m:t>
                        </m:r>
                      </m:sup>
                    </m:sSup>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S</m:t>
                    </m:r>
                    <m:r>
                      <m:rPr>
                        <m:sty m:val="p"/>
                      </m:rPr>
                      <w:rPr>
                        <w:rStyle w:val="cl-7f30a2f2"/>
                        <w:rFonts w:ascii="Cambria Math" w:hAnsi="Cambria Math" w:cstheme="majorHAnsi"/>
                        <w:color w:val="000000"/>
                      </w:rPr>
                      <m:t>=2</m:t>
                    </m:r>
                  </m:e>
                </m:d>
                <m:r>
                  <m:rPr>
                    <m:sty m:val="p"/>
                  </m:rPr>
                  <w:rPr>
                    <w:rStyle w:val="cl-7f30a2f2"/>
                    <w:rFonts w:ascii="Cambria Math" w:hAnsi="Cambria Math" w:cstheme="majorHAnsi"/>
                    <w:color w:val="000000"/>
                  </w:rPr>
                  <m:t>=</m:t>
                </m:r>
                <m:r>
                  <w:rPr>
                    <w:rStyle w:val="cl-7f30a2f2"/>
                    <w:rFonts w:ascii="Cambria Math" w:hAnsi="Cambria Math" w:cstheme="majorHAnsi"/>
                    <w:color w:val="000000"/>
                  </w:rPr>
                  <m:t>E</m:t>
                </m:r>
                <m:d>
                  <m:dPr>
                    <m:begChr m:val="["/>
                    <m:endChr m:val="]"/>
                    <m:ctrlPr>
                      <w:rPr>
                        <w:rStyle w:val="cl-7f30a2f2"/>
                        <w:rFonts w:ascii="Cambria Math" w:hAnsi="Cambria Math" w:cstheme="majorHAnsi"/>
                        <w:color w:val="000000"/>
                      </w:rPr>
                    </m:ctrlPr>
                  </m:dPr>
                  <m:e>
                    <m:sSup>
                      <m:sSupPr>
                        <m:ctrlPr>
                          <w:rPr>
                            <w:rStyle w:val="cl-7f30a2f2"/>
                            <w:rFonts w:ascii="Cambria Math" w:hAnsi="Cambria Math" w:cstheme="majorHAnsi"/>
                            <w:color w:val="000000"/>
                          </w:rPr>
                        </m:ctrlPr>
                      </m:sSupPr>
                      <m:e>
                        <m:r>
                          <w:rPr>
                            <w:rStyle w:val="cl-7f30a2f2"/>
                            <w:rFonts w:ascii="Cambria Math" w:hAnsi="Cambria Math" w:cstheme="majorHAnsi"/>
                            <w:color w:val="000000"/>
                          </w:rPr>
                          <m:t>Y</m:t>
                        </m:r>
                      </m:e>
                      <m:sup>
                        <m:r>
                          <w:rPr>
                            <w:rStyle w:val="cl-7f30a2f2"/>
                            <w:rFonts w:ascii="Cambria Math" w:hAnsi="Cambria Math" w:cstheme="majorHAnsi"/>
                            <w:color w:val="000000"/>
                          </w:rPr>
                          <m:t>a</m:t>
                        </m:r>
                      </m:sup>
                    </m:sSup>
                    <m:r>
                      <m:rPr>
                        <m:sty m:val="p"/>
                      </m:rPr>
                      <w:rPr>
                        <w:rStyle w:val="cl-7f30a2f2"/>
                        <w:rFonts w:ascii="Cambria Math" w:hAnsi="Cambria Math" w:cstheme="majorHAnsi"/>
                        <w:color w:val="000000"/>
                      </w:rPr>
                      <m:t>|</m:t>
                    </m:r>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S</m:t>
                    </m:r>
                    <m:r>
                      <m:rPr>
                        <m:sty m:val="p"/>
                      </m:rPr>
                      <w:rPr>
                        <w:rStyle w:val="cl-7f30a2f2"/>
                        <w:rFonts w:ascii="Cambria Math" w:hAnsi="Cambria Math" w:cstheme="majorHAnsi"/>
                        <w:color w:val="000000"/>
                      </w:rPr>
                      <m:t>=2</m:t>
                    </m:r>
                  </m:e>
                </m:d>
              </m:oMath>
            </m:oMathPara>
          </w:p>
        </w:tc>
        <w:tc>
          <w:tcPr>
            <w:tcW w:w="3179" w:type="dxa"/>
          </w:tcPr>
          <w:p w14:paraId="49348C96" w14:textId="77777777" w:rsidR="00567500" w:rsidRPr="00D452A9" w:rsidRDefault="00567500" w:rsidP="002A5D7A">
            <w:pPr>
              <w:rPr>
                <w:rStyle w:val="cl-7f30a2f2"/>
                <w:rFonts w:cstheme="majorHAnsi"/>
                <w:color w:val="000000"/>
              </w:rPr>
            </w:pPr>
            <w:r w:rsidRPr="00D452A9">
              <w:rPr>
                <w:rStyle w:val="cl-7f30a2f2"/>
                <w:rFonts w:cstheme="majorHAnsi"/>
                <w:color w:val="000000"/>
              </w:rPr>
              <w:t xml:space="preserve">In expectation, potential outcomes are independent of treatment conditional on covariates </w:t>
            </w:r>
            <m:oMath>
              <m:r>
                <w:rPr>
                  <w:rStyle w:val="cl-7f30a2f2"/>
                  <w:rFonts w:ascii="Cambria Math" w:hAnsi="Cambria Math" w:cstheme="majorHAnsi"/>
                  <w:color w:val="000000"/>
                </w:rPr>
                <m:t>W</m:t>
              </m:r>
            </m:oMath>
            <w:r w:rsidRPr="00D452A9">
              <w:rPr>
                <w:rStyle w:val="cl-7f30a2f2"/>
                <w:rFonts w:cstheme="majorHAnsi"/>
                <w:color w:val="000000"/>
              </w:rPr>
              <w:t xml:space="preserve">. </w:t>
            </w:r>
          </w:p>
        </w:tc>
      </w:tr>
      <w:tr w:rsidR="00A54569" w:rsidRPr="00D452A9" w14:paraId="5248BB6D" w14:textId="77777777" w:rsidTr="00A54569">
        <w:trPr>
          <w:trHeight w:val="432"/>
          <w:tblCellSpacing w:w="72" w:type="dxa"/>
        </w:trPr>
        <w:tc>
          <w:tcPr>
            <w:tcW w:w="0" w:type="dxa"/>
          </w:tcPr>
          <w:p w14:paraId="6FF0B3F2" w14:textId="77777777" w:rsidR="00567500" w:rsidRPr="00D452A9" w:rsidRDefault="00567500" w:rsidP="006F3E20">
            <w:pPr>
              <w:rPr>
                <w:rStyle w:val="cl-7f30a2f2"/>
                <w:rFonts w:cstheme="majorHAnsi"/>
                <w:color w:val="000000"/>
              </w:rPr>
            </w:pPr>
            <w:r w:rsidRPr="00D452A9">
              <w:rPr>
                <w:rStyle w:val="cl-7f30a2f2"/>
                <w:rFonts w:cstheme="majorHAnsi"/>
                <w:color w:val="000000"/>
              </w:rPr>
              <w:t>Treatment positivity</w:t>
            </w:r>
          </w:p>
        </w:tc>
        <w:tc>
          <w:tcPr>
            <w:tcW w:w="0" w:type="dxa"/>
          </w:tcPr>
          <w:p w14:paraId="00342BA7" w14:textId="77777777" w:rsidR="00567500" w:rsidRPr="00D452A9" w:rsidRDefault="00000000" w:rsidP="002A5D7A">
            <w:pPr>
              <w:rPr>
                <w:rStyle w:val="cl-7f30a2f2"/>
                <w:rFonts w:cstheme="majorHAnsi"/>
                <w:color w:val="000000"/>
              </w:rPr>
            </w:pPr>
            <m:oMathPara>
              <m:oMath>
                <m:func>
                  <m:funcPr>
                    <m:ctrlPr>
                      <w:rPr>
                        <w:rStyle w:val="cl-7f30a2f2"/>
                        <w:rFonts w:ascii="Cambria Math" w:hAnsi="Cambria Math" w:cstheme="majorHAnsi"/>
                        <w:color w:val="000000"/>
                      </w:rPr>
                    </m:ctrlPr>
                  </m:funcPr>
                  <m:fName>
                    <m:r>
                      <m:rPr>
                        <m:sty m:val="p"/>
                      </m:rPr>
                      <w:rPr>
                        <w:rStyle w:val="cl-7f30a2f2"/>
                        <w:rFonts w:ascii="Cambria Math" w:hAnsi="Cambria Math" w:cstheme="majorHAnsi"/>
                        <w:color w:val="000000"/>
                      </w:rPr>
                      <m:t>Pr</m:t>
                    </m:r>
                  </m:fName>
                  <m:e>
                    <m:d>
                      <m:dPr>
                        <m:ctrlPr>
                          <w:rPr>
                            <w:rStyle w:val="cl-7f30a2f2"/>
                            <w:rFonts w:ascii="Cambria Math" w:hAnsi="Cambria Math" w:cstheme="majorHAnsi"/>
                            <w:color w:val="000000"/>
                          </w:rPr>
                        </m:ctrlPr>
                      </m:dPr>
                      <m:e>
                        <m:r>
                          <w:rPr>
                            <w:rStyle w:val="cl-7f30a2f2"/>
                            <w:rFonts w:ascii="Cambria Math" w:hAnsi="Cambria Math" w:cstheme="majorHAnsi"/>
                            <w:color w:val="000000"/>
                          </w:rPr>
                          <m:t>A</m:t>
                        </m:r>
                        <m:r>
                          <m:rPr>
                            <m:sty m:val="p"/>
                          </m:rPr>
                          <w:rPr>
                            <w:rStyle w:val="cl-7f30a2f2"/>
                            <w:rFonts w:ascii="Cambria Math" w:hAnsi="Cambria Math" w:cstheme="majorHAnsi"/>
                            <w:color w:val="000000"/>
                          </w:rPr>
                          <m:t>=</m:t>
                        </m:r>
                        <m:r>
                          <w:rPr>
                            <w:rStyle w:val="cl-7f30a2f2"/>
                            <w:rFonts w:ascii="Cambria Math" w:hAnsi="Cambria Math" w:cstheme="majorHAnsi"/>
                            <w:color w:val="000000"/>
                          </w:rPr>
                          <m:t>a</m:t>
                        </m:r>
                        <m:r>
                          <m:rPr>
                            <m:sty m:val="p"/>
                          </m:rPr>
                          <w:rPr>
                            <w:rStyle w:val="cl-7f30a2f2"/>
                            <w:rFonts w:ascii="Cambria Math" w:hAnsi="Cambria Math" w:cstheme="majorHAnsi"/>
                            <w:color w:val="000000"/>
                          </w:rPr>
                          <m:t xml:space="preserve"> | </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w</m:t>
                        </m:r>
                        <m:r>
                          <m:rPr>
                            <m:sty m:val="p"/>
                          </m:rPr>
                          <w:rPr>
                            <w:rStyle w:val="cl-7f30a2f2"/>
                            <w:rFonts w:ascii="Cambria Math" w:hAnsi="Cambria Math" w:cstheme="majorHAnsi"/>
                            <w:color w:val="000000"/>
                          </w:rPr>
                          <m:t>,</m:t>
                        </m:r>
                        <m:r>
                          <w:rPr>
                            <w:rStyle w:val="cl-7f30a2f2"/>
                            <w:rFonts w:ascii="Cambria Math" w:hAnsi="Cambria Math" w:cstheme="majorHAnsi"/>
                            <w:color w:val="000000"/>
                          </w:rPr>
                          <m:t>S</m:t>
                        </m:r>
                        <m:r>
                          <m:rPr>
                            <m:sty m:val="p"/>
                          </m:rPr>
                          <w:rPr>
                            <w:rStyle w:val="cl-7f30a2f2"/>
                            <w:rFonts w:ascii="Cambria Math" w:hAnsi="Cambria Math" w:cstheme="majorHAnsi"/>
                            <w:color w:val="000000"/>
                          </w:rPr>
                          <m:t>=2</m:t>
                        </m:r>
                      </m:e>
                    </m:d>
                  </m:e>
                </m:func>
                <m:r>
                  <m:rPr>
                    <m:sty m:val="p"/>
                  </m:rPr>
                  <w:rPr>
                    <w:rStyle w:val="cl-7f30a2f2"/>
                    <w:rFonts w:ascii="Cambria Math" w:hAnsi="Cambria Math" w:cstheme="majorHAnsi"/>
                    <w:color w:val="000000"/>
                  </w:rPr>
                  <m:t>&gt;0</m:t>
                </m:r>
              </m:oMath>
            </m:oMathPara>
          </w:p>
        </w:tc>
        <w:tc>
          <w:tcPr>
            <w:tcW w:w="0" w:type="dxa"/>
          </w:tcPr>
          <w:p w14:paraId="6C7B53BF" w14:textId="77777777" w:rsidR="00567500" w:rsidRPr="00D452A9" w:rsidRDefault="00567500" w:rsidP="002A5D7A">
            <w:pPr>
              <w:rPr>
                <w:rStyle w:val="cl-7f30a2f2"/>
                <w:rFonts w:cstheme="majorHAnsi"/>
                <w:color w:val="000000"/>
              </w:rPr>
            </w:pPr>
            <w:r w:rsidRPr="00D452A9">
              <w:rPr>
                <w:rStyle w:val="cl-7f30a2f2"/>
                <w:rFonts w:cstheme="majorHAnsi"/>
                <w:color w:val="000000"/>
              </w:rPr>
              <w:t xml:space="preserve">At least one individual in each strata of </w:t>
            </w:r>
            <m:oMath>
              <m:r>
                <w:rPr>
                  <w:rStyle w:val="cl-7f30a2f2"/>
                  <w:rFonts w:ascii="Cambria Math" w:hAnsi="Cambria Math" w:cstheme="majorHAnsi"/>
                  <w:color w:val="000000"/>
                </w:rPr>
                <m:t>W</m:t>
              </m:r>
            </m:oMath>
            <w:r w:rsidRPr="00D452A9">
              <w:rPr>
                <w:rStyle w:val="cl-7f30a2f2"/>
                <w:rFonts w:cstheme="majorHAnsi"/>
                <w:color w:val="000000"/>
              </w:rPr>
              <w:t xml:space="preserve"> received or did not receive treatment. </w:t>
            </w:r>
          </w:p>
        </w:tc>
      </w:tr>
      <w:tr w:rsidR="00A54569" w:rsidRPr="00D452A9" w14:paraId="79A3FDEC" w14:textId="77777777" w:rsidTr="00A54569">
        <w:trPr>
          <w:trHeight w:val="432"/>
          <w:tblCellSpacing w:w="72" w:type="dxa"/>
        </w:trPr>
        <w:tc>
          <w:tcPr>
            <w:tcW w:w="2056" w:type="dxa"/>
          </w:tcPr>
          <w:p w14:paraId="4B4B222F" w14:textId="77777777" w:rsidR="00567500" w:rsidRPr="00D452A9" w:rsidRDefault="00567500" w:rsidP="002A5D7A">
            <w:pPr>
              <w:rPr>
                <w:rStyle w:val="cl-7f30a2f2"/>
                <w:rFonts w:cstheme="majorHAnsi"/>
                <w:color w:val="000000"/>
              </w:rPr>
            </w:pPr>
            <w:r w:rsidRPr="00D452A9">
              <w:rPr>
                <w:rStyle w:val="cl-7f30a2f2"/>
                <w:rFonts w:cstheme="majorHAnsi"/>
                <w:color w:val="000000"/>
              </w:rPr>
              <w:t>Causal consistency</w:t>
            </w:r>
          </w:p>
        </w:tc>
        <w:tc>
          <w:tcPr>
            <w:tcW w:w="3957" w:type="dxa"/>
          </w:tcPr>
          <w:p w14:paraId="1C6B39E5" w14:textId="77777777" w:rsidR="00567500" w:rsidRPr="00D452A9" w:rsidRDefault="00567500" w:rsidP="002A5D7A">
            <w:pPr>
              <w:rPr>
                <w:rStyle w:val="cl-7f30a2f2"/>
                <w:rFonts w:cstheme="majorHAnsi"/>
                <w:color w:val="000000"/>
              </w:rPr>
            </w:pPr>
            <m:oMathPara>
              <m:oMath>
                <m:r>
                  <w:rPr>
                    <w:rStyle w:val="cl-7f30a2f2"/>
                    <w:rFonts w:ascii="Cambria Math" w:hAnsi="Cambria Math" w:cstheme="majorHAnsi"/>
                    <w:color w:val="000000"/>
                  </w:rPr>
                  <m:t>Y</m:t>
                </m:r>
                <m:r>
                  <m:rPr>
                    <m:sty m:val="p"/>
                  </m:rPr>
                  <w:rPr>
                    <w:rStyle w:val="cl-7f30a2f2"/>
                    <w:rFonts w:ascii="Cambria Math" w:hAnsi="Cambria Math" w:cstheme="majorHAnsi"/>
                    <w:color w:val="000000"/>
                  </w:rPr>
                  <m:t>=</m:t>
                </m:r>
                <m:r>
                  <w:rPr>
                    <w:rStyle w:val="cl-7f30a2f2"/>
                    <w:rFonts w:ascii="Cambria Math" w:hAnsi="Cambria Math" w:cstheme="majorHAnsi"/>
                    <w:color w:val="000000"/>
                  </w:rPr>
                  <m:t>A</m:t>
                </m:r>
                <m:sSup>
                  <m:sSupPr>
                    <m:ctrlPr>
                      <w:rPr>
                        <w:rStyle w:val="cl-7f30a2f2"/>
                        <w:rFonts w:ascii="Cambria Math" w:hAnsi="Cambria Math" w:cstheme="majorHAnsi"/>
                        <w:color w:val="000000"/>
                      </w:rPr>
                    </m:ctrlPr>
                  </m:sSupPr>
                  <m:e>
                    <m:r>
                      <w:rPr>
                        <w:rStyle w:val="cl-7f30a2f2"/>
                        <w:rFonts w:ascii="Cambria Math" w:hAnsi="Cambria Math" w:cstheme="majorHAnsi"/>
                        <w:color w:val="000000"/>
                      </w:rPr>
                      <m:t>Y</m:t>
                    </m:r>
                  </m:e>
                  <m:sup>
                    <m:r>
                      <m:rPr>
                        <m:sty m:val="p"/>
                      </m:rPr>
                      <w:rPr>
                        <w:rStyle w:val="cl-7f30a2f2"/>
                        <w:rFonts w:ascii="Cambria Math" w:hAnsi="Cambria Math" w:cstheme="majorHAnsi"/>
                        <w:color w:val="000000"/>
                      </w:rPr>
                      <m:t>1</m:t>
                    </m:r>
                  </m:sup>
                </m:sSup>
                <m:r>
                  <m:rPr>
                    <m:sty m:val="p"/>
                  </m:rPr>
                  <w:rPr>
                    <w:rStyle w:val="cl-7f30a2f2"/>
                    <w:rFonts w:ascii="Cambria Math" w:hAnsi="Cambria Math" w:cstheme="majorHAnsi"/>
                    <w:color w:val="000000"/>
                  </w:rPr>
                  <m:t>+</m:t>
                </m:r>
                <m:d>
                  <m:dPr>
                    <m:ctrlPr>
                      <w:rPr>
                        <w:rStyle w:val="cl-7f30a2f2"/>
                        <w:rFonts w:ascii="Cambria Math" w:hAnsi="Cambria Math" w:cstheme="majorHAnsi"/>
                        <w:color w:val="000000"/>
                      </w:rPr>
                    </m:ctrlPr>
                  </m:dPr>
                  <m:e>
                    <m:r>
                      <m:rPr>
                        <m:sty m:val="p"/>
                      </m:rPr>
                      <w:rPr>
                        <w:rStyle w:val="cl-7f30a2f2"/>
                        <w:rFonts w:ascii="Cambria Math" w:hAnsi="Cambria Math" w:cstheme="majorHAnsi"/>
                        <w:color w:val="000000"/>
                      </w:rPr>
                      <m:t>1-</m:t>
                    </m:r>
                    <m:r>
                      <w:rPr>
                        <w:rStyle w:val="cl-7f30a2f2"/>
                        <w:rFonts w:ascii="Cambria Math" w:hAnsi="Cambria Math" w:cstheme="majorHAnsi"/>
                        <w:color w:val="000000"/>
                      </w:rPr>
                      <m:t>A</m:t>
                    </m:r>
                  </m:e>
                </m:d>
                <m:sSup>
                  <m:sSupPr>
                    <m:ctrlPr>
                      <w:rPr>
                        <w:rStyle w:val="cl-7f30a2f2"/>
                        <w:rFonts w:ascii="Cambria Math" w:hAnsi="Cambria Math" w:cstheme="majorHAnsi"/>
                        <w:color w:val="000000"/>
                      </w:rPr>
                    </m:ctrlPr>
                  </m:sSupPr>
                  <m:e>
                    <m:r>
                      <w:rPr>
                        <w:rStyle w:val="cl-7f30a2f2"/>
                        <w:rFonts w:ascii="Cambria Math" w:hAnsi="Cambria Math" w:cstheme="majorHAnsi"/>
                        <w:color w:val="000000"/>
                      </w:rPr>
                      <m:t>Y</m:t>
                    </m:r>
                  </m:e>
                  <m:sup>
                    <m:r>
                      <m:rPr>
                        <m:sty m:val="p"/>
                      </m:rPr>
                      <w:rPr>
                        <w:rStyle w:val="cl-7f30a2f2"/>
                        <w:rFonts w:ascii="Cambria Math" w:hAnsi="Cambria Math" w:cstheme="majorHAnsi"/>
                        <w:color w:val="000000"/>
                      </w:rPr>
                      <m:t>0</m:t>
                    </m:r>
                  </m:sup>
                </m:sSup>
              </m:oMath>
            </m:oMathPara>
          </w:p>
        </w:tc>
        <w:tc>
          <w:tcPr>
            <w:tcW w:w="3179" w:type="dxa"/>
          </w:tcPr>
          <w:p w14:paraId="5898D158" w14:textId="5A542B41" w:rsidR="00567500" w:rsidRPr="00D452A9" w:rsidRDefault="00567500" w:rsidP="002A5D7A">
            <w:pPr>
              <w:rPr>
                <w:rStyle w:val="cl-7f30a2f2"/>
                <w:rFonts w:cstheme="majorHAnsi"/>
                <w:color w:val="000000"/>
              </w:rPr>
            </w:pPr>
            <w:r w:rsidRPr="00D452A9">
              <w:rPr>
                <w:rStyle w:val="cl-7f30a2f2"/>
                <w:rFonts w:cstheme="majorHAnsi"/>
                <w:color w:val="000000"/>
              </w:rPr>
              <w:t xml:space="preserve">Unifies observed outcomes </w:t>
            </w:r>
            <w:r w:rsidR="007C2087" w:rsidRPr="00D452A9">
              <w:rPr>
                <w:rStyle w:val="cl-7f30a2f2"/>
                <w:rFonts w:cstheme="majorHAnsi"/>
                <w:color w:val="000000"/>
              </w:rPr>
              <w:t>and</w:t>
            </w:r>
            <w:r w:rsidRPr="00D452A9">
              <w:rPr>
                <w:rStyle w:val="cl-7f30a2f2"/>
                <w:rFonts w:cstheme="majorHAnsi"/>
                <w:color w:val="000000"/>
              </w:rPr>
              <w:t xml:space="preserve"> potential outcomes. </w:t>
            </w:r>
          </w:p>
        </w:tc>
      </w:tr>
    </w:tbl>
    <w:p w14:paraId="3FAEA19D" w14:textId="77777777" w:rsidR="00241938" w:rsidRPr="00D452A9" w:rsidRDefault="00241938">
      <w:pPr>
        <w:rPr>
          <w:rFonts w:cstheme="majorHAnsi"/>
        </w:rPr>
      </w:pPr>
    </w:p>
    <w:p w14:paraId="54CFA495" w14:textId="6196DE1D" w:rsidR="00AD6E32" w:rsidRPr="00D452A9" w:rsidRDefault="0048513E" w:rsidP="00A90C96">
      <w:pPr>
        <w:rPr>
          <w:rFonts w:cstheme="majorHAnsi"/>
        </w:rPr>
      </w:pPr>
      <w:r w:rsidRPr="00D452A9">
        <w:rPr>
          <w:rFonts w:cstheme="majorHAnsi"/>
        </w:rPr>
        <w:br w:type="page"/>
      </w:r>
      <w:bookmarkStart w:id="57" w:name="references"/>
      <w:bookmarkEnd w:id="51"/>
    </w:p>
    <w:p w14:paraId="7B323CB0" w14:textId="3FD8EE5A" w:rsidR="00A90C96" w:rsidRPr="00D452A9" w:rsidRDefault="00A90C96" w:rsidP="00A90C96">
      <w:pPr>
        <w:pStyle w:val="Caption"/>
        <w:keepNext/>
        <w:rPr>
          <w:rFonts w:cstheme="majorHAnsi"/>
        </w:rPr>
      </w:pPr>
      <w:bookmarkStart w:id="58" w:name="_Ref135925496"/>
      <w:commentRangeStart w:id="59"/>
      <w:commentRangeStart w:id="60"/>
      <w:r w:rsidRPr="00D452A9">
        <w:rPr>
          <w:rFonts w:cstheme="majorHAnsi"/>
        </w:rPr>
        <w:lastRenderedPageBreak/>
        <w:t xml:space="preserve">Table </w:t>
      </w:r>
      <w:commentRangeEnd w:id="59"/>
      <w:r w:rsidR="00D408C9" w:rsidRPr="00D452A9">
        <w:rPr>
          <w:rStyle w:val="CommentReference"/>
          <w:rFonts w:cstheme="majorHAnsi"/>
          <w:i w:val="0"/>
        </w:rPr>
        <w:commentReference w:id="59"/>
      </w:r>
      <w:commentRangeEnd w:id="60"/>
      <w:r w:rsidR="00541DF6" w:rsidRPr="00D452A9">
        <w:rPr>
          <w:rStyle w:val="CommentReference"/>
          <w:rFonts w:cstheme="majorHAnsi"/>
          <w:i w:val="0"/>
        </w:rPr>
        <w:commentReference w:id="60"/>
      </w:r>
      <w:r w:rsidRPr="00D452A9">
        <w:rPr>
          <w:rFonts w:cstheme="majorHAnsi"/>
        </w:rPr>
        <w:fldChar w:fldCharType="begin"/>
      </w:r>
      <w:r w:rsidRPr="00D452A9">
        <w:rPr>
          <w:rFonts w:cstheme="majorHAnsi"/>
        </w:rPr>
        <w:instrText xml:space="preserve"> SEQ Table \* ARABIC </w:instrText>
      </w:r>
      <w:r w:rsidRPr="00D452A9">
        <w:rPr>
          <w:rFonts w:cstheme="majorHAnsi"/>
        </w:rPr>
        <w:fldChar w:fldCharType="separate"/>
      </w:r>
      <w:r w:rsidRPr="00D452A9">
        <w:rPr>
          <w:rFonts w:cstheme="majorHAnsi"/>
          <w:noProof/>
        </w:rPr>
        <w:t>3</w:t>
      </w:r>
      <w:r w:rsidRPr="00D452A9">
        <w:rPr>
          <w:rFonts w:cstheme="majorHAnsi"/>
          <w:noProof/>
        </w:rPr>
        <w:fldChar w:fldCharType="end"/>
      </w:r>
      <w:bookmarkEnd w:id="58"/>
      <w:r w:rsidRPr="00D452A9">
        <w:rPr>
          <w:rFonts w:cstheme="majorHAnsi"/>
        </w:rPr>
        <w:t>: Population Attributable Fraction and Intervals, N=1164</w:t>
      </w:r>
    </w:p>
    <w:tbl>
      <w:tblPr>
        <w:tblW w:w="9900" w:type="dxa"/>
        <w:tblLook w:val="04A0" w:firstRow="1" w:lastRow="0" w:firstColumn="1" w:lastColumn="0" w:noHBand="0" w:noVBand="1"/>
      </w:tblPr>
      <w:tblGrid>
        <w:gridCol w:w="1491"/>
        <w:gridCol w:w="1522"/>
        <w:gridCol w:w="797"/>
        <w:gridCol w:w="1791"/>
        <w:gridCol w:w="1678"/>
        <w:gridCol w:w="576"/>
        <w:gridCol w:w="233"/>
        <w:gridCol w:w="1658"/>
        <w:gridCol w:w="154"/>
      </w:tblGrid>
      <w:tr w:rsidR="00957F3A" w:rsidRPr="00D452A9" w14:paraId="4192BC14" w14:textId="77777777" w:rsidTr="007B22A7">
        <w:trPr>
          <w:gridAfter w:val="1"/>
          <w:wAfter w:w="154" w:type="dxa"/>
          <w:trHeight w:val="340"/>
        </w:trPr>
        <w:tc>
          <w:tcPr>
            <w:tcW w:w="1491" w:type="dxa"/>
            <w:vMerge w:val="restart"/>
            <w:tcBorders>
              <w:top w:val="single" w:sz="8" w:space="0" w:color="000000"/>
              <w:left w:val="nil"/>
              <w:bottom w:val="single" w:sz="8" w:space="0" w:color="000000"/>
              <w:right w:val="nil"/>
            </w:tcBorders>
            <w:shd w:val="clear" w:color="auto" w:fill="auto"/>
            <w:vAlign w:val="center"/>
            <w:hideMark/>
          </w:tcPr>
          <w:p w14:paraId="669E8528"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Target Population</w:t>
            </w:r>
          </w:p>
        </w:tc>
        <w:tc>
          <w:tcPr>
            <w:tcW w:w="1522" w:type="dxa"/>
            <w:vMerge w:val="restart"/>
            <w:tcBorders>
              <w:top w:val="single" w:sz="8" w:space="0" w:color="000000"/>
              <w:left w:val="nil"/>
              <w:bottom w:val="single" w:sz="8" w:space="0" w:color="000000"/>
              <w:right w:val="nil"/>
            </w:tcBorders>
            <w:shd w:val="clear" w:color="auto" w:fill="auto"/>
            <w:vAlign w:val="center"/>
            <w:hideMark/>
          </w:tcPr>
          <w:p w14:paraId="6A674A7C"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Population Attributable Fraction</w:t>
            </w:r>
          </w:p>
        </w:tc>
        <w:tc>
          <w:tcPr>
            <w:tcW w:w="4842" w:type="dxa"/>
            <w:gridSpan w:val="4"/>
            <w:tcBorders>
              <w:top w:val="single" w:sz="8" w:space="0" w:color="000000"/>
              <w:left w:val="nil"/>
              <w:bottom w:val="single" w:sz="8" w:space="0" w:color="000000"/>
              <w:right w:val="nil"/>
            </w:tcBorders>
            <w:shd w:val="clear" w:color="auto" w:fill="auto"/>
            <w:vAlign w:val="center"/>
            <w:hideMark/>
          </w:tcPr>
          <w:p w14:paraId="17A17A06"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Bootstrap</w:t>
            </w:r>
          </w:p>
        </w:tc>
        <w:tc>
          <w:tcPr>
            <w:tcW w:w="1891" w:type="dxa"/>
            <w:gridSpan w:val="2"/>
            <w:tcBorders>
              <w:top w:val="single" w:sz="8" w:space="0" w:color="000000"/>
              <w:left w:val="nil"/>
              <w:bottom w:val="single" w:sz="8" w:space="0" w:color="000000"/>
              <w:right w:val="nil"/>
            </w:tcBorders>
            <w:shd w:val="clear" w:color="auto" w:fill="auto"/>
            <w:vAlign w:val="center"/>
            <w:hideMark/>
          </w:tcPr>
          <w:p w14:paraId="28D2FF23"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M-Estimation</w:t>
            </w:r>
          </w:p>
        </w:tc>
      </w:tr>
      <w:tr w:rsidR="00957F3A" w:rsidRPr="00D452A9" w14:paraId="0A7AD151" w14:textId="77777777" w:rsidTr="007B22A7">
        <w:trPr>
          <w:trHeight w:val="340"/>
        </w:trPr>
        <w:tc>
          <w:tcPr>
            <w:tcW w:w="1491" w:type="dxa"/>
            <w:vMerge/>
            <w:tcBorders>
              <w:top w:val="single" w:sz="8" w:space="0" w:color="000000"/>
              <w:left w:val="nil"/>
              <w:bottom w:val="single" w:sz="8" w:space="0" w:color="000000"/>
              <w:right w:val="nil"/>
            </w:tcBorders>
            <w:vAlign w:val="center"/>
            <w:hideMark/>
          </w:tcPr>
          <w:p w14:paraId="3546275A" w14:textId="77777777" w:rsidR="00957F3A" w:rsidRPr="00D452A9" w:rsidRDefault="00957F3A" w:rsidP="00957F3A">
            <w:pPr>
              <w:spacing w:after="0"/>
              <w:rPr>
                <w:rFonts w:eastAsia="Times New Roman" w:cstheme="majorHAnsi"/>
                <w:b/>
                <w:bCs/>
                <w:color w:val="000000"/>
                <w:sz w:val="23"/>
                <w:szCs w:val="23"/>
              </w:rPr>
            </w:pPr>
          </w:p>
        </w:tc>
        <w:tc>
          <w:tcPr>
            <w:tcW w:w="1522" w:type="dxa"/>
            <w:vMerge/>
            <w:tcBorders>
              <w:top w:val="single" w:sz="8" w:space="0" w:color="000000"/>
              <w:left w:val="nil"/>
              <w:bottom w:val="single" w:sz="8" w:space="0" w:color="000000"/>
              <w:right w:val="nil"/>
            </w:tcBorders>
            <w:vAlign w:val="center"/>
            <w:hideMark/>
          </w:tcPr>
          <w:p w14:paraId="5F608A99" w14:textId="77777777" w:rsidR="00957F3A" w:rsidRPr="00D452A9" w:rsidRDefault="00957F3A" w:rsidP="00957F3A">
            <w:pPr>
              <w:spacing w:after="0"/>
              <w:rPr>
                <w:rFonts w:eastAsia="Times New Roman" w:cstheme="majorHAnsi"/>
                <w:b/>
                <w:bCs/>
                <w:color w:val="000000"/>
                <w:sz w:val="23"/>
                <w:szCs w:val="23"/>
              </w:rPr>
            </w:pPr>
          </w:p>
        </w:tc>
        <w:tc>
          <w:tcPr>
            <w:tcW w:w="797" w:type="dxa"/>
            <w:vMerge w:val="restart"/>
            <w:tcBorders>
              <w:top w:val="nil"/>
              <w:left w:val="nil"/>
              <w:bottom w:val="single" w:sz="8" w:space="0" w:color="000000"/>
              <w:right w:val="nil"/>
            </w:tcBorders>
            <w:shd w:val="clear" w:color="auto" w:fill="auto"/>
            <w:vAlign w:val="center"/>
            <w:hideMark/>
          </w:tcPr>
          <w:p w14:paraId="15B206CC"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SE</w:t>
            </w:r>
          </w:p>
        </w:tc>
        <w:tc>
          <w:tcPr>
            <w:tcW w:w="1791" w:type="dxa"/>
            <w:tcBorders>
              <w:top w:val="nil"/>
              <w:left w:val="nil"/>
              <w:bottom w:val="nil"/>
              <w:right w:val="nil"/>
            </w:tcBorders>
            <w:shd w:val="clear" w:color="auto" w:fill="auto"/>
            <w:vAlign w:val="center"/>
            <w:hideMark/>
          </w:tcPr>
          <w:p w14:paraId="69BB7335"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95% CI</w:t>
            </w:r>
          </w:p>
        </w:tc>
        <w:tc>
          <w:tcPr>
            <w:tcW w:w="1678" w:type="dxa"/>
            <w:tcBorders>
              <w:top w:val="nil"/>
              <w:left w:val="nil"/>
              <w:bottom w:val="nil"/>
              <w:right w:val="nil"/>
            </w:tcBorders>
            <w:shd w:val="clear" w:color="auto" w:fill="auto"/>
            <w:vAlign w:val="center"/>
            <w:hideMark/>
          </w:tcPr>
          <w:p w14:paraId="573FB3CF"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95% CI</w:t>
            </w:r>
          </w:p>
        </w:tc>
        <w:tc>
          <w:tcPr>
            <w:tcW w:w="809" w:type="dxa"/>
            <w:gridSpan w:val="2"/>
            <w:vMerge w:val="restart"/>
            <w:tcBorders>
              <w:top w:val="nil"/>
              <w:left w:val="nil"/>
              <w:bottom w:val="single" w:sz="8" w:space="0" w:color="000000"/>
              <w:right w:val="nil"/>
            </w:tcBorders>
            <w:shd w:val="clear" w:color="auto" w:fill="auto"/>
            <w:vAlign w:val="center"/>
            <w:hideMark/>
          </w:tcPr>
          <w:p w14:paraId="41E1FA32"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SE</w:t>
            </w:r>
          </w:p>
        </w:tc>
        <w:tc>
          <w:tcPr>
            <w:tcW w:w="1812" w:type="dxa"/>
            <w:gridSpan w:val="2"/>
            <w:vMerge w:val="restart"/>
            <w:tcBorders>
              <w:top w:val="nil"/>
              <w:left w:val="nil"/>
              <w:bottom w:val="single" w:sz="8" w:space="0" w:color="000000"/>
              <w:right w:val="nil"/>
            </w:tcBorders>
            <w:shd w:val="clear" w:color="auto" w:fill="auto"/>
            <w:vAlign w:val="center"/>
            <w:hideMark/>
          </w:tcPr>
          <w:p w14:paraId="15481C85"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95% CI</w:t>
            </w:r>
          </w:p>
        </w:tc>
      </w:tr>
      <w:tr w:rsidR="00957F3A" w:rsidRPr="00D452A9" w14:paraId="432E60D4" w14:textId="77777777" w:rsidTr="007B22A7">
        <w:trPr>
          <w:trHeight w:val="360"/>
        </w:trPr>
        <w:tc>
          <w:tcPr>
            <w:tcW w:w="1491" w:type="dxa"/>
            <w:vMerge/>
            <w:tcBorders>
              <w:top w:val="single" w:sz="8" w:space="0" w:color="000000"/>
              <w:left w:val="nil"/>
              <w:bottom w:val="single" w:sz="8" w:space="0" w:color="000000"/>
              <w:right w:val="nil"/>
            </w:tcBorders>
            <w:vAlign w:val="center"/>
            <w:hideMark/>
          </w:tcPr>
          <w:p w14:paraId="24BCD057" w14:textId="77777777" w:rsidR="00957F3A" w:rsidRPr="00D452A9" w:rsidRDefault="00957F3A" w:rsidP="00957F3A">
            <w:pPr>
              <w:spacing w:after="0"/>
              <w:rPr>
                <w:rFonts w:eastAsia="Times New Roman" w:cstheme="majorHAnsi"/>
                <w:b/>
                <w:bCs/>
                <w:color w:val="000000"/>
                <w:sz w:val="23"/>
                <w:szCs w:val="23"/>
              </w:rPr>
            </w:pPr>
          </w:p>
        </w:tc>
        <w:tc>
          <w:tcPr>
            <w:tcW w:w="1522" w:type="dxa"/>
            <w:vMerge/>
            <w:tcBorders>
              <w:top w:val="single" w:sz="8" w:space="0" w:color="000000"/>
              <w:left w:val="nil"/>
              <w:bottom w:val="single" w:sz="8" w:space="0" w:color="000000"/>
              <w:right w:val="nil"/>
            </w:tcBorders>
            <w:vAlign w:val="center"/>
            <w:hideMark/>
          </w:tcPr>
          <w:p w14:paraId="7A91711E" w14:textId="77777777" w:rsidR="00957F3A" w:rsidRPr="00D452A9" w:rsidRDefault="00957F3A" w:rsidP="00957F3A">
            <w:pPr>
              <w:spacing w:after="0"/>
              <w:rPr>
                <w:rFonts w:eastAsia="Times New Roman" w:cstheme="majorHAnsi"/>
                <w:b/>
                <w:bCs/>
                <w:color w:val="000000"/>
                <w:sz w:val="23"/>
                <w:szCs w:val="23"/>
              </w:rPr>
            </w:pPr>
          </w:p>
        </w:tc>
        <w:tc>
          <w:tcPr>
            <w:tcW w:w="797" w:type="dxa"/>
            <w:vMerge/>
            <w:tcBorders>
              <w:top w:val="nil"/>
              <w:left w:val="nil"/>
              <w:bottom w:val="single" w:sz="8" w:space="0" w:color="000000"/>
              <w:right w:val="nil"/>
            </w:tcBorders>
            <w:vAlign w:val="center"/>
            <w:hideMark/>
          </w:tcPr>
          <w:p w14:paraId="38AD9219" w14:textId="77777777" w:rsidR="00957F3A" w:rsidRPr="00D452A9" w:rsidRDefault="00957F3A" w:rsidP="00957F3A">
            <w:pPr>
              <w:spacing w:after="0"/>
              <w:rPr>
                <w:rFonts w:eastAsia="Times New Roman" w:cstheme="majorHAnsi"/>
                <w:b/>
                <w:bCs/>
                <w:color w:val="000000"/>
                <w:sz w:val="23"/>
                <w:szCs w:val="23"/>
              </w:rPr>
            </w:pPr>
          </w:p>
        </w:tc>
        <w:tc>
          <w:tcPr>
            <w:tcW w:w="1791" w:type="dxa"/>
            <w:tcBorders>
              <w:top w:val="nil"/>
              <w:left w:val="nil"/>
              <w:bottom w:val="single" w:sz="8" w:space="0" w:color="auto"/>
              <w:right w:val="nil"/>
            </w:tcBorders>
            <w:shd w:val="clear" w:color="auto" w:fill="auto"/>
            <w:vAlign w:val="center"/>
            <w:hideMark/>
          </w:tcPr>
          <w:p w14:paraId="75CA88D8"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(SD)</w:t>
            </w:r>
            <w:r w:rsidRPr="00D452A9">
              <w:rPr>
                <w:rFonts w:eastAsia="Times New Roman" w:cstheme="majorHAnsi"/>
                <w:color w:val="000000"/>
                <w:sz w:val="23"/>
                <w:szCs w:val="23"/>
              </w:rPr>
              <w:t> </w:t>
            </w:r>
            <w:r w:rsidRPr="00D452A9">
              <w:rPr>
                <w:rFonts w:eastAsia="Times New Roman" w:cstheme="majorHAnsi"/>
                <w:color w:val="000000"/>
                <w:sz w:val="16"/>
                <w:szCs w:val="16"/>
              </w:rPr>
              <w:t> </w:t>
            </w:r>
          </w:p>
        </w:tc>
        <w:tc>
          <w:tcPr>
            <w:tcW w:w="1678" w:type="dxa"/>
            <w:tcBorders>
              <w:top w:val="nil"/>
              <w:left w:val="nil"/>
              <w:bottom w:val="single" w:sz="8" w:space="0" w:color="auto"/>
              <w:right w:val="nil"/>
            </w:tcBorders>
            <w:shd w:val="clear" w:color="auto" w:fill="auto"/>
            <w:vAlign w:val="center"/>
            <w:hideMark/>
          </w:tcPr>
          <w:p w14:paraId="75F0B669" w14:textId="77777777" w:rsidR="00957F3A" w:rsidRPr="00D452A9" w:rsidRDefault="00957F3A" w:rsidP="00957F3A">
            <w:pPr>
              <w:spacing w:after="0"/>
              <w:jc w:val="center"/>
              <w:rPr>
                <w:rFonts w:eastAsia="Times New Roman" w:cstheme="majorHAnsi"/>
                <w:b/>
                <w:bCs/>
                <w:color w:val="000000"/>
                <w:sz w:val="23"/>
                <w:szCs w:val="23"/>
              </w:rPr>
            </w:pPr>
            <w:r w:rsidRPr="00D452A9">
              <w:rPr>
                <w:rFonts w:eastAsia="Times New Roman" w:cstheme="majorHAnsi"/>
                <w:b/>
                <w:bCs/>
                <w:color w:val="000000"/>
                <w:sz w:val="23"/>
                <w:szCs w:val="23"/>
              </w:rPr>
              <w:t>(Quantile)</w:t>
            </w:r>
            <w:r w:rsidRPr="00D452A9">
              <w:rPr>
                <w:rFonts w:eastAsia="Times New Roman" w:cstheme="majorHAnsi"/>
                <w:color w:val="000000"/>
                <w:sz w:val="23"/>
                <w:szCs w:val="23"/>
              </w:rPr>
              <w:t> </w:t>
            </w:r>
            <w:r w:rsidRPr="00D452A9">
              <w:rPr>
                <w:rFonts w:eastAsia="Times New Roman" w:cstheme="majorHAnsi"/>
                <w:color w:val="000000"/>
                <w:sz w:val="16"/>
                <w:szCs w:val="16"/>
              </w:rPr>
              <w:t> </w:t>
            </w:r>
          </w:p>
        </w:tc>
        <w:tc>
          <w:tcPr>
            <w:tcW w:w="809" w:type="dxa"/>
            <w:gridSpan w:val="2"/>
            <w:vMerge/>
            <w:tcBorders>
              <w:top w:val="nil"/>
              <w:left w:val="nil"/>
              <w:bottom w:val="single" w:sz="8" w:space="0" w:color="000000"/>
              <w:right w:val="nil"/>
            </w:tcBorders>
            <w:vAlign w:val="center"/>
            <w:hideMark/>
          </w:tcPr>
          <w:p w14:paraId="2E92C239" w14:textId="77777777" w:rsidR="00957F3A" w:rsidRPr="00D452A9" w:rsidRDefault="00957F3A" w:rsidP="00957F3A">
            <w:pPr>
              <w:spacing w:after="0"/>
              <w:rPr>
                <w:rFonts w:eastAsia="Times New Roman" w:cstheme="majorHAnsi"/>
                <w:b/>
                <w:bCs/>
                <w:color w:val="000000"/>
                <w:sz w:val="23"/>
                <w:szCs w:val="23"/>
              </w:rPr>
            </w:pPr>
          </w:p>
        </w:tc>
        <w:tc>
          <w:tcPr>
            <w:tcW w:w="1812" w:type="dxa"/>
            <w:gridSpan w:val="2"/>
            <w:vMerge/>
            <w:tcBorders>
              <w:top w:val="nil"/>
              <w:left w:val="nil"/>
              <w:bottom w:val="single" w:sz="8" w:space="0" w:color="000000"/>
              <w:right w:val="nil"/>
            </w:tcBorders>
            <w:vAlign w:val="center"/>
            <w:hideMark/>
          </w:tcPr>
          <w:p w14:paraId="4F31C3B9" w14:textId="77777777" w:rsidR="00957F3A" w:rsidRPr="00D452A9" w:rsidRDefault="00957F3A" w:rsidP="00957F3A">
            <w:pPr>
              <w:spacing w:after="0"/>
              <w:rPr>
                <w:rFonts w:eastAsia="Times New Roman" w:cstheme="majorHAnsi"/>
                <w:b/>
                <w:bCs/>
                <w:color w:val="000000"/>
                <w:sz w:val="23"/>
                <w:szCs w:val="23"/>
              </w:rPr>
            </w:pPr>
          </w:p>
        </w:tc>
      </w:tr>
      <w:tr w:rsidR="000435F8" w:rsidRPr="00D452A9" w14:paraId="153296AF" w14:textId="77777777" w:rsidTr="007B22A7">
        <w:trPr>
          <w:trHeight w:val="20"/>
        </w:trPr>
        <w:tc>
          <w:tcPr>
            <w:tcW w:w="1491" w:type="dxa"/>
            <w:tcBorders>
              <w:top w:val="nil"/>
              <w:left w:val="nil"/>
              <w:bottom w:val="nil"/>
              <w:right w:val="nil"/>
            </w:tcBorders>
            <w:shd w:val="clear" w:color="auto" w:fill="auto"/>
            <w:vAlign w:val="center"/>
          </w:tcPr>
          <w:p w14:paraId="4BC6ED54" w14:textId="0B308A04" w:rsidR="000435F8" w:rsidRPr="00D452A9" w:rsidRDefault="000435F8" w:rsidP="000435F8">
            <w:pPr>
              <w:spacing w:before="100" w:beforeAutospacing="1" w:after="0" w:line="276" w:lineRule="auto"/>
              <w:jc w:val="center"/>
              <w:rPr>
                <w:rFonts w:eastAsia="Times New Roman" w:cstheme="majorHAnsi"/>
                <w:b/>
                <w:bCs/>
                <w:color w:val="000000"/>
              </w:rPr>
            </w:pPr>
            <w:r w:rsidRPr="00D452A9">
              <w:rPr>
                <w:rFonts w:eastAsia="Times New Roman" w:cstheme="majorHAnsi"/>
                <w:b/>
                <w:bCs/>
                <w:color w:val="000000"/>
              </w:rPr>
              <w:t>Study population</w:t>
            </w:r>
          </w:p>
        </w:tc>
        <w:tc>
          <w:tcPr>
            <w:tcW w:w="1522" w:type="dxa"/>
            <w:tcBorders>
              <w:top w:val="nil"/>
              <w:left w:val="nil"/>
              <w:bottom w:val="nil"/>
              <w:right w:val="nil"/>
            </w:tcBorders>
            <w:shd w:val="clear" w:color="auto" w:fill="auto"/>
            <w:vAlign w:val="center"/>
          </w:tcPr>
          <w:p w14:paraId="298B8E87" w14:textId="602B7EF6"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0.209</w:t>
            </w:r>
          </w:p>
        </w:tc>
        <w:tc>
          <w:tcPr>
            <w:tcW w:w="797" w:type="dxa"/>
            <w:tcBorders>
              <w:top w:val="nil"/>
              <w:left w:val="nil"/>
              <w:bottom w:val="nil"/>
              <w:right w:val="nil"/>
            </w:tcBorders>
            <w:shd w:val="clear" w:color="auto" w:fill="auto"/>
            <w:vAlign w:val="center"/>
          </w:tcPr>
          <w:p w14:paraId="69E790CE" w14:textId="7FB29674"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0.039</w:t>
            </w:r>
          </w:p>
        </w:tc>
        <w:tc>
          <w:tcPr>
            <w:tcW w:w="1791" w:type="dxa"/>
            <w:tcBorders>
              <w:top w:val="nil"/>
              <w:left w:val="nil"/>
              <w:bottom w:val="nil"/>
              <w:right w:val="nil"/>
            </w:tcBorders>
            <w:shd w:val="clear" w:color="auto" w:fill="auto"/>
            <w:vAlign w:val="center"/>
          </w:tcPr>
          <w:p w14:paraId="73AB1EC7" w14:textId="0142E059"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(0.134, 0.285)</w:t>
            </w:r>
          </w:p>
        </w:tc>
        <w:tc>
          <w:tcPr>
            <w:tcW w:w="1678" w:type="dxa"/>
            <w:tcBorders>
              <w:top w:val="nil"/>
              <w:left w:val="nil"/>
              <w:bottom w:val="nil"/>
              <w:right w:val="nil"/>
            </w:tcBorders>
            <w:shd w:val="clear" w:color="auto" w:fill="auto"/>
            <w:vAlign w:val="center"/>
          </w:tcPr>
          <w:p w14:paraId="06C8A05F" w14:textId="7DA561B6"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(0.137, 0.286)</w:t>
            </w:r>
          </w:p>
        </w:tc>
        <w:tc>
          <w:tcPr>
            <w:tcW w:w="809" w:type="dxa"/>
            <w:gridSpan w:val="2"/>
            <w:tcBorders>
              <w:top w:val="nil"/>
              <w:left w:val="nil"/>
              <w:bottom w:val="nil"/>
              <w:right w:val="nil"/>
            </w:tcBorders>
            <w:shd w:val="clear" w:color="auto" w:fill="auto"/>
            <w:vAlign w:val="center"/>
          </w:tcPr>
          <w:p w14:paraId="59BD1B86" w14:textId="4CA289D7"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0.037</w:t>
            </w:r>
          </w:p>
        </w:tc>
        <w:tc>
          <w:tcPr>
            <w:tcW w:w="1812" w:type="dxa"/>
            <w:gridSpan w:val="2"/>
            <w:tcBorders>
              <w:top w:val="nil"/>
              <w:left w:val="nil"/>
              <w:bottom w:val="nil"/>
              <w:right w:val="nil"/>
            </w:tcBorders>
            <w:shd w:val="clear" w:color="auto" w:fill="auto"/>
            <w:vAlign w:val="center"/>
          </w:tcPr>
          <w:p w14:paraId="46D5DAAA" w14:textId="128ED2C0"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(0.138, 0.281)</w:t>
            </w:r>
          </w:p>
        </w:tc>
      </w:tr>
      <w:tr w:rsidR="000435F8" w:rsidRPr="00D452A9" w14:paraId="3F9AD121" w14:textId="77777777" w:rsidTr="007B22A7">
        <w:trPr>
          <w:trHeight w:val="20"/>
        </w:trPr>
        <w:tc>
          <w:tcPr>
            <w:tcW w:w="1491" w:type="dxa"/>
            <w:tcBorders>
              <w:top w:val="nil"/>
              <w:left w:val="nil"/>
              <w:bottom w:val="nil"/>
              <w:right w:val="nil"/>
            </w:tcBorders>
            <w:shd w:val="clear" w:color="auto" w:fill="auto"/>
            <w:vAlign w:val="center"/>
          </w:tcPr>
          <w:p w14:paraId="0B91DB37" w14:textId="6A95F360" w:rsidR="000435F8" w:rsidRPr="00D452A9" w:rsidRDefault="000435F8" w:rsidP="000435F8">
            <w:pPr>
              <w:spacing w:before="100" w:beforeAutospacing="1" w:after="0" w:line="276" w:lineRule="auto"/>
              <w:jc w:val="center"/>
              <w:rPr>
                <w:rFonts w:eastAsia="Times New Roman" w:cstheme="majorHAnsi"/>
                <w:b/>
                <w:bCs/>
                <w:color w:val="000000"/>
              </w:rPr>
            </w:pPr>
            <w:r w:rsidRPr="00D452A9">
              <w:rPr>
                <w:rFonts w:eastAsia="Times New Roman" w:cstheme="majorHAnsi"/>
                <w:b/>
                <w:bCs/>
                <w:color w:val="000000"/>
              </w:rPr>
              <w:t>M=200</w:t>
            </w:r>
          </w:p>
        </w:tc>
        <w:tc>
          <w:tcPr>
            <w:tcW w:w="1522" w:type="dxa"/>
            <w:tcBorders>
              <w:top w:val="nil"/>
              <w:left w:val="nil"/>
              <w:bottom w:val="nil"/>
              <w:right w:val="nil"/>
            </w:tcBorders>
            <w:shd w:val="clear" w:color="auto" w:fill="auto"/>
            <w:vAlign w:val="center"/>
          </w:tcPr>
          <w:p w14:paraId="75938B2B" w14:textId="402795C0"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0.132</w:t>
            </w:r>
          </w:p>
        </w:tc>
        <w:tc>
          <w:tcPr>
            <w:tcW w:w="797" w:type="dxa"/>
            <w:tcBorders>
              <w:top w:val="nil"/>
              <w:left w:val="nil"/>
              <w:bottom w:val="nil"/>
              <w:right w:val="nil"/>
            </w:tcBorders>
            <w:shd w:val="clear" w:color="auto" w:fill="auto"/>
            <w:vAlign w:val="center"/>
          </w:tcPr>
          <w:p w14:paraId="384EE7AF" w14:textId="7AD406C5"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0.108</w:t>
            </w:r>
          </w:p>
        </w:tc>
        <w:tc>
          <w:tcPr>
            <w:tcW w:w="1791" w:type="dxa"/>
            <w:tcBorders>
              <w:top w:val="nil"/>
              <w:left w:val="nil"/>
              <w:bottom w:val="nil"/>
              <w:right w:val="nil"/>
            </w:tcBorders>
            <w:shd w:val="clear" w:color="auto" w:fill="auto"/>
            <w:vAlign w:val="center"/>
          </w:tcPr>
          <w:p w14:paraId="461AF02D" w14:textId="51222949"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(-0.081, 0.344)</w:t>
            </w:r>
          </w:p>
        </w:tc>
        <w:tc>
          <w:tcPr>
            <w:tcW w:w="1678" w:type="dxa"/>
            <w:tcBorders>
              <w:top w:val="nil"/>
              <w:left w:val="nil"/>
              <w:bottom w:val="nil"/>
              <w:right w:val="nil"/>
            </w:tcBorders>
            <w:shd w:val="clear" w:color="auto" w:fill="auto"/>
            <w:vAlign w:val="center"/>
          </w:tcPr>
          <w:p w14:paraId="127CD2C1" w14:textId="32F0B906"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(-0.060, 0.360)</w:t>
            </w:r>
          </w:p>
        </w:tc>
        <w:tc>
          <w:tcPr>
            <w:tcW w:w="809" w:type="dxa"/>
            <w:gridSpan w:val="2"/>
            <w:tcBorders>
              <w:top w:val="nil"/>
              <w:left w:val="nil"/>
              <w:bottom w:val="nil"/>
              <w:right w:val="nil"/>
            </w:tcBorders>
            <w:shd w:val="clear" w:color="auto" w:fill="auto"/>
            <w:vAlign w:val="center"/>
          </w:tcPr>
          <w:p w14:paraId="59ADF8E0" w14:textId="2E2E35A5"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0.120</w:t>
            </w:r>
          </w:p>
        </w:tc>
        <w:tc>
          <w:tcPr>
            <w:tcW w:w="1812" w:type="dxa"/>
            <w:gridSpan w:val="2"/>
            <w:tcBorders>
              <w:top w:val="nil"/>
              <w:left w:val="nil"/>
              <w:bottom w:val="nil"/>
              <w:right w:val="nil"/>
            </w:tcBorders>
            <w:shd w:val="clear" w:color="auto" w:fill="auto"/>
            <w:vAlign w:val="center"/>
          </w:tcPr>
          <w:p w14:paraId="02317D26" w14:textId="38CCFB9D"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(-0.103, 0.366)</w:t>
            </w:r>
          </w:p>
        </w:tc>
      </w:tr>
      <w:tr w:rsidR="000435F8" w:rsidRPr="00D452A9" w14:paraId="3327CB84" w14:textId="77777777" w:rsidTr="00AE12F2">
        <w:trPr>
          <w:trHeight w:val="20"/>
        </w:trPr>
        <w:tc>
          <w:tcPr>
            <w:tcW w:w="1491" w:type="dxa"/>
            <w:tcBorders>
              <w:top w:val="nil"/>
              <w:left w:val="nil"/>
              <w:bottom w:val="nil"/>
              <w:right w:val="nil"/>
            </w:tcBorders>
            <w:shd w:val="clear" w:color="auto" w:fill="auto"/>
            <w:vAlign w:val="center"/>
          </w:tcPr>
          <w:p w14:paraId="3155ACEB" w14:textId="107AD903" w:rsidR="000435F8" w:rsidRPr="00D452A9" w:rsidRDefault="000435F8" w:rsidP="000435F8">
            <w:pPr>
              <w:spacing w:before="100" w:beforeAutospacing="1" w:after="0" w:line="276" w:lineRule="auto"/>
              <w:jc w:val="center"/>
              <w:rPr>
                <w:rFonts w:eastAsia="Times New Roman" w:cstheme="majorHAnsi"/>
                <w:b/>
                <w:bCs/>
                <w:color w:val="000000"/>
              </w:rPr>
            </w:pPr>
            <w:r w:rsidRPr="00D452A9">
              <w:rPr>
                <w:rFonts w:eastAsia="Times New Roman" w:cstheme="majorHAnsi"/>
                <w:b/>
                <w:bCs/>
                <w:color w:val="000000"/>
              </w:rPr>
              <w:t>M=1,000</w:t>
            </w:r>
          </w:p>
        </w:tc>
        <w:tc>
          <w:tcPr>
            <w:tcW w:w="1522" w:type="dxa"/>
            <w:tcBorders>
              <w:top w:val="nil"/>
              <w:left w:val="nil"/>
              <w:bottom w:val="nil"/>
              <w:right w:val="nil"/>
            </w:tcBorders>
            <w:shd w:val="clear" w:color="auto" w:fill="auto"/>
            <w:vAlign w:val="bottom"/>
          </w:tcPr>
          <w:p w14:paraId="3ED77A41" w14:textId="53E3F50C"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0.195</w:t>
            </w:r>
          </w:p>
        </w:tc>
        <w:tc>
          <w:tcPr>
            <w:tcW w:w="797" w:type="dxa"/>
            <w:tcBorders>
              <w:top w:val="nil"/>
              <w:left w:val="nil"/>
              <w:bottom w:val="nil"/>
              <w:right w:val="nil"/>
            </w:tcBorders>
            <w:shd w:val="clear" w:color="auto" w:fill="auto"/>
            <w:vAlign w:val="bottom"/>
          </w:tcPr>
          <w:p w14:paraId="6B79E302" w14:textId="6B3CA699"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0.091</w:t>
            </w:r>
          </w:p>
        </w:tc>
        <w:tc>
          <w:tcPr>
            <w:tcW w:w="1791" w:type="dxa"/>
            <w:tcBorders>
              <w:top w:val="nil"/>
              <w:left w:val="nil"/>
              <w:bottom w:val="nil"/>
              <w:right w:val="nil"/>
            </w:tcBorders>
            <w:shd w:val="clear" w:color="auto" w:fill="auto"/>
            <w:vAlign w:val="bottom"/>
          </w:tcPr>
          <w:p w14:paraId="3E06A3EF" w14:textId="10D0223D"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(0.017, 0.374)</w:t>
            </w:r>
          </w:p>
        </w:tc>
        <w:tc>
          <w:tcPr>
            <w:tcW w:w="1678" w:type="dxa"/>
            <w:tcBorders>
              <w:top w:val="nil"/>
              <w:left w:val="nil"/>
              <w:bottom w:val="nil"/>
              <w:right w:val="nil"/>
            </w:tcBorders>
            <w:shd w:val="clear" w:color="auto" w:fill="auto"/>
            <w:vAlign w:val="bottom"/>
          </w:tcPr>
          <w:p w14:paraId="1FCBEA5B" w14:textId="1BBE2BCB"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(0.040, 0.397)</w:t>
            </w:r>
          </w:p>
        </w:tc>
        <w:tc>
          <w:tcPr>
            <w:tcW w:w="809" w:type="dxa"/>
            <w:gridSpan w:val="2"/>
            <w:tcBorders>
              <w:top w:val="nil"/>
              <w:left w:val="nil"/>
              <w:bottom w:val="nil"/>
              <w:right w:val="nil"/>
            </w:tcBorders>
            <w:shd w:val="clear" w:color="auto" w:fill="auto"/>
            <w:vAlign w:val="bottom"/>
          </w:tcPr>
          <w:p w14:paraId="6CEA796D" w14:textId="69A2D5F9"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0.101</w:t>
            </w:r>
          </w:p>
        </w:tc>
        <w:tc>
          <w:tcPr>
            <w:tcW w:w="1812" w:type="dxa"/>
            <w:gridSpan w:val="2"/>
            <w:tcBorders>
              <w:top w:val="nil"/>
              <w:left w:val="nil"/>
              <w:bottom w:val="nil"/>
              <w:right w:val="nil"/>
            </w:tcBorders>
            <w:shd w:val="clear" w:color="auto" w:fill="auto"/>
            <w:vAlign w:val="bottom"/>
          </w:tcPr>
          <w:p w14:paraId="7A4138AA" w14:textId="26F79962"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(-0.003, 0.394)</w:t>
            </w:r>
          </w:p>
        </w:tc>
      </w:tr>
      <w:tr w:rsidR="000435F8" w:rsidRPr="00D452A9" w14:paraId="05E44457" w14:textId="77777777" w:rsidTr="000B75F7">
        <w:trPr>
          <w:trHeight w:val="20"/>
        </w:trPr>
        <w:tc>
          <w:tcPr>
            <w:tcW w:w="1491" w:type="dxa"/>
            <w:tcBorders>
              <w:top w:val="nil"/>
              <w:left w:val="nil"/>
              <w:right w:val="nil"/>
            </w:tcBorders>
            <w:shd w:val="clear" w:color="auto" w:fill="auto"/>
            <w:vAlign w:val="center"/>
          </w:tcPr>
          <w:p w14:paraId="18B7673D" w14:textId="093612E3" w:rsidR="000435F8" w:rsidRPr="00D452A9" w:rsidRDefault="000435F8" w:rsidP="000435F8">
            <w:pPr>
              <w:spacing w:before="100" w:beforeAutospacing="1" w:after="0" w:line="276" w:lineRule="auto"/>
              <w:jc w:val="center"/>
              <w:rPr>
                <w:rFonts w:eastAsia="Times New Roman" w:cstheme="majorHAnsi"/>
                <w:b/>
                <w:bCs/>
                <w:color w:val="000000"/>
              </w:rPr>
            </w:pPr>
            <w:r w:rsidRPr="00D452A9">
              <w:rPr>
                <w:rFonts w:eastAsia="Times New Roman" w:cstheme="majorHAnsi"/>
                <w:b/>
                <w:bCs/>
                <w:color w:val="000000"/>
              </w:rPr>
              <w:t>M=5,000</w:t>
            </w:r>
          </w:p>
        </w:tc>
        <w:tc>
          <w:tcPr>
            <w:tcW w:w="1522" w:type="dxa"/>
            <w:tcBorders>
              <w:top w:val="nil"/>
              <w:left w:val="nil"/>
              <w:right w:val="nil"/>
            </w:tcBorders>
            <w:shd w:val="clear" w:color="auto" w:fill="auto"/>
            <w:vAlign w:val="bottom"/>
          </w:tcPr>
          <w:p w14:paraId="4F00524C" w14:textId="7A7F52F2"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0.204</w:t>
            </w:r>
          </w:p>
        </w:tc>
        <w:tc>
          <w:tcPr>
            <w:tcW w:w="797" w:type="dxa"/>
            <w:tcBorders>
              <w:top w:val="nil"/>
              <w:left w:val="nil"/>
              <w:right w:val="nil"/>
            </w:tcBorders>
            <w:shd w:val="clear" w:color="auto" w:fill="auto"/>
            <w:vAlign w:val="bottom"/>
          </w:tcPr>
          <w:p w14:paraId="5A61FDDB" w14:textId="019E0EDF"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0.085</w:t>
            </w:r>
          </w:p>
        </w:tc>
        <w:tc>
          <w:tcPr>
            <w:tcW w:w="1791" w:type="dxa"/>
            <w:tcBorders>
              <w:top w:val="nil"/>
              <w:left w:val="nil"/>
              <w:right w:val="nil"/>
            </w:tcBorders>
            <w:shd w:val="clear" w:color="auto" w:fill="auto"/>
            <w:vAlign w:val="bottom"/>
          </w:tcPr>
          <w:p w14:paraId="7C54A900" w14:textId="27AD255B"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(0.038, 0.370)</w:t>
            </w:r>
          </w:p>
        </w:tc>
        <w:tc>
          <w:tcPr>
            <w:tcW w:w="1678" w:type="dxa"/>
            <w:tcBorders>
              <w:top w:val="nil"/>
              <w:left w:val="nil"/>
              <w:right w:val="nil"/>
            </w:tcBorders>
            <w:shd w:val="clear" w:color="auto" w:fill="auto"/>
            <w:vAlign w:val="bottom"/>
          </w:tcPr>
          <w:p w14:paraId="56E45B29" w14:textId="387ECB35"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(0.039, 0.375)</w:t>
            </w:r>
          </w:p>
        </w:tc>
        <w:tc>
          <w:tcPr>
            <w:tcW w:w="809" w:type="dxa"/>
            <w:gridSpan w:val="2"/>
            <w:tcBorders>
              <w:top w:val="nil"/>
              <w:left w:val="nil"/>
              <w:right w:val="nil"/>
            </w:tcBorders>
            <w:shd w:val="clear" w:color="auto" w:fill="auto"/>
            <w:vAlign w:val="bottom"/>
          </w:tcPr>
          <w:p w14:paraId="118A1EF8" w14:textId="7346899A"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0.090</w:t>
            </w:r>
          </w:p>
        </w:tc>
        <w:tc>
          <w:tcPr>
            <w:tcW w:w="1812" w:type="dxa"/>
            <w:gridSpan w:val="2"/>
            <w:tcBorders>
              <w:top w:val="nil"/>
              <w:left w:val="nil"/>
              <w:right w:val="nil"/>
            </w:tcBorders>
            <w:shd w:val="clear" w:color="auto" w:fill="auto"/>
            <w:vAlign w:val="bottom"/>
          </w:tcPr>
          <w:p w14:paraId="7AD2D938" w14:textId="7419DD44"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cstheme="majorHAnsi"/>
                <w:color w:val="000000"/>
              </w:rPr>
              <w:t>(0.028, 0.379)</w:t>
            </w:r>
          </w:p>
        </w:tc>
      </w:tr>
      <w:tr w:rsidR="000435F8" w:rsidRPr="00D452A9" w14:paraId="281E0549" w14:textId="77777777" w:rsidTr="007B22A7">
        <w:trPr>
          <w:trHeight w:val="20"/>
        </w:trPr>
        <w:tc>
          <w:tcPr>
            <w:tcW w:w="1491" w:type="dxa"/>
            <w:tcBorders>
              <w:top w:val="nil"/>
              <w:left w:val="nil"/>
              <w:bottom w:val="nil"/>
              <w:right w:val="nil"/>
            </w:tcBorders>
            <w:shd w:val="clear" w:color="auto" w:fill="auto"/>
            <w:vAlign w:val="center"/>
          </w:tcPr>
          <w:p w14:paraId="211E6EFC" w14:textId="37EC5EE5" w:rsidR="000435F8" w:rsidRPr="00D452A9" w:rsidRDefault="000435F8" w:rsidP="000435F8">
            <w:pPr>
              <w:spacing w:before="100" w:beforeAutospacing="1" w:after="0" w:line="276" w:lineRule="auto"/>
              <w:jc w:val="center"/>
              <w:rPr>
                <w:rFonts w:eastAsia="Times New Roman" w:cstheme="majorHAnsi"/>
                <w:b/>
                <w:bCs/>
                <w:color w:val="000000"/>
              </w:rPr>
            </w:pPr>
            <w:r w:rsidRPr="00D452A9">
              <w:rPr>
                <w:rFonts w:eastAsia="Times New Roman" w:cstheme="majorHAnsi"/>
                <w:b/>
                <w:bCs/>
                <w:color w:val="000000"/>
              </w:rPr>
              <w:t>M=245,772</w:t>
            </w:r>
          </w:p>
        </w:tc>
        <w:tc>
          <w:tcPr>
            <w:tcW w:w="1522" w:type="dxa"/>
            <w:tcBorders>
              <w:top w:val="nil"/>
              <w:left w:val="nil"/>
              <w:bottom w:val="nil"/>
              <w:right w:val="nil"/>
            </w:tcBorders>
            <w:shd w:val="clear" w:color="auto" w:fill="auto"/>
            <w:vAlign w:val="center"/>
          </w:tcPr>
          <w:p w14:paraId="279487EC" w14:textId="020156CE"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0.188</w:t>
            </w:r>
          </w:p>
        </w:tc>
        <w:tc>
          <w:tcPr>
            <w:tcW w:w="797" w:type="dxa"/>
            <w:tcBorders>
              <w:top w:val="nil"/>
              <w:left w:val="nil"/>
              <w:bottom w:val="nil"/>
              <w:right w:val="nil"/>
            </w:tcBorders>
            <w:shd w:val="clear" w:color="auto" w:fill="auto"/>
            <w:vAlign w:val="center"/>
          </w:tcPr>
          <w:p w14:paraId="082F426D" w14:textId="086BC7A0"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0.081</w:t>
            </w:r>
          </w:p>
        </w:tc>
        <w:tc>
          <w:tcPr>
            <w:tcW w:w="1791" w:type="dxa"/>
            <w:tcBorders>
              <w:top w:val="nil"/>
              <w:left w:val="nil"/>
              <w:bottom w:val="nil"/>
              <w:right w:val="nil"/>
            </w:tcBorders>
            <w:shd w:val="clear" w:color="auto" w:fill="auto"/>
            <w:vAlign w:val="center"/>
          </w:tcPr>
          <w:p w14:paraId="18141356" w14:textId="29D5EDBD"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(0.028, 0.347)</w:t>
            </w:r>
          </w:p>
        </w:tc>
        <w:tc>
          <w:tcPr>
            <w:tcW w:w="1678" w:type="dxa"/>
            <w:tcBorders>
              <w:top w:val="nil"/>
              <w:left w:val="nil"/>
              <w:bottom w:val="nil"/>
              <w:right w:val="nil"/>
            </w:tcBorders>
            <w:shd w:val="clear" w:color="auto" w:fill="auto"/>
            <w:vAlign w:val="center"/>
          </w:tcPr>
          <w:p w14:paraId="55368582" w14:textId="0F0E475E"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(0.049, 0.360)</w:t>
            </w:r>
          </w:p>
        </w:tc>
        <w:tc>
          <w:tcPr>
            <w:tcW w:w="809" w:type="dxa"/>
            <w:gridSpan w:val="2"/>
            <w:tcBorders>
              <w:top w:val="nil"/>
              <w:left w:val="nil"/>
              <w:bottom w:val="nil"/>
              <w:right w:val="nil"/>
            </w:tcBorders>
            <w:shd w:val="clear" w:color="auto" w:fill="auto"/>
            <w:vAlign w:val="center"/>
          </w:tcPr>
          <w:p w14:paraId="27ACC011" w14:textId="31D491F7"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0.076</w:t>
            </w:r>
          </w:p>
        </w:tc>
        <w:tc>
          <w:tcPr>
            <w:tcW w:w="1812" w:type="dxa"/>
            <w:gridSpan w:val="2"/>
            <w:tcBorders>
              <w:top w:val="nil"/>
              <w:left w:val="nil"/>
              <w:bottom w:val="nil"/>
              <w:right w:val="nil"/>
            </w:tcBorders>
            <w:shd w:val="clear" w:color="auto" w:fill="auto"/>
            <w:vAlign w:val="center"/>
          </w:tcPr>
          <w:p w14:paraId="29511EF9" w14:textId="42F08463" w:rsidR="000435F8" w:rsidRPr="00D452A9" w:rsidRDefault="000435F8" w:rsidP="000435F8">
            <w:pPr>
              <w:spacing w:before="100" w:beforeAutospacing="1" w:after="0" w:line="276" w:lineRule="auto"/>
              <w:jc w:val="center"/>
              <w:rPr>
                <w:rFonts w:eastAsia="Times New Roman" w:cstheme="majorHAnsi"/>
                <w:color w:val="000000"/>
              </w:rPr>
            </w:pPr>
            <w:r w:rsidRPr="00D452A9">
              <w:rPr>
                <w:rFonts w:eastAsia="Times New Roman" w:cstheme="majorHAnsi"/>
                <w:color w:val="000000"/>
              </w:rPr>
              <w:t>(0.038, 0.338)</w:t>
            </w:r>
          </w:p>
        </w:tc>
      </w:tr>
      <w:tr w:rsidR="000435F8" w:rsidRPr="00D452A9" w14:paraId="560D99D4" w14:textId="77777777" w:rsidTr="000B75F7">
        <w:trPr>
          <w:trHeight w:val="20"/>
        </w:trPr>
        <w:tc>
          <w:tcPr>
            <w:tcW w:w="1491" w:type="dxa"/>
            <w:tcBorders>
              <w:top w:val="nil"/>
              <w:left w:val="nil"/>
              <w:bottom w:val="single" w:sz="4" w:space="0" w:color="auto"/>
              <w:right w:val="nil"/>
            </w:tcBorders>
            <w:shd w:val="clear" w:color="auto" w:fill="auto"/>
            <w:vAlign w:val="center"/>
          </w:tcPr>
          <w:p w14:paraId="22BD784B" w14:textId="2013AF62" w:rsidR="000435F8" w:rsidRPr="00D452A9" w:rsidRDefault="000435F8" w:rsidP="000435F8">
            <w:pPr>
              <w:spacing w:before="100" w:beforeAutospacing="1" w:after="0" w:line="276" w:lineRule="auto"/>
              <w:jc w:val="center"/>
              <w:rPr>
                <w:rFonts w:eastAsia="Times New Roman" w:cstheme="majorHAnsi"/>
                <w:b/>
                <w:bCs/>
                <w:color w:val="000000"/>
              </w:rPr>
            </w:pPr>
            <w:r w:rsidRPr="00D452A9">
              <w:rPr>
                <w:rFonts w:eastAsia="Times New Roman" w:cstheme="majorHAnsi"/>
                <w:b/>
                <w:bCs/>
                <w:color w:val="000000"/>
              </w:rPr>
              <w:t>(Full)</w:t>
            </w:r>
          </w:p>
        </w:tc>
        <w:tc>
          <w:tcPr>
            <w:tcW w:w="1522" w:type="dxa"/>
            <w:tcBorders>
              <w:top w:val="nil"/>
              <w:left w:val="nil"/>
              <w:bottom w:val="single" w:sz="4" w:space="0" w:color="auto"/>
              <w:right w:val="nil"/>
            </w:tcBorders>
            <w:shd w:val="clear" w:color="auto" w:fill="auto"/>
            <w:vAlign w:val="center"/>
          </w:tcPr>
          <w:p w14:paraId="59BCA69E" w14:textId="77777777" w:rsidR="000435F8" w:rsidRPr="00D452A9" w:rsidRDefault="000435F8" w:rsidP="000435F8">
            <w:pPr>
              <w:spacing w:before="100" w:beforeAutospacing="1" w:after="0" w:line="276" w:lineRule="auto"/>
              <w:jc w:val="center"/>
              <w:rPr>
                <w:rFonts w:eastAsia="Times New Roman" w:cstheme="majorHAnsi"/>
                <w:color w:val="000000"/>
              </w:rPr>
            </w:pPr>
          </w:p>
        </w:tc>
        <w:tc>
          <w:tcPr>
            <w:tcW w:w="797" w:type="dxa"/>
            <w:tcBorders>
              <w:top w:val="nil"/>
              <w:left w:val="nil"/>
              <w:bottom w:val="single" w:sz="4" w:space="0" w:color="auto"/>
              <w:right w:val="nil"/>
            </w:tcBorders>
            <w:shd w:val="clear" w:color="auto" w:fill="auto"/>
            <w:vAlign w:val="center"/>
          </w:tcPr>
          <w:p w14:paraId="3550DF47" w14:textId="77777777" w:rsidR="000435F8" w:rsidRPr="00D452A9" w:rsidRDefault="000435F8" w:rsidP="000435F8">
            <w:pPr>
              <w:spacing w:before="100" w:beforeAutospacing="1" w:after="0" w:line="276" w:lineRule="auto"/>
              <w:jc w:val="center"/>
              <w:rPr>
                <w:rFonts w:eastAsia="Times New Roman" w:cstheme="majorHAnsi"/>
                <w:color w:val="000000"/>
              </w:rPr>
            </w:pPr>
          </w:p>
        </w:tc>
        <w:tc>
          <w:tcPr>
            <w:tcW w:w="1791" w:type="dxa"/>
            <w:tcBorders>
              <w:top w:val="nil"/>
              <w:left w:val="nil"/>
              <w:bottom w:val="single" w:sz="4" w:space="0" w:color="auto"/>
              <w:right w:val="nil"/>
            </w:tcBorders>
            <w:shd w:val="clear" w:color="auto" w:fill="auto"/>
            <w:vAlign w:val="center"/>
          </w:tcPr>
          <w:p w14:paraId="7A928580" w14:textId="77777777" w:rsidR="000435F8" w:rsidRPr="00D452A9" w:rsidRDefault="000435F8" w:rsidP="000435F8">
            <w:pPr>
              <w:spacing w:before="100" w:beforeAutospacing="1" w:after="0" w:line="276" w:lineRule="auto"/>
              <w:jc w:val="center"/>
              <w:rPr>
                <w:rFonts w:eastAsia="Times New Roman" w:cstheme="majorHAnsi"/>
                <w:color w:val="000000"/>
              </w:rPr>
            </w:pPr>
          </w:p>
        </w:tc>
        <w:tc>
          <w:tcPr>
            <w:tcW w:w="1678" w:type="dxa"/>
            <w:tcBorders>
              <w:top w:val="nil"/>
              <w:left w:val="nil"/>
              <w:bottom w:val="single" w:sz="4" w:space="0" w:color="auto"/>
              <w:right w:val="nil"/>
            </w:tcBorders>
            <w:shd w:val="clear" w:color="auto" w:fill="auto"/>
            <w:vAlign w:val="center"/>
          </w:tcPr>
          <w:p w14:paraId="6218701E" w14:textId="77777777" w:rsidR="000435F8" w:rsidRPr="00D452A9" w:rsidRDefault="000435F8" w:rsidP="000435F8">
            <w:pPr>
              <w:spacing w:before="100" w:beforeAutospacing="1" w:after="0" w:line="276" w:lineRule="auto"/>
              <w:jc w:val="center"/>
              <w:rPr>
                <w:rFonts w:eastAsia="Times New Roman" w:cstheme="majorHAnsi"/>
                <w:color w:val="000000"/>
              </w:rPr>
            </w:pPr>
          </w:p>
        </w:tc>
        <w:tc>
          <w:tcPr>
            <w:tcW w:w="809" w:type="dxa"/>
            <w:gridSpan w:val="2"/>
            <w:tcBorders>
              <w:top w:val="nil"/>
              <w:left w:val="nil"/>
              <w:bottom w:val="single" w:sz="4" w:space="0" w:color="auto"/>
              <w:right w:val="nil"/>
            </w:tcBorders>
            <w:shd w:val="clear" w:color="auto" w:fill="auto"/>
            <w:vAlign w:val="center"/>
          </w:tcPr>
          <w:p w14:paraId="5E920909" w14:textId="77777777" w:rsidR="000435F8" w:rsidRPr="00D452A9" w:rsidRDefault="000435F8" w:rsidP="000435F8">
            <w:pPr>
              <w:spacing w:before="100" w:beforeAutospacing="1" w:after="0" w:line="276" w:lineRule="auto"/>
              <w:jc w:val="center"/>
              <w:rPr>
                <w:rFonts w:eastAsia="Times New Roman" w:cstheme="majorHAnsi"/>
                <w:color w:val="000000"/>
              </w:rPr>
            </w:pPr>
          </w:p>
        </w:tc>
        <w:tc>
          <w:tcPr>
            <w:tcW w:w="1812" w:type="dxa"/>
            <w:gridSpan w:val="2"/>
            <w:tcBorders>
              <w:top w:val="nil"/>
              <w:left w:val="nil"/>
              <w:bottom w:val="single" w:sz="4" w:space="0" w:color="auto"/>
              <w:right w:val="nil"/>
            </w:tcBorders>
            <w:shd w:val="clear" w:color="auto" w:fill="auto"/>
            <w:vAlign w:val="center"/>
          </w:tcPr>
          <w:p w14:paraId="23718BD1" w14:textId="77777777" w:rsidR="000435F8" w:rsidRPr="00D452A9" w:rsidRDefault="000435F8" w:rsidP="000435F8">
            <w:pPr>
              <w:spacing w:before="100" w:beforeAutospacing="1" w:after="0" w:line="276" w:lineRule="auto"/>
              <w:jc w:val="center"/>
              <w:rPr>
                <w:rFonts w:eastAsia="Times New Roman" w:cstheme="majorHAnsi"/>
                <w:color w:val="000000"/>
              </w:rPr>
            </w:pPr>
          </w:p>
        </w:tc>
      </w:tr>
    </w:tbl>
    <w:p w14:paraId="3EC82C4E" w14:textId="77777777" w:rsidR="00C03210" w:rsidRPr="00D452A9" w:rsidRDefault="00C03210" w:rsidP="00C03210">
      <w:pPr>
        <w:rPr>
          <w:rFonts w:cstheme="majorHAnsi"/>
        </w:rPr>
      </w:pPr>
    </w:p>
    <w:p w14:paraId="04357E5F" w14:textId="77777777" w:rsidR="00C03210" w:rsidRPr="00D452A9" w:rsidRDefault="00C03210" w:rsidP="00C03210">
      <w:pPr>
        <w:rPr>
          <w:rFonts w:cstheme="majorHAnsi"/>
        </w:rPr>
      </w:pPr>
    </w:p>
    <w:p w14:paraId="57C36B16" w14:textId="5315D761" w:rsidR="00CE7604" w:rsidRPr="00D452A9" w:rsidRDefault="00CE7604">
      <w:pPr>
        <w:rPr>
          <w:rFonts w:cstheme="majorHAnsi"/>
        </w:rPr>
      </w:pPr>
      <w:r w:rsidRPr="00D452A9">
        <w:rPr>
          <w:rFonts w:cstheme="majorHAnsi"/>
        </w:rPr>
        <w:br w:type="page"/>
      </w:r>
    </w:p>
    <w:p w14:paraId="248FB7B3" w14:textId="0D8F913C" w:rsidR="008D7401" w:rsidRPr="00D452A9" w:rsidRDefault="00000000" w:rsidP="00CE7604">
      <w:pPr>
        <w:pStyle w:val="Heading1"/>
        <w:rPr>
          <w:rFonts w:cstheme="majorHAnsi"/>
        </w:rPr>
      </w:pPr>
      <w:r w:rsidRPr="00D452A9">
        <w:rPr>
          <w:rFonts w:cstheme="majorHAnsi"/>
        </w:rPr>
        <w:lastRenderedPageBreak/>
        <w:t>References</w:t>
      </w:r>
    </w:p>
    <w:p w14:paraId="2EBBD0FD" w14:textId="77777777" w:rsidR="00227BD0" w:rsidRPr="00D452A9" w:rsidRDefault="002D0535" w:rsidP="00227BD0">
      <w:pPr>
        <w:pStyle w:val="Bibliography"/>
        <w:rPr>
          <w:rFonts w:cstheme="majorHAnsi"/>
        </w:rPr>
      </w:pPr>
      <w:bookmarkStart w:id="61" w:name="supmat"/>
      <w:bookmarkEnd w:id="57"/>
      <w:r w:rsidRPr="00D452A9">
        <w:rPr>
          <w:rFonts w:cstheme="majorHAnsi"/>
        </w:rPr>
        <w:t xml:space="preserve"> </w:t>
      </w:r>
      <w:r w:rsidR="00E21B06" w:rsidRPr="00D452A9">
        <w:rPr>
          <w:rFonts w:cstheme="majorHAnsi"/>
        </w:rPr>
        <w:fldChar w:fldCharType="begin"/>
      </w:r>
      <w:r w:rsidR="002A2753" w:rsidRPr="00D452A9">
        <w:rPr>
          <w:rFonts w:cstheme="majorHAnsi"/>
        </w:rPr>
        <w:instrText xml:space="preserve"> ADDIN ZOTERO_BIBL {"uncited":[],"omitted":[],"custom":[]} CSL_BIBLIOGRAPHY </w:instrText>
      </w:r>
      <w:r w:rsidR="00E21B06" w:rsidRPr="00D452A9">
        <w:rPr>
          <w:rFonts w:cstheme="majorHAnsi"/>
        </w:rPr>
        <w:fldChar w:fldCharType="separate"/>
      </w:r>
      <w:r w:rsidR="00227BD0" w:rsidRPr="00D452A9">
        <w:rPr>
          <w:rFonts w:cstheme="majorHAnsi"/>
        </w:rPr>
        <w:t xml:space="preserve">1. </w:t>
      </w:r>
      <w:r w:rsidR="00227BD0" w:rsidRPr="00D452A9">
        <w:rPr>
          <w:rFonts w:cstheme="majorHAnsi"/>
        </w:rPr>
        <w:tab/>
        <w:t xml:space="preserve">Poole C. A history of the population attributable fraction and related measures. </w:t>
      </w:r>
      <w:r w:rsidR="00227BD0" w:rsidRPr="00D452A9">
        <w:rPr>
          <w:rFonts w:cstheme="majorHAnsi"/>
          <w:i/>
          <w:iCs/>
        </w:rPr>
        <w:t>Ann. Epidemiol.</w:t>
      </w:r>
      <w:r w:rsidR="00227BD0" w:rsidRPr="00D452A9">
        <w:rPr>
          <w:rFonts w:cstheme="majorHAnsi"/>
        </w:rPr>
        <w:t xml:space="preserve"> 2015;25(3):147–154. </w:t>
      </w:r>
    </w:p>
    <w:p w14:paraId="764D3CD1" w14:textId="77777777" w:rsidR="00227BD0" w:rsidRPr="00D452A9" w:rsidRDefault="00227BD0" w:rsidP="00227BD0">
      <w:pPr>
        <w:pStyle w:val="Bibliography"/>
        <w:rPr>
          <w:rFonts w:cstheme="majorHAnsi"/>
        </w:rPr>
      </w:pPr>
      <w:r w:rsidRPr="00D452A9">
        <w:rPr>
          <w:rFonts w:cstheme="majorHAnsi"/>
        </w:rPr>
        <w:t xml:space="preserve">2. </w:t>
      </w:r>
      <w:r w:rsidRPr="00D452A9">
        <w:rPr>
          <w:rFonts w:cstheme="majorHAnsi"/>
        </w:rPr>
        <w:tab/>
        <w:t xml:space="preserve">Suzuki E, Yamamoto E. Attributable fraction and related measures: Conceptual relations in the counterfactual framework. </w:t>
      </w:r>
      <w:r w:rsidRPr="00D452A9">
        <w:rPr>
          <w:rFonts w:cstheme="majorHAnsi"/>
          <w:i/>
          <w:iCs/>
        </w:rPr>
        <w:t>J. Causal Inference</w:t>
      </w:r>
      <w:r w:rsidRPr="00D452A9">
        <w:rPr>
          <w:rFonts w:cstheme="majorHAnsi"/>
        </w:rPr>
        <w:t xml:space="preserve"> [electronic article]. 2023;11(1). (https://www.degruyter.com/document/doi/10.1515/jci-2021-0068/html). (Accessed April 10, 2023)</w:t>
      </w:r>
    </w:p>
    <w:p w14:paraId="0C232600" w14:textId="77777777" w:rsidR="00227BD0" w:rsidRPr="00D452A9" w:rsidRDefault="00227BD0" w:rsidP="00227BD0">
      <w:pPr>
        <w:pStyle w:val="Bibliography"/>
        <w:rPr>
          <w:rFonts w:cstheme="majorHAnsi"/>
        </w:rPr>
      </w:pPr>
      <w:r w:rsidRPr="00D452A9">
        <w:rPr>
          <w:rFonts w:cstheme="majorHAnsi"/>
        </w:rPr>
        <w:t xml:space="preserve">3. </w:t>
      </w:r>
      <w:r w:rsidRPr="00D452A9">
        <w:rPr>
          <w:rFonts w:cstheme="majorHAnsi"/>
        </w:rPr>
        <w:tab/>
        <w:t xml:space="preserve">Northridge ME. Public health methods--attributable risk as a link between causality and public health action. </w:t>
      </w:r>
      <w:r w:rsidRPr="00D452A9">
        <w:rPr>
          <w:rFonts w:cstheme="majorHAnsi"/>
          <w:i/>
          <w:iCs/>
        </w:rPr>
        <w:t>Am. J. Public Health</w:t>
      </w:r>
      <w:r w:rsidRPr="00D452A9">
        <w:rPr>
          <w:rFonts w:cstheme="majorHAnsi"/>
        </w:rPr>
        <w:t xml:space="preserve">. 1995;85(9):1202–1204. </w:t>
      </w:r>
    </w:p>
    <w:p w14:paraId="3B757C15" w14:textId="77777777" w:rsidR="00227BD0" w:rsidRPr="00D452A9" w:rsidRDefault="00227BD0" w:rsidP="00227BD0">
      <w:pPr>
        <w:pStyle w:val="Bibliography"/>
        <w:rPr>
          <w:rFonts w:cstheme="majorHAnsi"/>
        </w:rPr>
      </w:pPr>
      <w:r w:rsidRPr="00D452A9">
        <w:rPr>
          <w:rFonts w:cstheme="majorHAnsi"/>
        </w:rPr>
        <w:t xml:space="preserve">4. </w:t>
      </w:r>
      <w:r w:rsidRPr="00D452A9">
        <w:rPr>
          <w:rFonts w:cstheme="majorHAnsi"/>
        </w:rPr>
        <w:tab/>
        <w:t xml:space="preserve">Rockhill B, Newman B, Weinberg C. Use and misuse of population attributable fractions. </w:t>
      </w:r>
      <w:r w:rsidRPr="00D452A9">
        <w:rPr>
          <w:rFonts w:cstheme="majorHAnsi"/>
          <w:i/>
          <w:iCs/>
        </w:rPr>
        <w:t>Am. J. Public Health</w:t>
      </w:r>
      <w:r w:rsidRPr="00D452A9">
        <w:rPr>
          <w:rFonts w:cstheme="majorHAnsi"/>
        </w:rPr>
        <w:t xml:space="preserve">. 1998;88(1):15–19. </w:t>
      </w:r>
    </w:p>
    <w:p w14:paraId="2526004E" w14:textId="77777777" w:rsidR="00227BD0" w:rsidRPr="00D452A9" w:rsidRDefault="00227BD0" w:rsidP="00227BD0">
      <w:pPr>
        <w:pStyle w:val="Bibliography"/>
        <w:rPr>
          <w:rFonts w:cstheme="majorHAnsi"/>
        </w:rPr>
      </w:pPr>
      <w:r w:rsidRPr="00D452A9">
        <w:rPr>
          <w:rFonts w:cstheme="majorHAnsi"/>
        </w:rPr>
        <w:t xml:space="preserve">5. </w:t>
      </w:r>
      <w:r w:rsidRPr="00D452A9">
        <w:rPr>
          <w:rFonts w:cstheme="majorHAnsi"/>
        </w:rPr>
        <w:tab/>
        <w:t xml:space="preserve">Williamson DF. The population attributable fraction and confounding: buyer beware: Special Issue: Perspective. </w:t>
      </w:r>
      <w:r w:rsidRPr="00D452A9">
        <w:rPr>
          <w:rFonts w:cstheme="majorHAnsi"/>
          <w:i/>
          <w:iCs/>
        </w:rPr>
        <w:t>Int. J. Clin. Pract.</w:t>
      </w:r>
      <w:r w:rsidRPr="00D452A9">
        <w:rPr>
          <w:rFonts w:cstheme="majorHAnsi"/>
        </w:rPr>
        <w:t xml:space="preserve"> 2010;64(8):1019–1023. </w:t>
      </w:r>
    </w:p>
    <w:p w14:paraId="3DE67F89" w14:textId="77777777" w:rsidR="00227BD0" w:rsidRPr="00D452A9" w:rsidRDefault="00227BD0" w:rsidP="00227BD0">
      <w:pPr>
        <w:pStyle w:val="Bibliography"/>
        <w:rPr>
          <w:rFonts w:cstheme="majorHAnsi"/>
        </w:rPr>
      </w:pPr>
      <w:r w:rsidRPr="00D452A9">
        <w:rPr>
          <w:rFonts w:cstheme="majorHAnsi"/>
        </w:rPr>
        <w:t xml:space="preserve">6. </w:t>
      </w:r>
      <w:r w:rsidRPr="00D452A9">
        <w:rPr>
          <w:rFonts w:cstheme="majorHAnsi"/>
        </w:rPr>
        <w:tab/>
        <w:t xml:space="preserve">Greenland S. Interval estimation by simulation as an alternative to and extension of confidence intervals. </w:t>
      </w:r>
      <w:r w:rsidRPr="00D452A9">
        <w:rPr>
          <w:rFonts w:cstheme="majorHAnsi"/>
          <w:i/>
          <w:iCs/>
        </w:rPr>
        <w:t>Int. J. Epidemiol.</w:t>
      </w:r>
      <w:r w:rsidRPr="00D452A9">
        <w:rPr>
          <w:rFonts w:cstheme="majorHAnsi"/>
        </w:rPr>
        <w:t xml:space="preserve"> 2004;33(6):1389–1397. </w:t>
      </w:r>
    </w:p>
    <w:p w14:paraId="4EB78462" w14:textId="77777777" w:rsidR="00227BD0" w:rsidRPr="00D452A9" w:rsidRDefault="00227BD0" w:rsidP="00227BD0">
      <w:pPr>
        <w:pStyle w:val="Bibliography"/>
        <w:rPr>
          <w:rFonts w:cstheme="majorHAnsi"/>
        </w:rPr>
      </w:pPr>
      <w:r w:rsidRPr="00D452A9">
        <w:rPr>
          <w:rFonts w:cstheme="majorHAnsi"/>
        </w:rPr>
        <w:t xml:space="preserve">7. </w:t>
      </w:r>
      <w:r w:rsidRPr="00D452A9">
        <w:rPr>
          <w:rFonts w:cstheme="majorHAnsi"/>
        </w:rPr>
        <w:tab/>
        <w:t xml:space="preserve">Bar SE, Kalish LA, Miotri P, et al. The Women’s Interagency HIV Study. </w:t>
      </w:r>
      <w:r w:rsidRPr="00D452A9">
        <w:rPr>
          <w:rFonts w:cstheme="majorHAnsi"/>
          <w:i/>
          <w:iCs/>
        </w:rPr>
        <w:t>Epidemiology</w:t>
      </w:r>
      <w:r w:rsidRPr="00D452A9">
        <w:rPr>
          <w:rFonts w:cstheme="majorHAnsi"/>
        </w:rPr>
        <w:t xml:space="preserve">. 1998;9(2):10. </w:t>
      </w:r>
    </w:p>
    <w:p w14:paraId="715E86BB" w14:textId="77777777" w:rsidR="00227BD0" w:rsidRPr="00D452A9" w:rsidRDefault="00227BD0" w:rsidP="00227BD0">
      <w:pPr>
        <w:pStyle w:val="Bibliography"/>
        <w:rPr>
          <w:rFonts w:cstheme="majorHAnsi"/>
        </w:rPr>
      </w:pPr>
      <w:r w:rsidRPr="00D452A9">
        <w:rPr>
          <w:rFonts w:cstheme="majorHAnsi"/>
        </w:rPr>
        <w:t xml:space="preserve">8. </w:t>
      </w:r>
      <w:r w:rsidRPr="00D452A9">
        <w:rPr>
          <w:rFonts w:cstheme="majorHAnsi"/>
        </w:rPr>
        <w:tab/>
        <w:t xml:space="preserve">Golub ET, Benning L, Sharma A, et al. Patterns, Predictors, and Consequences of Initial Regimen Type among HIV-Infected Women Receiving Highly Active Antiretroviral Therapy. </w:t>
      </w:r>
      <w:r w:rsidRPr="00D452A9">
        <w:rPr>
          <w:rFonts w:cstheme="majorHAnsi"/>
          <w:i/>
          <w:iCs/>
        </w:rPr>
        <w:t>Clin. Infect. Dis.</w:t>
      </w:r>
      <w:r w:rsidRPr="00D452A9">
        <w:rPr>
          <w:rFonts w:cstheme="majorHAnsi"/>
        </w:rPr>
        <w:t xml:space="preserve"> 2008;46(2):305–312. </w:t>
      </w:r>
    </w:p>
    <w:p w14:paraId="526399AF" w14:textId="77777777" w:rsidR="00227BD0" w:rsidRPr="00D452A9" w:rsidRDefault="00227BD0" w:rsidP="00227BD0">
      <w:pPr>
        <w:pStyle w:val="Bibliography"/>
        <w:rPr>
          <w:rFonts w:cstheme="majorHAnsi"/>
        </w:rPr>
      </w:pPr>
      <w:r w:rsidRPr="00D452A9">
        <w:rPr>
          <w:rFonts w:cstheme="majorHAnsi"/>
        </w:rPr>
        <w:t xml:space="preserve">9. </w:t>
      </w:r>
      <w:r w:rsidRPr="00D452A9">
        <w:rPr>
          <w:rFonts w:cstheme="majorHAnsi"/>
        </w:rPr>
        <w:tab/>
        <w:t xml:space="preserve">Hessol NA, Kalinowski A, Benning L, et al. Mortality among Participants in the Multicenter AIDS Cohort Study and the Women’s Interagency HIV Study. </w:t>
      </w:r>
      <w:r w:rsidRPr="00D452A9">
        <w:rPr>
          <w:rFonts w:cstheme="majorHAnsi"/>
          <w:i/>
          <w:iCs/>
        </w:rPr>
        <w:t>Clin. Infect. Dis.</w:t>
      </w:r>
      <w:r w:rsidRPr="00D452A9">
        <w:rPr>
          <w:rFonts w:cstheme="majorHAnsi"/>
        </w:rPr>
        <w:t xml:space="preserve"> 2007;44(2):287–294. </w:t>
      </w:r>
    </w:p>
    <w:p w14:paraId="520BC20A" w14:textId="77777777" w:rsidR="00227BD0" w:rsidRPr="00D452A9" w:rsidRDefault="00227BD0" w:rsidP="00227BD0">
      <w:pPr>
        <w:pStyle w:val="Bibliography"/>
        <w:rPr>
          <w:rFonts w:cstheme="majorHAnsi"/>
        </w:rPr>
      </w:pPr>
      <w:r w:rsidRPr="00D452A9">
        <w:rPr>
          <w:rFonts w:cstheme="majorHAnsi"/>
        </w:rPr>
        <w:t xml:space="preserve">10. </w:t>
      </w:r>
      <w:r w:rsidRPr="00D452A9">
        <w:rPr>
          <w:rFonts w:cstheme="majorHAnsi"/>
        </w:rPr>
        <w:tab/>
        <w:t xml:space="preserve">Bacon MC, von Wyl V, Alden C, et al. The Women’s Interagency HIV Study: an observational cohort brings clinical sciences to the bench. </w:t>
      </w:r>
      <w:r w:rsidRPr="00D452A9">
        <w:rPr>
          <w:rFonts w:cstheme="majorHAnsi"/>
          <w:i/>
          <w:iCs/>
        </w:rPr>
        <w:t>Clin. Diagn. Lab. Immunol.</w:t>
      </w:r>
      <w:r w:rsidRPr="00D452A9">
        <w:rPr>
          <w:rFonts w:cstheme="majorHAnsi"/>
        </w:rPr>
        <w:t xml:space="preserve"> 2005;12(9):1013–1019. </w:t>
      </w:r>
    </w:p>
    <w:p w14:paraId="281FCFF4" w14:textId="77777777" w:rsidR="00227BD0" w:rsidRPr="00D452A9" w:rsidRDefault="00227BD0" w:rsidP="00227BD0">
      <w:pPr>
        <w:pStyle w:val="Bibliography"/>
        <w:rPr>
          <w:rFonts w:cstheme="majorHAnsi"/>
        </w:rPr>
      </w:pPr>
      <w:r w:rsidRPr="00D452A9">
        <w:rPr>
          <w:rFonts w:cstheme="majorHAnsi"/>
        </w:rPr>
        <w:t xml:space="preserve">11. </w:t>
      </w:r>
      <w:r w:rsidRPr="00D452A9">
        <w:rPr>
          <w:rFonts w:cstheme="majorHAnsi"/>
        </w:rPr>
        <w:tab/>
        <w:t>Center for Disease Control and Prevention. HIV Surveillance Report, 2020. Volume 33. 2022;(https://www.cdc.gov/hiv/library/reports/hiv-surveillance/vol-33/index.html)</w:t>
      </w:r>
    </w:p>
    <w:p w14:paraId="677980B5" w14:textId="77777777" w:rsidR="00227BD0" w:rsidRPr="00D452A9" w:rsidRDefault="00227BD0" w:rsidP="00227BD0">
      <w:pPr>
        <w:pStyle w:val="Bibliography"/>
        <w:rPr>
          <w:rFonts w:cstheme="majorHAnsi"/>
        </w:rPr>
      </w:pPr>
      <w:r w:rsidRPr="00D452A9">
        <w:rPr>
          <w:rFonts w:cstheme="majorHAnsi"/>
        </w:rPr>
        <w:t xml:space="preserve">12. </w:t>
      </w:r>
      <w:r w:rsidRPr="00D452A9">
        <w:rPr>
          <w:rFonts w:cstheme="majorHAnsi"/>
        </w:rPr>
        <w:tab/>
        <w:t xml:space="preserve">Lau B, Cole SR, Gange SJ. Competing Risk Regression Models for Epidemiologic Data. </w:t>
      </w:r>
      <w:r w:rsidRPr="00D452A9">
        <w:rPr>
          <w:rFonts w:cstheme="majorHAnsi"/>
          <w:i/>
          <w:iCs/>
        </w:rPr>
        <w:t>Am. J. Epidemiol.</w:t>
      </w:r>
      <w:r w:rsidRPr="00D452A9">
        <w:rPr>
          <w:rFonts w:cstheme="majorHAnsi"/>
        </w:rPr>
        <w:t xml:space="preserve"> 2009;170(2):244–256. </w:t>
      </w:r>
    </w:p>
    <w:p w14:paraId="3B4B7B04" w14:textId="77777777" w:rsidR="00227BD0" w:rsidRPr="00D452A9" w:rsidRDefault="00227BD0" w:rsidP="00227BD0">
      <w:pPr>
        <w:pStyle w:val="Bibliography"/>
        <w:rPr>
          <w:rFonts w:cstheme="majorHAnsi"/>
        </w:rPr>
      </w:pPr>
      <w:r w:rsidRPr="00D452A9">
        <w:rPr>
          <w:rFonts w:cstheme="majorHAnsi"/>
        </w:rPr>
        <w:t xml:space="preserve">13. </w:t>
      </w:r>
      <w:r w:rsidRPr="00D452A9">
        <w:rPr>
          <w:rFonts w:cstheme="majorHAnsi"/>
        </w:rPr>
        <w:tab/>
        <w:t xml:space="preserve">Sjölander A. Estimation of attributable fractions using inverse probability weighting. </w:t>
      </w:r>
      <w:r w:rsidRPr="00D452A9">
        <w:rPr>
          <w:rFonts w:cstheme="majorHAnsi"/>
          <w:i/>
          <w:iCs/>
        </w:rPr>
        <w:t>Stat. Methods Med. Res.</w:t>
      </w:r>
      <w:r w:rsidRPr="00D452A9">
        <w:rPr>
          <w:rFonts w:cstheme="majorHAnsi"/>
        </w:rPr>
        <w:t xml:space="preserve"> 2011;20(4):415–428. </w:t>
      </w:r>
    </w:p>
    <w:p w14:paraId="59BB2B6F" w14:textId="77777777" w:rsidR="00227BD0" w:rsidRPr="00D452A9" w:rsidRDefault="00227BD0" w:rsidP="00227BD0">
      <w:pPr>
        <w:pStyle w:val="Bibliography"/>
        <w:rPr>
          <w:rFonts w:cstheme="majorHAnsi"/>
        </w:rPr>
      </w:pPr>
      <w:r w:rsidRPr="00D452A9">
        <w:rPr>
          <w:rFonts w:cstheme="majorHAnsi"/>
        </w:rPr>
        <w:lastRenderedPageBreak/>
        <w:t xml:space="preserve">14. </w:t>
      </w:r>
      <w:r w:rsidRPr="00D452A9">
        <w:rPr>
          <w:rFonts w:cstheme="majorHAnsi"/>
        </w:rPr>
        <w:tab/>
        <w:t xml:space="preserve">Suzuki E, Yamamoto E, Tsuda T. On the Relations Between Excess Fraction, Attributable Fraction, and Etiologic Fraction. </w:t>
      </w:r>
      <w:r w:rsidRPr="00D452A9">
        <w:rPr>
          <w:rFonts w:cstheme="majorHAnsi"/>
          <w:i/>
          <w:iCs/>
        </w:rPr>
        <w:t>Am. J. Epidemiol.</w:t>
      </w:r>
      <w:r w:rsidRPr="00D452A9">
        <w:rPr>
          <w:rFonts w:cstheme="majorHAnsi"/>
        </w:rPr>
        <w:t xml:space="preserve"> 2012;175(6):567–575. </w:t>
      </w:r>
    </w:p>
    <w:p w14:paraId="7C7E1923" w14:textId="77777777" w:rsidR="00227BD0" w:rsidRPr="00D452A9" w:rsidRDefault="00227BD0" w:rsidP="00227BD0">
      <w:pPr>
        <w:pStyle w:val="Bibliography"/>
        <w:rPr>
          <w:rFonts w:cstheme="majorHAnsi"/>
        </w:rPr>
      </w:pPr>
      <w:r w:rsidRPr="00D452A9">
        <w:rPr>
          <w:rFonts w:cstheme="majorHAnsi"/>
        </w:rPr>
        <w:t xml:space="preserve">15. </w:t>
      </w:r>
      <w:r w:rsidRPr="00D452A9">
        <w:rPr>
          <w:rFonts w:cstheme="majorHAnsi"/>
        </w:rPr>
        <w:tab/>
        <w:t xml:space="preserve">Neyman J. Sur les applications de la théorie des probabilités aux experiences agricoles: Essai des principes. </w:t>
      </w:r>
      <w:r w:rsidRPr="00D452A9">
        <w:rPr>
          <w:rFonts w:cstheme="majorHAnsi"/>
          <w:i/>
          <w:iCs/>
        </w:rPr>
        <w:t>Rocz. Nauk Rol.</w:t>
      </w:r>
      <w:r w:rsidRPr="00D452A9">
        <w:rPr>
          <w:rFonts w:cstheme="majorHAnsi"/>
        </w:rPr>
        <w:t xml:space="preserve"> 1923;10(1):1–51. </w:t>
      </w:r>
    </w:p>
    <w:p w14:paraId="0C974F6D" w14:textId="77777777" w:rsidR="00227BD0" w:rsidRPr="00D452A9" w:rsidRDefault="00227BD0" w:rsidP="00227BD0">
      <w:pPr>
        <w:pStyle w:val="Bibliography"/>
        <w:rPr>
          <w:rFonts w:cstheme="majorHAnsi"/>
        </w:rPr>
      </w:pPr>
      <w:r w:rsidRPr="00D452A9">
        <w:rPr>
          <w:rFonts w:cstheme="majorHAnsi"/>
        </w:rPr>
        <w:t xml:space="preserve">16. </w:t>
      </w:r>
      <w:r w:rsidRPr="00D452A9">
        <w:rPr>
          <w:rFonts w:cstheme="majorHAnsi"/>
        </w:rPr>
        <w:tab/>
        <w:t xml:space="preserve">Splawa-Neyman J, Dabrowska DM, Speed TP. On the Application of Probability Theory to Agricultural Experiments. Essay on Principles. Section 9. </w:t>
      </w:r>
      <w:r w:rsidRPr="00D452A9">
        <w:rPr>
          <w:rFonts w:cstheme="majorHAnsi"/>
          <w:i/>
          <w:iCs/>
        </w:rPr>
        <w:t>Stat. Sci.</w:t>
      </w:r>
      <w:r w:rsidRPr="00D452A9">
        <w:rPr>
          <w:rFonts w:cstheme="majorHAnsi"/>
        </w:rPr>
        <w:t xml:space="preserve"> 1990;5(4):465–472. </w:t>
      </w:r>
    </w:p>
    <w:p w14:paraId="23CEB7E1" w14:textId="77777777" w:rsidR="00227BD0" w:rsidRPr="00D452A9" w:rsidRDefault="00227BD0" w:rsidP="00227BD0">
      <w:pPr>
        <w:pStyle w:val="Bibliography"/>
        <w:rPr>
          <w:rFonts w:cstheme="majorHAnsi"/>
        </w:rPr>
      </w:pPr>
      <w:r w:rsidRPr="00D452A9">
        <w:rPr>
          <w:rFonts w:cstheme="majorHAnsi"/>
        </w:rPr>
        <w:t xml:space="preserve">17. </w:t>
      </w:r>
      <w:r w:rsidRPr="00D452A9">
        <w:rPr>
          <w:rFonts w:cstheme="majorHAnsi"/>
        </w:rPr>
        <w:tab/>
        <w:t xml:space="preserve">Rubin DB. Estimating causal effects of treatments in randomized and nonrandomized studies. </w:t>
      </w:r>
      <w:r w:rsidRPr="00D452A9">
        <w:rPr>
          <w:rFonts w:cstheme="majorHAnsi"/>
          <w:i/>
          <w:iCs/>
        </w:rPr>
        <w:t>J. Educ. Psychol.</w:t>
      </w:r>
      <w:r w:rsidRPr="00D452A9">
        <w:rPr>
          <w:rFonts w:cstheme="majorHAnsi"/>
        </w:rPr>
        <w:t xml:space="preserve"> 1974;66(5):688–701. </w:t>
      </w:r>
    </w:p>
    <w:p w14:paraId="4C70FDD1" w14:textId="77777777" w:rsidR="00227BD0" w:rsidRPr="00D452A9" w:rsidRDefault="00227BD0" w:rsidP="00227BD0">
      <w:pPr>
        <w:pStyle w:val="Bibliography"/>
        <w:rPr>
          <w:rFonts w:cstheme="majorHAnsi"/>
        </w:rPr>
      </w:pPr>
      <w:r w:rsidRPr="00D452A9">
        <w:rPr>
          <w:rFonts w:cstheme="majorHAnsi"/>
        </w:rPr>
        <w:t xml:space="preserve">18. </w:t>
      </w:r>
      <w:r w:rsidRPr="00D452A9">
        <w:rPr>
          <w:rFonts w:cstheme="majorHAnsi"/>
        </w:rPr>
        <w:tab/>
        <w:t xml:space="preserve">Greenland S, Robins JM. Identifiability, Exchangeability, and Epidemiological Confounding. </w:t>
      </w:r>
      <w:r w:rsidRPr="00D452A9">
        <w:rPr>
          <w:rFonts w:cstheme="majorHAnsi"/>
          <w:i/>
          <w:iCs/>
        </w:rPr>
        <w:t>Int. J. Epidemiol.</w:t>
      </w:r>
      <w:r w:rsidRPr="00D452A9">
        <w:rPr>
          <w:rFonts w:cstheme="majorHAnsi"/>
        </w:rPr>
        <w:t xml:space="preserve"> 1986;15(3):413–419. </w:t>
      </w:r>
    </w:p>
    <w:p w14:paraId="25C614EB" w14:textId="77777777" w:rsidR="00227BD0" w:rsidRPr="00D452A9" w:rsidRDefault="00227BD0" w:rsidP="00227BD0">
      <w:pPr>
        <w:pStyle w:val="Bibliography"/>
        <w:rPr>
          <w:rFonts w:cstheme="majorHAnsi"/>
        </w:rPr>
      </w:pPr>
      <w:r w:rsidRPr="00D452A9">
        <w:rPr>
          <w:rFonts w:cstheme="majorHAnsi"/>
        </w:rPr>
        <w:t xml:space="preserve">19. </w:t>
      </w:r>
      <w:r w:rsidRPr="00D452A9">
        <w:rPr>
          <w:rFonts w:cstheme="majorHAnsi"/>
        </w:rPr>
        <w:tab/>
        <w:t xml:space="preserve">Greenland S, Robins JM. Identifiability, exchangeability and confounding revisited. </w:t>
      </w:r>
      <w:r w:rsidRPr="00D452A9">
        <w:rPr>
          <w:rFonts w:cstheme="majorHAnsi"/>
          <w:i/>
          <w:iCs/>
        </w:rPr>
        <w:t>Epidemiol. Perspect. Innov.</w:t>
      </w:r>
      <w:r w:rsidRPr="00D452A9">
        <w:rPr>
          <w:rFonts w:cstheme="majorHAnsi"/>
        </w:rPr>
        <w:t xml:space="preserve"> 2009;6(1):4. </w:t>
      </w:r>
    </w:p>
    <w:p w14:paraId="3B1D349E" w14:textId="77777777" w:rsidR="00227BD0" w:rsidRPr="00D452A9" w:rsidRDefault="00227BD0" w:rsidP="00227BD0">
      <w:pPr>
        <w:pStyle w:val="Bibliography"/>
        <w:rPr>
          <w:rFonts w:cstheme="majorHAnsi"/>
        </w:rPr>
      </w:pPr>
      <w:r w:rsidRPr="00D452A9">
        <w:rPr>
          <w:rFonts w:cstheme="majorHAnsi"/>
        </w:rPr>
        <w:t xml:space="preserve">20. </w:t>
      </w:r>
      <w:r w:rsidRPr="00D452A9">
        <w:rPr>
          <w:rFonts w:cstheme="majorHAnsi"/>
        </w:rPr>
        <w:tab/>
        <w:t xml:space="preserve">Hernán MA, Robins JM. Estimating causal effects from epidemiological data. </w:t>
      </w:r>
      <w:r w:rsidRPr="00D452A9">
        <w:rPr>
          <w:rFonts w:cstheme="majorHAnsi"/>
          <w:i/>
          <w:iCs/>
        </w:rPr>
        <w:t>J. Epidemiol. Community Health</w:t>
      </w:r>
      <w:r w:rsidRPr="00D452A9">
        <w:rPr>
          <w:rFonts w:cstheme="majorHAnsi"/>
        </w:rPr>
        <w:t xml:space="preserve">. 2006;60(7):578–586. </w:t>
      </w:r>
    </w:p>
    <w:p w14:paraId="6A78628B" w14:textId="77777777" w:rsidR="00227BD0" w:rsidRPr="00D452A9" w:rsidRDefault="00227BD0" w:rsidP="00227BD0">
      <w:pPr>
        <w:pStyle w:val="Bibliography"/>
        <w:rPr>
          <w:rFonts w:cstheme="majorHAnsi"/>
        </w:rPr>
      </w:pPr>
      <w:r w:rsidRPr="00D452A9">
        <w:rPr>
          <w:rFonts w:cstheme="majorHAnsi"/>
        </w:rPr>
        <w:t xml:space="preserve">21. </w:t>
      </w:r>
      <w:r w:rsidRPr="00D452A9">
        <w:rPr>
          <w:rFonts w:cstheme="majorHAnsi"/>
        </w:rPr>
        <w:tab/>
        <w:t xml:space="preserve">Westreich D, Cole SR. Invited Commentary: Positivity in Practice. </w:t>
      </w:r>
      <w:r w:rsidRPr="00D452A9">
        <w:rPr>
          <w:rFonts w:cstheme="majorHAnsi"/>
          <w:i/>
          <w:iCs/>
        </w:rPr>
        <w:t>Am. J. Epidemiol.</w:t>
      </w:r>
      <w:r w:rsidRPr="00D452A9">
        <w:rPr>
          <w:rFonts w:cstheme="majorHAnsi"/>
        </w:rPr>
        <w:t xml:space="preserve"> 2010;171(6):674–677. </w:t>
      </w:r>
    </w:p>
    <w:p w14:paraId="276963D6" w14:textId="77777777" w:rsidR="00227BD0" w:rsidRPr="00D452A9" w:rsidRDefault="00227BD0" w:rsidP="00227BD0">
      <w:pPr>
        <w:pStyle w:val="Bibliography"/>
        <w:rPr>
          <w:rFonts w:cstheme="majorHAnsi"/>
        </w:rPr>
      </w:pPr>
      <w:r w:rsidRPr="00D452A9">
        <w:rPr>
          <w:rFonts w:cstheme="majorHAnsi"/>
        </w:rPr>
        <w:t xml:space="preserve">22. </w:t>
      </w:r>
      <w:r w:rsidRPr="00D452A9">
        <w:rPr>
          <w:rFonts w:cstheme="majorHAnsi"/>
        </w:rPr>
        <w:tab/>
        <w:t xml:space="preserve">Cole SR, Frangakis CE. The Consistency Statement in Causal Inference: A Definition or an Assumption? </w:t>
      </w:r>
      <w:r w:rsidRPr="00D452A9">
        <w:rPr>
          <w:rFonts w:cstheme="majorHAnsi"/>
          <w:i/>
          <w:iCs/>
        </w:rPr>
        <w:t>Epidemiology</w:t>
      </w:r>
      <w:r w:rsidRPr="00D452A9">
        <w:rPr>
          <w:rFonts w:cstheme="majorHAnsi"/>
        </w:rPr>
        <w:t xml:space="preserve">. 2009;20(1):3–5. </w:t>
      </w:r>
    </w:p>
    <w:p w14:paraId="1127CD74" w14:textId="77777777" w:rsidR="00227BD0" w:rsidRPr="00D452A9" w:rsidRDefault="00227BD0" w:rsidP="00227BD0">
      <w:pPr>
        <w:pStyle w:val="Bibliography"/>
        <w:rPr>
          <w:rFonts w:cstheme="majorHAnsi"/>
        </w:rPr>
      </w:pPr>
      <w:r w:rsidRPr="00D452A9">
        <w:rPr>
          <w:rFonts w:cstheme="majorHAnsi"/>
        </w:rPr>
        <w:t xml:space="preserve">23. </w:t>
      </w:r>
      <w:r w:rsidRPr="00D452A9">
        <w:rPr>
          <w:rFonts w:cstheme="majorHAnsi"/>
        </w:rPr>
        <w:tab/>
        <w:t xml:space="preserve">Lesko CR, Buchanan AL, Westreich D, et al. Generalizing Study Results: A Potential Outcomes Perspective. </w:t>
      </w:r>
      <w:r w:rsidRPr="00D452A9">
        <w:rPr>
          <w:rFonts w:cstheme="majorHAnsi"/>
          <w:i/>
          <w:iCs/>
        </w:rPr>
        <w:t>Epidemiol. Camb. Mass</w:t>
      </w:r>
      <w:r w:rsidRPr="00D452A9">
        <w:rPr>
          <w:rFonts w:cstheme="majorHAnsi"/>
        </w:rPr>
        <w:t xml:space="preserve">. 2017;28(4):553–561. </w:t>
      </w:r>
    </w:p>
    <w:p w14:paraId="3F01A445" w14:textId="77777777" w:rsidR="00227BD0" w:rsidRPr="00D452A9" w:rsidRDefault="00227BD0" w:rsidP="00227BD0">
      <w:pPr>
        <w:pStyle w:val="Bibliography"/>
        <w:rPr>
          <w:rFonts w:cstheme="majorHAnsi"/>
        </w:rPr>
      </w:pPr>
      <w:r w:rsidRPr="00D452A9">
        <w:rPr>
          <w:rFonts w:cstheme="majorHAnsi"/>
        </w:rPr>
        <w:t xml:space="preserve">24. </w:t>
      </w:r>
      <w:r w:rsidRPr="00D452A9">
        <w:rPr>
          <w:rFonts w:cstheme="majorHAnsi"/>
        </w:rPr>
        <w:tab/>
        <w:t xml:space="preserve">Westreich D, Edwards JK, Lesko CR, et al. Transportability of Trial Results Using Inverse Odds of Sampling Weights. </w:t>
      </w:r>
      <w:r w:rsidRPr="00D452A9">
        <w:rPr>
          <w:rFonts w:cstheme="majorHAnsi"/>
          <w:i/>
          <w:iCs/>
        </w:rPr>
        <w:t>Am. J. Epidemiol.</w:t>
      </w:r>
      <w:r w:rsidRPr="00D452A9">
        <w:rPr>
          <w:rFonts w:cstheme="majorHAnsi"/>
        </w:rPr>
        <w:t xml:space="preserve"> 2017;186(8):1010–1014. </w:t>
      </w:r>
    </w:p>
    <w:p w14:paraId="3D07CFB2" w14:textId="77777777" w:rsidR="00227BD0" w:rsidRPr="00D452A9" w:rsidRDefault="00227BD0" w:rsidP="00227BD0">
      <w:pPr>
        <w:pStyle w:val="Bibliography"/>
        <w:rPr>
          <w:rFonts w:cstheme="majorHAnsi"/>
        </w:rPr>
      </w:pPr>
      <w:r w:rsidRPr="00D452A9">
        <w:rPr>
          <w:rFonts w:cstheme="majorHAnsi"/>
        </w:rPr>
        <w:t xml:space="preserve">25. </w:t>
      </w:r>
      <w:r w:rsidRPr="00D452A9">
        <w:rPr>
          <w:rFonts w:cstheme="majorHAnsi"/>
        </w:rPr>
        <w:tab/>
        <w:t xml:space="preserve">Robins JM, Hernán MÁ, Brumback B. Marginal Structural Models and Causal Inference in Epidemiology: </w:t>
      </w:r>
      <w:r w:rsidRPr="00D452A9">
        <w:rPr>
          <w:rFonts w:cstheme="majorHAnsi"/>
          <w:i/>
          <w:iCs/>
        </w:rPr>
        <w:t>Epidemiology</w:t>
      </w:r>
      <w:r w:rsidRPr="00D452A9">
        <w:rPr>
          <w:rFonts w:cstheme="majorHAnsi"/>
        </w:rPr>
        <w:t xml:space="preserve">. 2000;11(5):550–560. </w:t>
      </w:r>
    </w:p>
    <w:p w14:paraId="6FB7B754" w14:textId="77777777" w:rsidR="00227BD0" w:rsidRPr="00D452A9" w:rsidRDefault="00227BD0" w:rsidP="00227BD0">
      <w:pPr>
        <w:pStyle w:val="Bibliography"/>
        <w:rPr>
          <w:rFonts w:cstheme="majorHAnsi"/>
        </w:rPr>
      </w:pPr>
      <w:r w:rsidRPr="00D452A9">
        <w:rPr>
          <w:rFonts w:cstheme="majorHAnsi"/>
        </w:rPr>
        <w:t xml:space="preserve">26. </w:t>
      </w:r>
      <w:r w:rsidRPr="00D452A9">
        <w:rPr>
          <w:rFonts w:cstheme="majorHAnsi"/>
        </w:rPr>
        <w:tab/>
        <w:t xml:space="preserve">Kulesa A, Krzywinski M, Blainey P, et al. Sampling distributions and the bootstrap. </w:t>
      </w:r>
      <w:r w:rsidRPr="00D452A9">
        <w:rPr>
          <w:rFonts w:cstheme="majorHAnsi"/>
          <w:i/>
          <w:iCs/>
        </w:rPr>
        <w:t>Nat. Methods</w:t>
      </w:r>
      <w:r w:rsidRPr="00D452A9">
        <w:rPr>
          <w:rFonts w:cstheme="majorHAnsi"/>
        </w:rPr>
        <w:t xml:space="preserve">. 2015;12(6):477–478. </w:t>
      </w:r>
    </w:p>
    <w:p w14:paraId="7600FF48" w14:textId="77777777" w:rsidR="00227BD0" w:rsidRPr="00D452A9" w:rsidRDefault="00227BD0" w:rsidP="00227BD0">
      <w:pPr>
        <w:pStyle w:val="Bibliography"/>
        <w:rPr>
          <w:rFonts w:cstheme="majorHAnsi"/>
        </w:rPr>
      </w:pPr>
      <w:r w:rsidRPr="00D452A9">
        <w:rPr>
          <w:rFonts w:cstheme="majorHAnsi"/>
        </w:rPr>
        <w:t xml:space="preserve">27. </w:t>
      </w:r>
      <w:r w:rsidRPr="00D452A9">
        <w:rPr>
          <w:rFonts w:cstheme="majorHAnsi"/>
        </w:rPr>
        <w:tab/>
        <w:t xml:space="preserve">Stefanski LA, Boos DD. The Calculus of M-Estimation. </w:t>
      </w:r>
      <w:r w:rsidRPr="00D452A9">
        <w:rPr>
          <w:rFonts w:cstheme="majorHAnsi"/>
          <w:i/>
          <w:iCs/>
        </w:rPr>
        <w:t>Am. Stat.</w:t>
      </w:r>
      <w:r w:rsidRPr="00D452A9">
        <w:rPr>
          <w:rFonts w:cstheme="majorHAnsi"/>
        </w:rPr>
        <w:t xml:space="preserve"> 2002;56(1):29–38. </w:t>
      </w:r>
    </w:p>
    <w:p w14:paraId="1F4E7168" w14:textId="77777777" w:rsidR="00227BD0" w:rsidRPr="00D452A9" w:rsidRDefault="00227BD0" w:rsidP="00227BD0">
      <w:pPr>
        <w:pStyle w:val="Bibliography"/>
        <w:rPr>
          <w:rFonts w:cstheme="majorHAnsi"/>
        </w:rPr>
      </w:pPr>
      <w:r w:rsidRPr="00D452A9">
        <w:rPr>
          <w:rFonts w:cstheme="majorHAnsi"/>
        </w:rPr>
        <w:t xml:space="preserve">28. </w:t>
      </w:r>
      <w:r w:rsidRPr="00D452A9">
        <w:rPr>
          <w:rFonts w:cstheme="majorHAnsi"/>
        </w:rPr>
        <w:tab/>
        <w:t xml:space="preserve">Cole SR, Edwards JK, Breskin A, et al. Illustration of Two Fusion Designs and Estimators. </w:t>
      </w:r>
      <w:r w:rsidRPr="00D452A9">
        <w:rPr>
          <w:rFonts w:cstheme="majorHAnsi"/>
          <w:i/>
          <w:iCs/>
        </w:rPr>
        <w:t>Am. J. Epidemiol.</w:t>
      </w:r>
      <w:r w:rsidRPr="00D452A9">
        <w:rPr>
          <w:rFonts w:cstheme="majorHAnsi"/>
        </w:rPr>
        <w:t xml:space="preserve"> [electronic article]. 2022;(https://doi.org/10.1093/aje/kwac067)</w:t>
      </w:r>
    </w:p>
    <w:p w14:paraId="1F616D30" w14:textId="77777777" w:rsidR="00227BD0" w:rsidRPr="00D452A9" w:rsidRDefault="00227BD0" w:rsidP="00227BD0">
      <w:pPr>
        <w:pStyle w:val="Bibliography"/>
        <w:rPr>
          <w:rFonts w:cstheme="majorHAnsi"/>
        </w:rPr>
      </w:pPr>
      <w:r w:rsidRPr="00D452A9">
        <w:rPr>
          <w:rFonts w:cstheme="majorHAnsi"/>
        </w:rPr>
        <w:t xml:space="preserve">29. </w:t>
      </w:r>
      <w:r w:rsidRPr="00D452A9">
        <w:rPr>
          <w:rFonts w:cstheme="majorHAnsi"/>
        </w:rPr>
        <w:tab/>
        <w:t xml:space="preserve">Levin ML. The occurrence of lung cancer in man. </w:t>
      </w:r>
      <w:r w:rsidRPr="00D452A9">
        <w:rPr>
          <w:rFonts w:cstheme="majorHAnsi"/>
          <w:i/>
          <w:iCs/>
        </w:rPr>
        <w:t>Acta Unio Int Contra Cancrum</w:t>
      </w:r>
      <w:r w:rsidRPr="00D452A9">
        <w:rPr>
          <w:rFonts w:cstheme="majorHAnsi"/>
        </w:rPr>
        <w:t xml:space="preserve">. 1953;9(3):531–541. </w:t>
      </w:r>
    </w:p>
    <w:p w14:paraId="77A68C12" w14:textId="77777777" w:rsidR="00227BD0" w:rsidRPr="00D452A9" w:rsidRDefault="00227BD0" w:rsidP="00227BD0">
      <w:pPr>
        <w:pStyle w:val="Bibliography"/>
        <w:rPr>
          <w:rFonts w:cstheme="majorHAnsi"/>
        </w:rPr>
      </w:pPr>
      <w:r w:rsidRPr="00D452A9">
        <w:rPr>
          <w:rFonts w:cstheme="majorHAnsi"/>
        </w:rPr>
        <w:lastRenderedPageBreak/>
        <w:t xml:space="preserve">30. </w:t>
      </w:r>
      <w:r w:rsidRPr="00D452A9">
        <w:rPr>
          <w:rFonts w:cstheme="majorHAnsi"/>
        </w:rPr>
        <w:tab/>
        <w:t xml:space="preserve">Miettinen OS. PROPORTION OF DISEASE CAUSED OR PREVENTED BY A GIVEN EXPOSURE, TRAIT OR INTERVENTION1. </w:t>
      </w:r>
      <w:r w:rsidRPr="00D452A9">
        <w:rPr>
          <w:rFonts w:cstheme="majorHAnsi"/>
          <w:i/>
          <w:iCs/>
        </w:rPr>
        <w:t>Am. J. Epidemiol.</w:t>
      </w:r>
      <w:r w:rsidRPr="00D452A9">
        <w:rPr>
          <w:rFonts w:cstheme="majorHAnsi"/>
        </w:rPr>
        <w:t xml:space="preserve"> 1974;99(5):325–332. </w:t>
      </w:r>
    </w:p>
    <w:p w14:paraId="4B58933D" w14:textId="77777777" w:rsidR="00227BD0" w:rsidRPr="00D452A9" w:rsidRDefault="00227BD0" w:rsidP="00227BD0">
      <w:pPr>
        <w:pStyle w:val="Bibliography"/>
        <w:rPr>
          <w:rFonts w:cstheme="majorHAnsi"/>
        </w:rPr>
      </w:pPr>
      <w:r w:rsidRPr="00D452A9">
        <w:rPr>
          <w:rFonts w:cstheme="majorHAnsi"/>
        </w:rPr>
        <w:t xml:space="preserve">31. </w:t>
      </w:r>
      <w:r w:rsidRPr="00D452A9">
        <w:rPr>
          <w:rFonts w:cstheme="majorHAnsi"/>
        </w:rPr>
        <w:tab/>
        <w:t xml:space="preserve">Greenland S. Bias in methods for deriving standardized morbidity ratio and attributable fraction estimates. </w:t>
      </w:r>
      <w:r w:rsidRPr="00D452A9">
        <w:rPr>
          <w:rFonts w:cstheme="majorHAnsi"/>
          <w:i/>
          <w:iCs/>
        </w:rPr>
        <w:t>Stat. Med.</w:t>
      </w:r>
      <w:r w:rsidRPr="00D452A9">
        <w:rPr>
          <w:rFonts w:cstheme="majorHAnsi"/>
        </w:rPr>
        <w:t xml:space="preserve"> 1984;3(2):131–141. </w:t>
      </w:r>
    </w:p>
    <w:p w14:paraId="20155903" w14:textId="77777777" w:rsidR="00227BD0" w:rsidRPr="00D452A9" w:rsidRDefault="00227BD0" w:rsidP="00227BD0">
      <w:pPr>
        <w:pStyle w:val="Bibliography"/>
        <w:rPr>
          <w:rFonts w:cstheme="majorHAnsi"/>
        </w:rPr>
      </w:pPr>
      <w:r w:rsidRPr="00D452A9">
        <w:rPr>
          <w:rFonts w:cstheme="majorHAnsi"/>
        </w:rPr>
        <w:t xml:space="preserve">32. </w:t>
      </w:r>
      <w:r w:rsidRPr="00D452A9">
        <w:rPr>
          <w:rFonts w:cstheme="majorHAnsi"/>
        </w:rPr>
        <w:tab/>
        <w:t xml:space="preserve">Martinez RAM, Andrabi N, Goodwin AN, et al. Conceptualization, Operationalization, and Utilization of Race and Ethnicity in Major Epidemiology Journals, 1995-2018: A Systematic Review. </w:t>
      </w:r>
      <w:r w:rsidRPr="00D452A9">
        <w:rPr>
          <w:rFonts w:cstheme="majorHAnsi"/>
          <w:i/>
          <w:iCs/>
        </w:rPr>
        <w:t>Am. J. Epidemiol.</w:t>
      </w:r>
      <w:r w:rsidRPr="00D452A9">
        <w:rPr>
          <w:rFonts w:cstheme="majorHAnsi"/>
        </w:rPr>
        <w:t xml:space="preserve"> 2023;192(3):483–496. </w:t>
      </w:r>
    </w:p>
    <w:p w14:paraId="6E04975D" w14:textId="77777777" w:rsidR="00227BD0" w:rsidRPr="00D452A9" w:rsidRDefault="00227BD0" w:rsidP="00227BD0">
      <w:pPr>
        <w:pStyle w:val="Bibliography"/>
        <w:rPr>
          <w:rFonts w:cstheme="majorHAnsi"/>
        </w:rPr>
      </w:pPr>
      <w:r w:rsidRPr="00D452A9">
        <w:rPr>
          <w:rFonts w:cstheme="majorHAnsi"/>
        </w:rPr>
        <w:t xml:space="preserve">33. </w:t>
      </w:r>
      <w:r w:rsidRPr="00D452A9">
        <w:rPr>
          <w:rFonts w:cstheme="majorHAnsi"/>
        </w:rPr>
        <w:tab/>
        <w:t xml:space="preserve">von Cube M, Schumacher M, Timsit JF, et al. The population-attributable fraction for time-to-event data. </w:t>
      </w:r>
      <w:r w:rsidRPr="00D452A9">
        <w:rPr>
          <w:rFonts w:cstheme="majorHAnsi"/>
          <w:i/>
          <w:iCs/>
        </w:rPr>
        <w:t>Int. J. Epidemiol.</w:t>
      </w:r>
      <w:r w:rsidRPr="00D452A9">
        <w:rPr>
          <w:rFonts w:cstheme="majorHAnsi"/>
        </w:rPr>
        <w:t xml:space="preserve"> [electronic article]. 2022;(https://discovery.researcher.life/article/the-population-attributable-fraction-for-time-to-event-data/ad2ac48e3e2a399bb0e4fa488576b6ad). (Accessed January 18, 2023)</w:t>
      </w:r>
    </w:p>
    <w:p w14:paraId="412FAB5E" w14:textId="77777777" w:rsidR="00227BD0" w:rsidRPr="00D452A9" w:rsidRDefault="00227BD0" w:rsidP="00227BD0">
      <w:pPr>
        <w:pStyle w:val="Bibliography"/>
        <w:rPr>
          <w:rFonts w:cstheme="majorHAnsi"/>
        </w:rPr>
      </w:pPr>
      <w:r w:rsidRPr="00D452A9">
        <w:rPr>
          <w:rFonts w:cstheme="majorHAnsi"/>
        </w:rPr>
        <w:t xml:space="preserve">34. </w:t>
      </w:r>
      <w:r w:rsidRPr="00D452A9">
        <w:rPr>
          <w:rFonts w:cstheme="majorHAnsi"/>
        </w:rPr>
        <w:tab/>
        <w:t xml:space="preserve">von Cube M, Martin Schumacher, Bailly S, et al. the population attributable fraction for time dependent exposures and competing risks a discussion on estimands. </w:t>
      </w:r>
      <w:r w:rsidRPr="00D452A9">
        <w:rPr>
          <w:rFonts w:cstheme="majorHAnsi"/>
          <w:i/>
          <w:iCs/>
        </w:rPr>
        <w:t>Stat. Med.</w:t>
      </w:r>
      <w:r w:rsidRPr="00D452A9">
        <w:rPr>
          <w:rFonts w:cstheme="majorHAnsi"/>
        </w:rPr>
        <w:t xml:space="preserve"> 2019;</w:t>
      </w:r>
    </w:p>
    <w:p w14:paraId="5CCE143B" w14:textId="77777777" w:rsidR="00227BD0" w:rsidRPr="00D452A9" w:rsidRDefault="00227BD0" w:rsidP="00227BD0">
      <w:pPr>
        <w:pStyle w:val="Bibliography"/>
        <w:rPr>
          <w:rFonts w:cstheme="majorHAnsi"/>
        </w:rPr>
      </w:pPr>
      <w:r w:rsidRPr="00D452A9">
        <w:rPr>
          <w:rFonts w:cstheme="majorHAnsi"/>
        </w:rPr>
        <w:t xml:space="preserve">35. </w:t>
      </w:r>
      <w:r w:rsidRPr="00D452A9">
        <w:rPr>
          <w:rFonts w:cstheme="majorHAnsi"/>
        </w:rPr>
        <w:tab/>
        <w:t xml:space="preserve">von Cube M, Schumacher M, Wolkewitz M. Causal inference with multistate models—estimands and estimators of the population attributable fraction. </w:t>
      </w:r>
      <w:r w:rsidRPr="00D452A9">
        <w:rPr>
          <w:rFonts w:cstheme="majorHAnsi"/>
          <w:i/>
          <w:iCs/>
        </w:rPr>
        <w:t>J. R. Stat. Soc. Ser. -Stat. Soc.</w:t>
      </w:r>
      <w:r w:rsidRPr="00D452A9">
        <w:rPr>
          <w:rFonts w:cstheme="majorHAnsi"/>
        </w:rPr>
        <w:t xml:space="preserve"> 2020;183(4):1479–1500. </w:t>
      </w:r>
    </w:p>
    <w:p w14:paraId="68EB0887" w14:textId="77777777" w:rsidR="00227BD0" w:rsidRPr="00D452A9" w:rsidRDefault="00227BD0" w:rsidP="00227BD0">
      <w:pPr>
        <w:pStyle w:val="Bibliography"/>
        <w:rPr>
          <w:rFonts w:cstheme="majorHAnsi"/>
        </w:rPr>
      </w:pPr>
      <w:r w:rsidRPr="00D452A9">
        <w:rPr>
          <w:rFonts w:cstheme="majorHAnsi"/>
        </w:rPr>
        <w:t xml:space="preserve">36. </w:t>
      </w:r>
      <w:r w:rsidRPr="00D452A9">
        <w:rPr>
          <w:rFonts w:cstheme="majorHAnsi"/>
        </w:rPr>
        <w:tab/>
        <w:t xml:space="preserve">Saul BC, Hudgens MG. The Calculus of M-Estimation in R with geex. </w:t>
      </w:r>
      <w:r w:rsidRPr="00D452A9">
        <w:rPr>
          <w:rFonts w:cstheme="majorHAnsi"/>
          <w:i/>
          <w:iCs/>
        </w:rPr>
        <w:t>J. Stat. Softw.</w:t>
      </w:r>
      <w:r w:rsidRPr="00D452A9">
        <w:rPr>
          <w:rFonts w:cstheme="majorHAnsi"/>
        </w:rPr>
        <w:t xml:space="preserve"> 2020;92(2). </w:t>
      </w:r>
    </w:p>
    <w:p w14:paraId="1BB30EDE" w14:textId="77777777" w:rsidR="00227BD0" w:rsidRPr="00D452A9" w:rsidRDefault="00227BD0" w:rsidP="00227BD0">
      <w:pPr>
        <w:pStyle w:val="Bibliography"/>
        <w:rPr>
          <w:rFonts w:cstheme="majorHAnsi"/>
        </w:rPr>
      </w:pPr>
      <w:r w:rsidRPr="00D452A9">
        <w:rPr>
          <w:rFonts w:cstheme="majorHAnsi"/>
        </w:rPr>
        <w:t xml:space="preserve">37. </w:t>
      </w:r>
      <w:r w:rsidRPr="00D452A9">
        <w:rPr>
          <w:rFonts w:cstheme="majorHAnsi"/>
        </w:rPr>
        <w:tab/>
        <w:t xml:space="preserve">Zivich PN, Klose M, Cole SR, et al. Delicatessen: M-Estimation in Python. </w:t>
      </w:r>
      <w:r w:rsidRPr="00D452A9">
        <w:rPr>
          <w:rFonts w:cstheme="majorHAnsi"/>
          <w:i/>
          <w:iCs/>
        </w:rPr>
        <w:t>ArXiv Prepr. ArXiv220311300</w:t>
      </w:r>
      <w:r w:rsidRPr="00D452A9">
        <w:rPr>
          <w:rFonts w:cstheme="majorHAnsi"/>
        </w:rPr>
        <w:t>. 2022;</w:t>
      </w:r>
    </w:p>
    <w:p w14:paraId="06B73239" w14:textId="353D99C4" w:rsidR="00B86797" w:rsidRPr="00D452A9" w:rsidRDefault="00E21B06">
      <w:pPr>
        <w:rPr>
          <w:rFonts w:cstheme="majorHAnsi"/>
          <w:caps/>
        </w:rPr>
      </w:pPr>
      <w:r w:rsidRPr="00D452A9">
        <w:rPr>
          <w:rFonts w:cstheme="majorHAnsi"/>
        </w:rPr>
        <w:fldChar w:fldCharType="end"/>
      </w:r>
      <w:r w:rsidR="00B86797" w:rsidRPr="00D452A9">
        <w:rPr>
          <w:rFonts w:cstheme="majorHAnsi"/>
        </w:rPr>
        <w:br w:type="page"/>
      </w:r>
    </w:p>
    <w:p w14:paraId="2E35DE20" w14:textId="1F13B66A" w:rsidR="008D7401" w:rsidRPr="00D452A9" w:rsidRDefault="00000000">
      <w:pPr>
        <w:pStyle w:val="Heading1"/>
        <w:rPr>
          <w:rFonts w:cstheme="majorHAnsi"/>
        </w:rPr>
      </w:pPr>
      <w:r w:rsidRPr="00D452A9">
        <w:rPr>
          <w:rFonts w:cstheme="majorHAnsi"/>
        </w:rPr>
        <w:lastRenderedPageBreak/>
        <w:t>Supplemental Materials</w:t>
      </w:r>
    </w:p>
    <w:p w14:paraId="5249D181" w14:textId="1191F6F1" w:rsidR="00CC588E" w:rsidRPr="00D452A9" w:rsidRDefault="00CC588E" w:rsidP="00CC588E">
      <w:pPr>
        <w:pStyle w:val="Heading2"/>
        <w:rPr>
          <w:rFonts w:cstheme="majorHAnsi"/>
        </w:rPr>
      </w:pPr>
      <w:r w:rsidRPr="00D452A9">
        <w:rPr>
          <w:rFonts w:cstheme="majorHAnsi"/>
        </w:rPr>
        <w:t>Identification Proof</w:t>
      </w:r>
    </w:p>
    <w:p w14:paraId="4D31F602" w14:textId="133980AB" w:rsidR="00DB2864" w:rsidRPr="00D452A9" w:rsidRDefault="00DB2864" w:rsidP="00DB2864">
      <w:pPr>
        <w:rPr>
          <w:rFonts w:eastAsiaTheme="minorEastAsia" w:cstheme="majorHAnsi"/>
          <w:i/>
        </w:rPr>
      </w:pPr>
      <m:oMathPara>
        <m:oMath>
          <m:r>
            <w:rPr>
              <w:rFonts w:ascii="Cambria Math" w:hAnsi="Cambria Math" w:cstheme="majorHAnsi"/>
            </w:rPr>
            <m:t>θ=</m:t>
          </m:r>
          <m:f>
            <m:fPr>
              <m:ctrlPr>
                <w:rPr>
                  <w:rFonts w:ascii="Cambria Math" w:hAnsi="Cambria Math" w:cstheme="majorHAnsi"/>
                  <w:i/>
                </w:rPr>
              </m:ctrlPr>
            </m:fPr>
            <m:num>
              <m:r>
                <w:rPr>
                  <w:rFonts w:ascii="Cambria Math" w:hAnsi="Cambria Math" w:cstheme="majorHAnsi"/>
                </w:rPr>
                <m:t>E</m:t>
              </m:r>
              <m:d>
                <m:dPr>
                  <m:begChr m:val="["/>
                  <m:endChr m:val="]"/>
                  <m:ctrlPr>
                    <w:rPr>
                      <w:rFonts w:ascii="Cambria Math" w:hAnsi="Cambria Math" w:cstheme="majorHAnsi"/>
                      <w:i/>
                    </w:rPr>
                  </m:ctrlPr>
                </m:dPr>
                <m:e>
                  <m:r>
                    <w:rPr>
                      <w:rFonts w:ascii="Cambria Math" w:hAnsi="Cambria Math" w:cstheme="majorHAnsi"/>
                    </w:rPr>
                    <m:t>Y|S=1</m:t>
                  </m:r>
                </m:e>
              </m:d>
              <m:r>
                <w:rPr>
                  <w:rFonts w:ascii="Cambria Math" w:hAnsi="Cambria Math" w:cstheme="majorHAnsi"/>
                </w:rPr>
                <m:t>-E</m:t>
              </m:r>
              <m:d>
                <m:dPr>
                  <m:begChr m:val="["/>
                  <m:endChr m:val="]"/>
                  <m:ctrlPr>
                    <w:rPr>
                      <w:rFonts w:ascii="Cambria Math" w:hAnsi="Cambria Math" w:cstheme="majorHAnsi"/>
                      <w:i/>
                    </w:rPr>
                  </m:ctrlPr>
                </m:dPr>
                <m:e>
                  <m:sSup>
                    <m:sSupPr>
                      <m:ctrlPr>
                        <w:rPr>
                          <w:rFonts w:ascii="Cambria Math" w:hAnsi="Cambria Math" w:cstheme="majorHAnsi"/>
                          <w:i/>
                        </w:rPr>
                      </m:ctrlPr>
                    </m:sSupPr>
                    <m:e>
                      <m:r>
                        <w:rPr>
                          <w:rFonts w:ascii="Cambria Math" w:hAnsi="Cambria Math" w:cstheme="majorHAnsi"/>
                        </w:rPr>
                        <m:t>Y</m:t>
                      </m:r>
                    </m:e>
                    <m:sup>
                      <m:r>
                        <w:rPr>
                          <w:rFonts w:ascii="Cambria Math" w:hAnsi="Cambria Math" w:cstheme="majorHAnsi"/>
                        </w:rPr>
                        <m:t>0</m:t>
                      </m:r>
                    </m:sup>
                  </m:sSup>
                  <m:r>
                    <w:rPr>
                      <w:rFonts w:ascii="Cambria Math" w:hAnsi="Cambria Math" w:cstheme="majorHAnsi"/>
                    </w:rPr>
                    <m:t>|S=1</m:t>
                  </m:r>
                </m:e>
              </m:d>
            </m:num>
            <m:den>
              <m:r>
                <w:rPr>
                  <w:rFonts w:ascii="Cambria Math" w:hAnsi="Cambria Math" w:cstheme="majorHAnsi"/>
                </w:rPr>
                <m:t>E</m:t>
              </m:r>
              <m:d>
                <m:dPr>
                  <m:begChr m:val="["/>
                  <m:endChr m:val="]"/>
                  <m:ctrlPr>
                    <w:rPr>
                      <w:rFonts w:ascii="Cambria Math" w:hAnsi="Cambria Math" w:cstheme="majorHAnsi"/>
                      <w:i/>
                    </w:rPr>
                  </m:ctrlPr>
                </m:dPr>
                <m:e>
                  <m:r>
                    <w:rPr>
                      <w:rFonts w:ascii="Cambria Math" w:hAnsi="Cambria Math" w:cstheme="majorHAnsi"/>
                    </w:rPr>
                    <m:t>Y|S=1</m:t>
                  </m:r>
                </m:e>
              </m:d>
            </m:den>
          </m:f>
        </m:oMath>
      </m:oMathPara>
    </w:p>
    <w:p w14:paraId="541B8707" w14:textId="11F2174E" w:rsidR="00E64DB9" w:rsidRPr="00D452A9" w:rsidRDefault="00E64DB9" w:rsidP="00A54569">
      <w:pPr>
        <w:pStyle w:val="BodyText"/>
        <w:ind w:firstLine="0"/>
      </w:pPr>
      <w:r w:rsidRPr="00D452A9">
        <w:t xml:space="preserve">Let the observed data be </w:t>
      </w:r>
      <w:r w:rsidR="00AC6859" w:rsidRPr="00D452A9">
        <w:t xml:space="preserve">the tuple </w:t>
      </w:r>
      <m:oMath>
        <m:d>
          <m:dPr>
            <m:ctrlPr>
              <w:rPr>
                <w:rFonts w:ascii="Cambria Math" w:hAnsi="Cambria Math"/>
                <w:i/>
              </w:rPr>
            </m:ctrlPr>
          </m:dPr>
          <m:e>
            <m:r>
              <w:rPr>
                <w:rFonts w:ascii="Cambria Math" w:hAnsi="Cambria Math"/>
              </w:rPr>
              <m:t>A,Y,W,S=2</m:t>
            </m:r>
          </m:e>
        </m:d>
      </m:oMath>
      <w:r w:rsidR="00AC6859" w:rsidRPr="00D452A9">
        <w:rPr>
          <w:rFonts w:eastAsiaTheme="minorEastAsia"/>
        </w:rPr>
        <w:t xml:space="preserve"> where </w:t>
      </w:r>
      <m:oMath>
        <m:r>
          <w:rPr>
            <w:rFonts w:ascii="Cambria Math" w:eastAsiaTheme="minorEastAsia" w:hAnsi="Cambria Math"/>
          </w:rPr>
          <m:t>A</m:t>
        </m:r>
      </m:oMath>
      <w:r w:rsidR="00AC6859" w:rsidRPr="00D452A9">
        <w:rPr>
          <w:rFonts w:eastAsiaTheme="minorEastAsia"/>
        </w:rPr>
        <w:t xml:space="preserve"> represents treatment, </w:t>
      </w:r>
      <m:oMath>
        <m:r>
          <w:rPr>
            <w:rFonts w:ascii="Cambria Math" w:eastAsiaTheme="minorEastAsia" w:hAnsi="Cambria Math"/>
          </w:rPr>
          <m:t>Y</m:t>
        </m:r>
      </m:oMath>
      <w:r w:rsidR="00AC6859" w:rsidRPr="00D452A9">
        <w:rPr>
          <w:rFonts w:eastAsiaTheme="minorEastAsia"/>
        </w:rPr>
        <w:t xml:space="preserve"> represents the outcome, </w:t>
      </w:r>
      <m:oMath>
        <m:r>
          <w:rPr>
            <w:rFonts w:ascii="Cambria Math" w:eastAsiaTheme="minorEastAsia" w:hAnsi="Cambria Math"/>
          </w:rPr>
          <m:t>W</m:t>
        </m:r>
      </m:oMath>
      <w:r w:rsidR="00AC6859" w:rsidRPr="00D452A9">
        <w:rPr>
          <w:rFonts w:eastAsiaTheme="minorEastAsia"/>
        </w:rPr>
        <w:t xml:space="preserve"> represents a vector of covariates, </w:t>
      </w:r>
      <m:oMath>
        <m:r>
          <w:rPr>
            <w:rFonts w:ascii="Cambria Math" w:eastAsiaTheme="minorEastAsia" w:hAnsi="Cambria Math"/>
          </w:rPr>
          <m:t>S=2</m:t>
        </m:r>
      </m:oMath>
      <w:r w:rsidR="00AC6859" w:rsidRPr="00D452A9">
        <w:rPr>
          <w:rFonts w:eastAsiaTheme="minorEastAsia"/>
        </w:rPr>
        <w:t xml:space="preserve"> represents being a member of the study population, whereas </w:t>
      </w:r>
      <m:oMath>
        <m:r>
          <w:rPr>
            <w:rFonts w:ascii="Cambria Math" w:eastAsiaTheme="minorEastAsia" w:hAnsi="Cambria Math"/>
          </w:rPr>
          <m:t>S=1</m:t>
        </m:r>
      </m:oMath>
      <w:r w:rsidR="00AC6859" w:rsidRPr="00D452A9">
        <w:rPr>
          <w:rFonts w:eastAsiaTheme="minorEastAsia"/>
        </w:rPr>
        <w:t xml:space="preserve"> represents membership in the </w:t>
      </w:r>
      <w:r w:rsidR="00202F37" w:rsidRPr="00D452A9">
        <w:rPr>
          <w:rFonts w:eastAsiaTheme="minorEastAsia"/>
        </w:rPr>
        <w:t>target</w:t>
      </w:r>
      <w:r w:rsidR="00AC6859" w:rsidRPr="00D452A9">
        <w:rPr>
          <w:rFonts w:eastAsiaTheme="minorEastAsia"/>
        </w:rPr>
        <w:t xml:space="preserve"> population</w:t>
      </w:r>
      <w:r w:rsidRPr="00D452A9">
        <w:t xml:space="preserve">. Variations on the available data will be considered later. To identify the parameter, </w:t>
      </w:r>
      <w:r w:rsidR="00AC6859" w:rsidRPr="00D452A9">
        <w:t xml:space="preserve">both </w:t>
      </w:r>
      <m:oMath>
        <m:r>
          <w:rPr>
            <w:rFonts w:ascii="Cambria Math" w:hAnsi="Cambria Math"/>
          </w:rPr>
          <m:t>E</m:t>
        </m:r>
        <m:d>
          <m:dPr>
            <m:begChr m:val="["/>
            <m:endChr m:val="]"/>
            <m:ctrlPr>
              <w:rPr>
                <w:rFonts w:ascii="Cambria Math" w:hAnsi="Cambria Math"/>
                <w:i/>
              </w:rPr>
            </m:ctrlPr>
          </m:dPr>
          <m:e>
            <m:r>
              <w:rPr>
                <w:rFonts w:ascii="Cambria Math" w:hAnsi="Cambria Math"/>
              </w:rPr>
              <m:t>Y|S=1</m:t>
            </m:r>
          </m:e>
        </m:d>
      </m:oMath>
      <w:r w:rsidR="00AC6859" w:rsidRPr="00D452A9">
        <w:rPr>
          <w:rFonts w:eastAsiaTheme="minorEastAsia"/>
        </w:rPr>
        <w:t xml:space="preserve"> and </w:t>
      </w:r>
      <m:oMath>
        <m:r>
          <w:rPr>
            <w:rFonts w:ascii="Cambria Math" w:hAnsi="Cambria Math"/>
          </w:rPr>
          <m:t>E</m:t>
        </m:r>
        <m:d>
          <m:dPr>
            <m:begChr m:val="["/>
            <m:endChr m:val="]"/>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0</m:t>
                </m:r>
              </m:sup>
            </m:sSup>
            <m:r>
              <w:rPr>
                <w:rFonts w:ascii="Cambria Math" w:hAnsi="Cambria Math"/>
              </w:rPr>
              <m:t>|S=1</m:t>
            </m:r>
          </m:e>
        </m:d>
      </m:oMath>
      <w:r w:rsidR="00AC6859" w:rsidRPr="00D452A9">
        <w:rPr>
          <w:rFonts w:eastAsiaTheme="minorEastAsia"/>
        </w:rPr>
        <w:t xml:space="preserve"> must be identified. </w:t>
      </w:r>
    </w:p>
    <w:p w14:paraId="7D8CD92F" w14:textId="67916AC5" w:rsidR="00E64DB9" w:rsidRPr="00D452A9" w:rsidRDefault="00AC6859" w:rsidP="00AC6859">
      <w:pPr>
        <w:pStyle w:val="Heading3"/>
        <w:rPr>
          <w:rFonts w:eastAsiaTheme="minorEastAsia" w:cstheme="majorHAnsi"/>
        </w:rPr>
      </w:pPr>
      <w:r w:rsidRPr="00D452A9">
        <w:rPr>
          <w:rFonts w:cstheme="majorHAnsi"/>
        </w:rPr>
        <w:t xml:space="preserve">Identification of </w:t>
      </w:r>
      <m:oMath>
        <m:r>
          <w:rPr>
            <w:rFonts w:ascii="Cambria Math" w:hAnsi="Cambria Math" w:cstheme="majorHAnsi"/>
          </w:rPr>
          <m:t>E</m:t>
        </m:r>
        <m:d>
          <m:dPr>
            <m:begChr m:val="["/>
            <m:endChr m:val="]"/>
            <m:ctrlPr>
              <w:rPr>
                <w:rFonts w:ascii="Cambria Math" w:hAnsi="Cambria Math" w:cstheme="majorHAnsi"/>
              </w:rPr>
            </m:ctrlPr>
          </m:dPr>
          <m:e>
            <m:r>
              <w:rPr>
                <w:rFonts w:ascii="Cambria Math" w:hAnsi="Cambria Math" w:cstheme="majorHAnsi"/>
              </w:rPr>
              <m:t>Y|S=1</m:t>
            </m:r>
          </m:e>
        </m:d>
      </m:oMath>
    </w:p>
    <w:p w14:paraId="2CE2AEF8" w14:textId="5FFF0862" w:rsidR="00AC6859" w:rsidRPr="00D452A9" w:rsidRDefault="00AC6859" w:rsidP="00AC6859">
      <w:pPr>
        <w:pStyle w:val="BodyText"/>
      </w:pPr>
      <w:r w:rsidRPr="00D452A9">
        <w:t>Two strategies for identification can be considered based on the availability data, which are considered in turn.</w:t>
      </w:r>
    </w:p>
    <w:p w14:paraId="5333D73F" w14:textId="3385B1FF" w:rsidR="00AC6859" w:rsidRPr="00D452A9" w:rsidRDefault="00AC6859" w:rsidP="00A54569">
      <w:pPr>
        <w:pStyle w:val="BodyText"/>
      </w:pPr>
      <w:r w:rsidRPr="00D452A9">
        <w:t xml:space="preserve">First, consider if the </w:t>
      </w:r>
      <m:oMath>
        <m:d>
          <m:dPr>
            <m:ctrlPr>
              <w:rPr>
                <w:rFonts w:ascii="Cambria Math" w:hAnsi="Cambria Math"/>
              </w:rPr>
            </m:ctrlPr>
          </m:dPr>
          <m:e>
            <m:r>
              <w:rPr>
                <w:rFonts w:ascii="Cambria Math" w:hAnsi="Cambria Math"/>
              </w:rPr>
              <m:t>W</m:t>
            </m:r>
            <m:r>
              <m:rPr>
                <m:sty m:val="p"/>
              </m:rPr>
              <w:rPr>
                <w:rFonts w:ascii="Cambria Math" w:hAnsi="Cambria Math"/>
              </w:rPr>
              <m:t>,</m:t>
            </m:r>
            <m:r>
              <w:rPr>
                <w:rFonts w:ascii="Cambria Math" w:hAnsi="Cambria Math"/>
              </w:rPr>
              <m:t>Y</m:t>
            </m:r>
            <m:r>
              <m:rPr>
                <m:sty m:val="p"/>
              </m:rPr>
              <w:rPr>
                <w:rFonts w:ascii="Cambria Math" w:hAnsi="Cambria Math"/>
              </w:rPr>
              <m:t>,</m:t>
            </m:r>
            <m:r>
              <w:rPr>
                <w:rFonts w:ascii="Cambria Math" w:hAnsi="Cambria Math"/>
              </w:rPr>
              <m:t>S</m:t>
            </m:r>
            <m:r>
              <m:rPr>
                <m:sty m:val="p"/>
              </m:rPr>
              <w:rPr>
                <w:rFonts w:ascii="Cambria Math" w:hAnsi="Cambria Math"/>
              </w:rPr>
              <m:t>=1</m:t>
            </m:r>
          </m:e>
        </m:d>
      </m:oMath>
      <w:r w:rsidRPr="00D452A9">
        <w:t xml:space="preserve"> was available for the </w:t>
      </w:r>
      <w:r w:rsidR="00D03720" w:rsidRPr="00D452A9">
        <w:t>target</w:t>
      </w:r>
      <w:r w:rsidRPr="00D452A9">
        <w:t xml:space="preserve"> population. In this case, </w:t>
      </w:r>
      <m:oMath>
        <m:r>
          <w:rPr>
            <w:rFonts w:ascii="Cambria Math" w:hAnsi="Cambria Math"/>
          </w:rPr>
          <m:t>E</m:t>
        </m:r>
        <m:d>
          <m:dPr>
            <m:begChr m:val="["/>
            <m:endChr m:val="]"/>
            <m:ctrlPr>
              <w:rPr>
                <w:rFonts w:ascii="Cambria Math" w:hAnsi="Cambria Math"/>
              </w:rPr>
            </m:ctrlPr>
          </m:dPr>
          <m:e>
            <m:r>
              <w:rPr>
                <w:rFonts w:ascii="Cambria Math" w:hAnsi="Cambria Math"/>
              </w:rPr>
              <m:t>Y</m:t>
            </m:r>
            <m:r>
              <m:rPr>
                <m:sty m:val="p"/>
              </m:rPr>
              <w:rPr>
                <w:rFonts w:ascii="Cambria Math" w:hAnsi="Cambria Math"/>
              </w:rPr>
              <m:t>|</m:t>
            </m:r>
            <m:r>
              <w:rPr>
                <w:rFonts w:ascii="Cambria Math" w:hAnsi="Cambria Math"/>
              </w:rPr>
              <m:t>S</m:t>
            </m:r>
            <m:r>
              <m:rPr>
                <m:sty m:val="p"/>
              </m:rPr>
              <w:rPr>
                <w:rFonts w:ascii="Cambria Math" w:hAnsi="Cambria Math"/>
              </w:rPr>
              <m:t>=1</m:t>
            </m:r>
          </m:e>
        </m:d>
      </m:oMath>
      <w:r w:rsidRPr="00D452A9">
        <w:t xml:space="preserve"> is immediately identified, provided there is no missing data or measurement error.</w:t>
      </w:r>
    </w:p>
    <w:p w14:paraId="17131BF7" w14:textId="290E9C01" w:rsidR="00AC6859" w:rsidRPr="00D452A9" w:rsidRDefault="00AC6859" w:rsidP="00A54569">
      <w:pPr>
        <w:pStyle w:val="BodyText"/>
      </w:pPr>
      <w:r w:rsidRPr="00D452A9">
        <w:t xml:space="preserve">Second, consider if the observed data for the </w:t>
      </w:r>
      <w:r w:rsidR="00D03720" w:rsidRPr="00D452A9">
        <w:t>target</w:t>
      </w:r>
      <w:r w:rsidRPr="00D452A9">
        <w:t xml:space="preserve"> population consisted of </w:t>
      </w:r>
      <m:oMath>
        <m:d>
          <m:dPr>
            <m:ctrlPr>
              <w:rPr>
                <w:rFonts w:ascii="Cambria Math" w:hAnsi="Cambria Math"/>
              </w:rPr>
            </m:ctrlPr>
          </m:dPr>
          <m:e>
            <m:r>
              <w:rPr>
                <w:rFonts w:ascii="Cambria Math" w:hAnsi="Cambria Math"/>
              </w:rPr>
              <m:t>W</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S</m:t>
            </m:r>
            <m:r>
              <m:rPr>
                <m:sty m:val="p"/>
              </m:rPr>
              <w:rPr>
                <w:rFonts w:ascii="Cambria Math" w:hAnsi="Cambria Math"/>
              </w:rPr>
              <m:t>=1</m:t>
            </m:r>
          </m:e>
        </m:d>
      </m:oMath>
      <w:r w:rsidRPr="00D452A9">
        <w:t xml:space="preserve">. Here, </w:t>
      </w:r>
      <m:oMath>
        <m:r>
          <w:rPr>
            <w:rFonts w:ascii="Cambria Math" w:hAnsi="Cambria Math"/>
          </w:rPr>
          <m:t>E</m:t>
        </m:r>
        <m:d>
          <m:dPr>
            <m:begChr m:val="["/>
            <m:endChr m:val="]"/>
            <m:ctrlPr>
              <w:rPr>
                <w:rFonts w:ascii="Cambria Math" w:hAnsi="Cambria Math"/>
              </w:rPr>
            </m:ctrlPr>
          </m:dPr>
          <m:e>
            <m:r>
              <w:rPr>
                <w:rFonts w:ascii="Cambria Math" w:hAnsi="Cambria Math"/>
              </w:rPr>
              <m:t>Y</m:t>
            </m:r>
            <m:r>
              <m:rPr>
                <m:sty m:val="p"/>
              </m:rPr>
              <w:rPr>
                <w:rFonts w:ascii="Cambria Math" w:hAnsi="Cambria Math"/>
              </w:rPr>
              <m:t>|</m:t>
            </m:r>
            <m:r>
              <w:rPr>
                <w:rFonts w:ascii="Cambria Math" w:hAnsi="Cambria Math"/>
              </w:rPr>
              <m:t>S</m:t>
            </m:r>
            <m:r>
              <m:rPr>
                <m:sty m:val="p"/>
              </m:rPr>
              <w:rPr>
                <w:rFonts w:ascii="Cambria Math" w:hAnsi="Cambria Math"/>
              </w:rPr>
              <m:t>=1</m:t>
            </m:r>
          </m:e>
        </m:d>
      </m:oMath>
      <w:r w:rsidRPr="00D452A9">
        <w:t xml:space="preserve"> is not immediately identified. However, the second data source can be used for identification. </w:t>
      </w:r>
    </w:p>
    <w:p w14:paraId="27AC2984" w14:textId="1CEBB2A6" w:rsidR="00147EEC" w:rsidRPr="00D452A9" w:rsidRDefault="00AC6859" w:rsidP="00B82F9C">
      <w:pPr>
        <w:pStyle w:val="BodyText"/>
        <w:rPr>
          <w:rFonts w:eastAsiaTheme="minorEastAsia"/>
        </w:rPr>
      </w:pPr>
      <m:oMathPara>
        <m:oMath>
          <m:r>
            <w:rPr>
              <w:rFonts w:ascii="Cambria Math" w:hAnsi="Cambria Math"/>
            </w:rPr>
            <w:lastRenderedPageBreak/>
            <m:t>E</m:t>
          </m:r>
          <m:d>
            <m:dPr>
              <m:begChr m:val="["/>
              <m:endChr m:val="]"/>
              <m:ctrlPr>
                <w:rPr>
                  <w:rFonts w:ascii="Cambria Math" w:hAnsi="Cambria Math"/>
                </w:rPr>
              </m:ctrlPr>
            </m:dPr>
            <m:e>
              <m:r>
                <w:rPr>
                  <w:rFonts w:ascii="Cambria Math" w:hAnsi="Cambria Math"/>
                </w:rPr>
                <m:t>Y</m:t>
              </m:r>
              <m:r>
                <m:rPr>
                  <m:sty m:val="p"/>
                </m:rPr>
                <w:rPr>
                  <w:rFonts w:ascii="Cambria Math" w:hAnsi="Cambria Math"/>
                </w:rPr>
                <m:t>|</m:t>
              </m:r>
              <m:r>
                <w:rPr>
                  <w:rFonts w:ascii="Cambria Math" w:hAnsi="Cambria Math"/>
                </w:rPr>
                <m:t>S</m:t>
              </m:r>
              <m:r>
                <m:rPr>
                  <m:sty m:val="p"/>
                </m:rPr>
                <w:rPr>
                  <w:rFonts w:ascii="Cambria Math" w:hAnsi="Cambria Math"/>
                </w:rPr>
                <m:t>=1</m:t>
              </m:r>
            </m:e>
          </m:d>
          <m:r>
            <m:rPr>
              <m:sty m:val="p"/>
            </m:rPr>
            <w:rPr>
              <w:rFonts w:ascii="Cambria Math" w:hAnsi="Cambria Math"/>
            </w:rPr>
            <m:t>=</m:t>
          </m:r>
          <m:nary>
            <m:naryPr>
              <m:chr m:val="∑"/>
              <m:supHide m:val="1"/>
              <m:ctrlPr>
                <w:rPr>
                  <w:rFonts w:ascii="Cambria Math" w:hAnsi="Cambria Math"/>
                </w:rPr>
              </m:ctrlPr>
            </m:naryPr>
            <m:sub>
              <m:r>
                <w:rPr>
                  <w:rFonts w:ascii="Cambria Math" w:hAnsi="Cambria Math"/>
                </w:rPr>
                <m:t>a</m:t>
              </m:r>
              <m:r>
                <m:rPr>
                  <m:sty m:val="p"/>
                </m:rPr>
                <w:rPr>
                  <w:rFonts w:ascii="Cambria Math" w:hAnsi="Cambria Math"/>
                </w:rPr>
                <m:t>,</m:t>
              </m:r>
              <m:r>
                <w:rPr>
                  <w:rFonts w:ascii="Cambria Math" w:hAnsi="Cambria Math"/>
                </w:rPr>
                <m:t>w</m:t>
              </m:r>
            </m:sub>
            <m:sup/>
            <m:e>
              <m:r>
                <w:rPr>
                  <w:rFonts w:ascii="Cambria Math" w:hAnsi="Cambria Math"/>
                </w:rPr>
                <m:t>E</m:t>
              </m:r>
              <m:d>
                <m:dPr>
                  <m:begChr m:val="["/>
                  <m:endChr m:val="]"/>
                  <m:ctrlPr>
                    <w:rPr>
                      <w:rFonts w:ascii="Cambria Math" w:hAnsi="Cambria Math"/>
                    </w:rPr>
                  </m:ctrlPr>
                </m:dPr>
                <m:e>
                  <m:r>
                    <w:rPr>
                      <w:rFonts w:ascii="Cambria Math" w:hAnsi="Cambria Math"/>
                    </w:rPr>
                    <m:t>Y</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S</m:t>
                  </m:r>
                  <m:r>
                    <m:rPr>
                      <m:sty m:val="p"/>
                    </m:rPr>
                    <w:rPr>
                      <w:rFonts w:ascii="Cambria Math" w:hAnsi="Cambria Math"/>
                    </w:rPr>
                    <m:t>=1</m:t>
                  </m:r>
                </m:e>
              </m:d>
              <m:func>
                <m:funcPr>
                  <m:ctrlPr>
                    <w:rPr>
                      <w:rFonts w:ascii="Cambria Math" w:hAnsi="Cambria Math"/>
                    </w:rPr>
                  </m:ctrlPr>
                </m:funcPr>
                <m:fName>
                  <m:r>
                    <m:rPr>
                      <m:sty m:val="p"/>
                    </m:rPr>
                    <w:rPr>
                      <w:rFonts w:ascii="Cambria Math" w:hAnsi="Cambria Math"/>
                    </w:rPr>
                    <m:t>Pr</m:t>
                  </m:r>
                </m:fName>
                <m:e>
                  <m:d>
                    <m:dPr>
                      <m:ctrlPr>
                        <w:rPr>
                          <w:rFonts w:ascii="Cambria Math" w:hAnsi="Cambria Math"/>
                        </w:rPr>
                      </m:ctrlPr>
                    </m:dPr>
                    <m:e>
                      <m:r>
                        <w:rPr>
                          <w:rFonts w:ascii="Cambria Math" w:eastAsiaTheme="minorEastAsia" w:hAnsi="Cambria Math"/>
                        </w:rPr>
                        <m:t>A</m:t>
                      </m:r>
                      <m:r>
                        <m:rPr>
                          <m:sty m:val="p"/>
                        </m:rPr>
                        <w:rPr>
                          <w:rFonts w:ascii="Cambria Math" w:eastAsiaTheme="minorEastAsia" w:hAnsi="Cambria Math"/>
                        </w:rPr>
                        <m:t>=</m:t>
                      </m:r>
                      <m:r>
                        <w:rPr>
                          <w:rFonts w:ascii="Cambria Math" w:eastAsiaTheme="minorEastAsia" w:hAnsi="Cambria Math"/>
                        </w:rPr>
                        <m:t>a</m:t>
                      </m:r>
                      <m:r>
                        <m:rPr>
                          <m:sty m:val="p"/>
                        </m:rPr>
                        <w:rPr>
                          <w:rFonts w:ascii="Cambria Math" w:eastAsiaTheme="minorEastAsia" w:hAnsi="Cambria Math"/>
                        </w:rPr>
                        <m:t>,</m:t>
                      </m:r>
                      <m:r>
                        <w:rPr>
                          <w:rFonts w:ascii="Cambria Math" w:eastAsiaTheme="minorEastAsia" w:hAnsi="Cambria Math"/>
                        </w:rPr>
                        <m:t>W</m:t>
                      </m:r>
                      <m:r>
                        <m:rPr>
                          <m:sty m:val="p"/>
                        </m:rPr>
                        <w:rPr>
                          <w:rFonts w:ascii="Cambria Math" w:eastAsiaTheme="minorEastAsia" w:hAnsi="Cambria Math"/>
                        </w:rPr>
                        <m:t>=</m:t>
                      </m:r>
                      <m:r>
                        <w:rPr>
                          <w:rFonts w:ascii="Cambria Math" w:eastAsiaTheme="minorEastAsia" w:hAnsi="Cambria Math"/>
                        </w:rPr>
                        <m:t>w</m:t>
                      </m:r>
                      <m:r>
                        <m:rPr>
                          <m:sty m:val="p"/>
                        </m:rPr>
                        <w:rPr>
                          <w:rFonts w:ascii="Cambria Math" w:eastAsiaTheme="minorEastAsia" w:hAnsi="Cambria Math"/>
                        </w:rPr>
                        <m:t>|</m:t>
                      </m:r>
                      <m:r>
                        <w:rPr>
                          <w:rFonts w:ascii="Cambria Math" w:eastAsiaTheme="minorEastAsia" w:hAnsi="Cambria Math"/>
                        </w:rPr>
                        <m:t>S</m:t>
                      </m:r>
                      <m:r>
                        <m:rPr>
                          <m:sty m:val="p"/>
                        </m:rPr>
                        <w:rPr>
                          <w:rFonts w:ascii="Cambria Math" w:eastAsiaTheme="minorEastAsia" w:hAnsi="Cambria Math"/>
                        </w:rPr>
                        <m:t>=1</m:t>
                      </m:r>
                    </m:e>
                  </m:d>
                </m:e>
              </m:func>
            </m:e>
          </m:nary>
          <m:r>
            <m:rPr>
              <m:sty m:val="p"/>
            </m:rPr>
            <w:rPr>
              <w:rFonts w:ascii="Cambria Math" w:hAnsi="Cambria Math"/>
            </w:rPr>
            <w:br/>
          </m:r>
        </m:oMath>
        <m:oMath>
          <m:r>
            <m:rPr>
              <m:sty m:val="p"/>
              <m:aln/>
            </m:rPr>
            <w:rPr>
              <w:rFonts w:ascii="Cambria Math" w:hAnsi="Cambria Math"/>
            </w:rPr>
            <m:t>=</m:t>
          </m:r>
          <m:nary>
            <m:naryPr>
              <m:chr m:val="∑"/>
              <m:supHide m:val="1"/>
              <m:ctrlPr>
                <w:rPr>
                  <w:rFonts w:ascii="Cambria Math" w:hAnsi="Cambria Math"/>
                </w:rPr>
              </m:ctrlPr>
            </m:naryPr>
            <m:sub>
              <m:r>
                <w:rPr>
                  <w:rFonts w:ascii="Cambria Math" w:hAnsi="Cambria Math"/>
                </w:rPr>
                <m:t>a</m:t>
              </m:r>
              <m:r>
                <m:rPr>
                  <m:sty m:val="p"/>
                </m:rPr>
                <w:rPr>
                  <w:rFonts w:ascii="Cambria Math" w:hAnsi="Cambria Math"/>
                </w:rPr>
                <m:t>,</m:t>
              </m:r>
              <m:r>
                <w:rPr>
                  <w:rFonts w:ascii="Cambria Math" w:hAnsi="Cambria Math"/>
                </w:rPr>
                <m:t>w</m:t>
              </m:r>
            </m:sub>
            <m:sup/>
            <m:e>
              <m:r>
                <w:rPr>
                  <w:rFonts w:ascii="Cambria Math" w:hAnsi="Cambria Math"/>
                </w:rPr>
                <m:t>E</m:t>
              </m:r>
              <m:d>
                <m:dPr>
                  <m:begChr m:val="["/>
                  <m:endChr m:val="]"/>
                  <m:ctrlPr>
                    <w:rPr>
                      <w:rFonts w:ascii="Cambria Math" w:hAnsi="Cambria Math"/>
                    </w:rPr>
                  </m:ctrlPr>
                </m:dPr>
                <m:e>
                  <m:r>
                    <w:rPr>
                      <w:rFonts w:ascii="Cambria Math" w:hAnsi="Cambria Math"/>
                    </w:rPr>
                    <m:t>Y</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S</m:t>
                  </m:r>
                  <m:r>
                    <m:rPr>
                      <m:sty m:val="p"/>
                    </m:rPr>
                    <w:rPr>
                      <w:rFonts w:ascii="Cambria Math" w:hAnsi="Cambria Math"/>
                    </w:rPr>
                    <m:t>=2</m:t>
                  </m:r>
                </m:e>
              </m:d>
              <m:func>
                <m:funcPr>
                  <m:ctrlPr>
                    <w:rPr>
                      <w:rFonts w:ascii="Cambria Math" w:hAnsi="Cambria Math"/>
                    </w:rPr>
                  </m:ctrlPr>
                </m:funcPr>
                <m:fName>
                  <m:r>
                    <m:rPr>
                      <m:sty m:val="p"/>
                    </m:rPr>
                    <w:rPr>
                      <w:rFonts w:ascii="Cambria Math" w:hAnsi="Cambria Math"/>
                    </w:rPr>
                    <m:t>Pr</m:t>
                  </m:r>
                </m:fName>
                <m:e>
                  <m:d>
                    <m:dPr>
                      <m:ctrlPr>
                        <w:rPr>
                          <w:rFonts w:ascii="Cambria Math" w:hAnsi="Cambria Math"/>
                        </w:rPr>
                      </m:ctrlPr>
                    </m:dPr>
                    <m:e>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S</m:t>
                      </m:r>
                      <m:r>
                        <m:rPr>
                          <m:sty m:val="p"/>
                        </m:rPr>
                        <w:rPr>
                          <w:rFonts w:ascii="Cambria Math" w:hAnsi="Cambria Math"/>
                        </w:rPr>
                        <m:t>=1</m:t>
                      </m:r>
                    </m:e>
                  </m:d>
                </m:e>
              </m:func>
            </m:e>
          </m:nary>
          <m:r>
            <m:rPr>
              <m:sty m:val="p"/>
            </m:rPr>
            <w:rPr>
              <w:rFonts w:ascii="Cambria Math" w:hAnsi="Cambria Math"/>
            </w:rPr>
            <w:br/>
          </m:r>
        </m:oMath>
        <m:oMath>
          <m:r>
            <m:rPr>
              <m:sty m:val="p"/>
              <m:aln/>
            </m:rPr>
            <w:rPr>
              <w:rFonts w:ascii="Cambria Math" w:hAnsi="Cambria Math"/>
            </w:rPr>
            <m:t>=</m:t>
          </m:r>
          <m:nary>
            <m:naryPr>
              <m:chr m:val="∑"/>
              <m:supHide m:val="1"/>
              <m:ctrlPr>
                <w:rPr>
                  <w:rFonts w:ascii="Cambria Math" w:hAnsi="Cambria Math"/>
                </w:rPr>
              </m:ctrlPr>
            </m:naryPr>
            <m:sub>
              <m:r>
                <w:rPr>
                  <w:rFonts w:ascii="Cambria Math" w:hAnsi="Cambria Math"/>
                </w:rPr>
                <m:t>a</m:t>
              </m:r>
              <m:r>
                <m:rPr>
                  <m:sty m:val="p"/>
                </m:rPr>
                <w:rPr>
                  <w:rFonts w:ascii="Cambria Math" w:hAnsi="Cambria Math"/>
                </w:rPr>
                <m:t>,</m:t>
              </m:r>
              <m:r>
                <w:rPr>
                  <w:rFonts w:ascii="Cambria Math" w:hAnsi="Cambria Math"/>
                </w:rPr>
                <m:t>w</m:t>
              </m:r>
            </m:sub>
            <m:sup/>
            <m:e>
              <m:f>
                <m:fPr>
                  <m:ctrlPr>
                    <w:rPr>
                      <w:rFonts w:ascii="Cambria Math" w:hAnsi="Cambria Math"/>
                      <w:i/>
                    </w:rPr>
                  </m:ctrlPr>
                </m:fPr>
                <m:num>
                  <m:r>
                    <w:rPr>
                      <w:rFonts w:ascii="Cambria Math" w:hAnsi="Cambria Math"/>
                    </w:rPr>
                    <m:t>E</m:t>
                  </m:r>
                  <m:d>
                    <m:dPr>
                      <m:begChr m:val="["/>
                      <m:endChr m:val="]"/>
                      <m:ctrlPr>
                        <w:rPr>
                          <w:rFonts w:ascii="Cambria Math" w:hAnsi="Cambria Math"/>
                        </w:rPr>
                      </m:ctrlPr>
                    </m:dPr>
                    <m:e>
                      <m:r>
                        <w:rPr>
                          <w:rFonts w:ascii="Cambria Math" w:hAnsi="Cambria Math"/>
                        </w:rPr>
                        <m:t>Y</m:t>
                      </m:r>
                      <m:r>
                        <m:rPr>
                          <m:sty m:val="p"/>
                        </m:rPr>
                        <w:rPr>
                          <w:rFonts w:ascii="Cambria Math" w:hAnsi="Cambria Math"/>
                        </w:rPr>
                        <m:t xml:space="preserve">, </m:t>
                      </m:r>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 | S</m:t>
                      </m:r>
                      <m:r>
                        <m:rPr>
                          <m:sty m:val="p"/>
                        </m:rPr>
                        <w:rPr>
                          <w:rFonts w:ascii="Cambria Math" w:hAnsi="Cambria Math"/>
                        </w:rPr>
                        <m:t>=2</m:t>
                      </m:r>
                    </m:e>
                  </m:d>
                </m:num>
                <m:den>
                  <m:func>
                    <m:funcPr>
                      <m:ctrlPr>
                        <w:rPr>
                          <w:rFonts w:ascii="Cambria Math" w:hAnsi="Cambria Math"/>
                          <w:i/>
                        </w:rPr>
                      </m:ctrlPr>
                    </m:funcPr>
                    <m:fName>
                      <m:r>
                        <m:rPr>
                          <m:sty m:val="p"/>
                        </m:rPr>
                        <w:rPr>
                          <w:rFonts w:ascii="Cambria Math" w:hAnsi="Cambria Math"/>
                        </w:rPr>
                        <m:t>Pr</m:t>
                      </m:r>
                    </m:fName>
                    <m:e>
                      <m:d>
                        <m:dPr>
                          <m:endChr m:val="|"/>
                          <m:ctrlPr>
                            <w:rPr>
                              <w:rFonts w:ascii="Cambria Math" w:hAnsi="Cambria Math"/>
                              <w:i/>
                            </w:rPr>
                          </m:ctrlPr>
                        </m:dPr>
                        <m:e>
                          <m:r>
                            <w:rPr>
                              <w:rFonts w:ascii="Cambria Math" w:hAnsi="Cambria Math"/>
                            </w:rPr>
                            <m:t xml:space="preserve">A=a, W=w </m:t>
                          </m:r>
                        </m:e>
                      </m:d>
                    </m:e>
                  </m:func>
                  <m:r>
                    <w:rPr>
                      <w:rFonts w:ascii="Cambria Math" w:hAnsi="Cambria Math"/>
                    </w:rPr>
                    <m:t>S=2)</m:t>
                  </m:r>
                </m:den>
              </m:f>
              <m:func>
                <m:funcPr>
                  <m:ctrlPr>
                    <w:rPr>
                      <w:rFonts w:ascii="Cambria Math" w:hAnsi="Cambria Math"/>
                    </w:rPr>
                  </m:ctrlPr>
                </m:funcPr>
                <m:fName>
                  <m:r>
                    <m:rPr>
                      <m:sty m:val="p"/>
                    </m:rPr>
                    <w:rPr>
                      <w:rFonts w:ascii="Cambria Math" w:hAnsi="Cambria Math"/>
                    </w:rPr>
                    <m:t>Pr</m:t>
                  </m:r>
                </m:fName>
                <m:e>
                  <m:d>
                    <m:dPr>
                      <m:ctrlPr>
                        <w:rPr>
                          <w:rFonts w:ascii="Cambria Math" w:hAnsi="Cambria Math"/>
                        </w:rPr>
                      </m:ctrlPr>
                    </m:dPr>
                    <m:e>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S</m:t>
                      </m:r>
                      <m:r>
                        <m:rPr>
                          <m:sty m:val="p"/>
                        </m:rPr>
                        <w:rPr>
                          <w:rFonts w:ascii="Cambria Math" w:hAnsi="Cambria Math"/>
                        </w:rPr>
                        <m:t>=1</m:t>
                      </m:r>
                    </m:e>
                  </m:d>
                </m:e>
              </m:func>
            </m:e>
          </m:nary>
          <m:r>
            <m:rPr>
              <m:sty m:val="p"/>
            </m:rPr>
            <w:rPr>
              <w:rFonts w:ascii="Cambria Math" w:hAnsi="Cambria Math"/>
            </w:rPr>
            <w:br/>
          </m:r>
        </m:oMath>
        <m:oMath>
          <m:r>
            <m:rPr>
              <m:sty m:val="p"/>
              <m:aln/>
            </m:rPr>
            <w:rPr>
              <w:rFonts w:ascii="Cambria Math" w:hAnsi="Cambria Math"/>
            </w:rPr>
            <m:t>=</m:t>
          </m:r>
          <m:nary>
            <m:naryPr>
              <m:chr m:val="∑"/>
              <m:supHide m:val="1"/>
              <m:ctrlPr>
                <w:rPr>
                  <w:rFonts w:ascii="Cambria Math" w:hAnsi="Cambria Math"/>
                </w:rPr>
              </m:ctrlPr>
            </m:naryPr>
            <m:sub>
              <m:r>
                <w:rPr>
                  <w:rFonts w:ascii="Cambria Math" w:hAnsi="Cambria Math"/>
                </w:rPr>
                <m:t>a</m:t>
              </m:r>
              <m:r>
                <m:rPr>
                  <m:sty m:val="p"/>
                </m:rPr>
                <w:rPr>
                  <w:rFonts w:ascii="Cambria Math" w:hAnsi="Cambria Math"/>
                </w:rPr>
                <m:t>,</m:t>
              </m:r>
              <m:r>
                <w:rPr>
                  <w:rFonts w:ascii="Cambria Math" w:hAnsi="Cambria Math"/>
                </w:rPr>
                <m:t>w</m:t>
              </m:r>
            </m:sub>
            <m:sup/>
            <m:e>
              <m:r>
                <w:rPr>
                  <w:rFonts w:ascii="Cambria Math" w:hAnsi="Cambria Math"/>
                </w:rPr>
                <m:t>E</m:t>
              </m:r>
              <m:d>
                <m:dPr>
                  <m:begChr m:val="["/>
                  <m:endChr m:val="]"/>
                  <m:ctrlPr>
                    <w:rPr>
                      <w:rFonts w:ascii="Cambria Math" w:hAnsi="Cambria Math"/>
                    </w:rPr>
                  </m:ctrlPr>
                </m:dPr>
                <m:e>
                  <m:r>
                    <w:rPr>
                      <w:rFonts w:ascii="Cambria Math" w:hAnsi="Cambria Math"/>
                    </w:rPr>
                    <m:t>Y</m:t>
                  </m:r>
                  <m:r>
                    <m:rPr>
                      <m:sty m:val="p"/>
                    </m:rPr>
                    <w:rPr>
                      <w:rFonts w:ascii="Cambria Math" w:hAnsi="Cambria Math"/>
                    </w:rPr>
                    <m:t xml:space="preserve">, </m:t>
                  </m:r>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 | S</m:t>
                  </m:r>
                  <m:r>
                    <m:rPr>
                      <m:sty m:val="p"/>
                    </m:rPr>
                    <w:rPr>
                      <w:rFonts w:ascii="Cambria Math" w:hAnsi="Cambria Math"/>
                    </w:rPr>
                    <m:t>=2</m:t>
                  </m:r>
                </m:e>
              </m:d>
              <m:f>
                <m:fPr>
                  <m:ctrlPr>
                    <w:rPr>
                      <w:rFonts w:ascii="Cambria Math" w:hAnsi="Cambria Math"/>
                      <w:i/>
                    </w:rPr>
                  </m:ctrlPr>
                </m:fPr>
                <m:num>
                  <m:func>
                    <m:funcPr>
                      <m:ctrlPr>
                        <w:rPr>
                          <w:rFonts w:ascii="Cambria Math" w:hAnsi="Cambria Math"/>
                        </w:rPr>
                      </m:ctrlPr>
                    </m:funcPr>
                    <m:fName>
                      <m:r>
                        <m:rPr>
                          <m:sty m:val="p"/>
                        </m:rPr>
                        <w:rPr>
                          <w:rFonts w:ascii="Cambria Math" w:hAnsi="Cambria Math"/>
                        </w:rPr>
                        <m:t>Pr</m:t>
                      </m:r>
                    </m:fName>
                    <m:e>
                      <m:d>
                        <m:dPr>
                          <m:ctrlPr>
                            <w:rPr>
                              <w:rFonts w:ascii="Cambria Math" w:hAnsi="Cambria Math"/>
                            </w:rPr>
                          </m:ctrlPr>
                        </m:dPr>
                        <m:e>
                          <m:r>
                            <w:rPr>
                              <w:rFonts w:ascii="Cambria Math" w:hAnsi="Cambria Math"/>
                            </w:rPr>
                            <m:t>S=1 | 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e>
                      </m:d>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A=a, W=w</m:t>
                                  </m:r>
                                </m:e>
                              </m:d>
                            </m:e>
                          </m:func>
                        </m:num>
                        <m:den>
                          <m:func>
                            <m:funcPr>
                              <m:ctrlPr>
                                <w:rPr>
                                  <w:rFonts w:ascii="Cambria Math" w:hAnsi="Cambria Math"/>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S=1</m:t>
                                  </m:r>
                                </m:e>
                              </m:d>
                            </m:e>
                          </m:func>
                        </m:den>
                      </m:f>
                    </m:e>
                  </m:func>
                </m:num>
                <m:den>
                  <m:r>
                    <m:rPr>
                      <m:sty m:val="p"/>
                    </m:rPr>
                    <w:rPr>
                      <w:rFonts w:ascii="Cambria Math" w:hAnsi="Cambria Math"/>
                    </w:rPr>
                    <m:t>Pr</m:t>
                  </m:r>
                  <m:d>
                    <m:dPr>
                      <m:ctrlPr>
                        <w:rPr>
                          <w:rFonts w:ascii="Cambria Math" w:hAnsi="Cambria Math"/>
                        </w:rPr>
                      </m:ctrlPr>
                    </m:dPr>
                    <m:e>
                      <m:r>
                        <m:rPr>
                          <m:sty m:val="p"/>
                        </m:rPr>
                        <w:rPr>
                          <w:rFonts w:ascii="Cambria Math" w:hAnsi="Cambria Math"/>
                        </w:rPr>
                        <m:t xml:space="preserve">S=2 </m:t>
                      </m:r>
                    </m:e>
                    <m:e>
                      <m:r>
                        <m:rPr>
                          <m:sty m:val="p"/>
                        </m:rPr>
                        <w:rPr>
                          <w:rFonts w:ascii="Cambria Math" w:hAnsi="Cambria Math"/>
                        </w:rPr>
                        <m:t>A=a, W=w</m:t>
                      </m:r>
                    </m:e>
                  </m:d>
                  <m:f>
                    <m:fPr>
                      <m:ctrlPr>
                        <w:rPr>
                          <w:rFonts w:ascii="Cambria Math" w:hAnsi="Cambria Math"/>
                        </w:rPr>
                      </m:ctrlPr>
                    </m:fPr>
                    <m:num>
                      <m:r>
                        <m:rPr>
                          <m:sty m:val="p"/>
                        </m:rPr>
                        <w:rPr>
                          <w:rFonts w:ascii="Cambria Math" w:hAnsi="Cambria Math"/>
                        </w:rPr>
                        <m:t>Pr</m:t>
                      </m:r>
                      <m:d>
                        <m:dPr>
                          <m:ctrlPr>
                            <w:rPr>
                              <w:rFonts w:ascii="Cambria Math" w:hAnsi="Cambria Math"/>
                            </w:rPr>
                          </m:ctrlPr>
                        </m:dPr>
                        <m:e>
                          <m:r>
                            <m:rPr>
                              <m:sty m:val="p"/>
                            </m:rPr>
                            <w:rPr>
                              <w:rFonts w:ascii="Cambria Math" w:hAnsi="Cambria Math"/>
                            </w:rPr>
                            <m:t>A=a, W=w</m:t>
                          </m:r>
                        </m:e>
                      </m:d>
                      <m:ctrlPr>
                        <w:rPr>
                          <w:rFonts w:ascii="Cambria Math" w:hAnsi="Cambria Math"/>
                          <w:i/>
                        </w:rPr>
                      </m:ctrlPr>
                    </m:num>
                    <m:den>
                      <m:func>
                        <m:funcPr>
                          <m:ctrlPr>
                            <w:rPr>
                              <w:rFonts w:ascii="Cambria Math" w:hAnsi="Cambria Math"/>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S=2</m:t>
                              </m:r>
                            </m:e>
                          </m:d>
                        </m:e>
                      </m:func>
                    </m:den>
                  </m:f>
                </m:den>
              </m:f>
            </m:e>
          </m:nary>
          <m:r>
            <m:rPr>
              <m:sty m:val="p"/>
            </m:rPr>
            <w:rPr>
              <w:rFonts w:ascii="Cambria Math" w:hAnsi="Cambria Math"/>
            </w:rPr>
            <w:br/>
          </m:r>
        </m:oMath>
        <m:oMath>
          <m:r>
            <m:rPr>
              <m:sty m:val="p"/>
              <m:aln/>
            </m:rPr>
            <w:rPr>
              <w:rFonts w:ascii="Cambria Math" w:hAnsi="Cambria Math"/>
            </w:rPr>
            <m:t>=</m:t>
          </m:r>
          <m:nary>
            <m:naryPr>
              <m:chr m:val="∑"/>
              <m:supHide m:val="1"/>
              <m:ctrlPr>
                <w:rPr>
                  <w:rFonts w:ascii="Cambria Math" w:hAnsi="Cambria Math"/>
                </w:rPr>
              </m:ctrlPr>
            </m:naryPr>
            <m:sub>
              <m:r>
                <w:rPr>
                  <w:rFonts w:ascii="Cambria Math" w:hAnsi="Cambria Math"/>
                </w:rPr>
                <m:t>a</m:t>
              </m:r>
              <m:r>
                <m:rPr>
                  <m:sty m:val="p"/>
                </m:rPr>
                <w:rPr>
                  <w:rFonts w:ascii="Cambria Math" w:hAnsi="Cambria Math"/>
                </w:rPr>
                <m:t>,</m:t>
              </m:r>
              <m:r>
                <w:rPr>
                  <w:rFonts w:ascii="Cambria Math" w:hAnsi="Cambria Math"/>
                </w:rPr>
                <m:t>w</m:t>
              </m:r>
            </m:sub>
            <m:sup/>
            <m:e>
              <m:r>
                <w:rPr>
                  <w:rFonts w:ascii="Cambria Math" w:hAnsi="Cambria Math"/>
                </w:rPr>
                <m:t>E</m:t>
              </m:r>
              <m:d>
                <m:dPr>
                  <m:begChr m:val="["/>
                  <m:endChr m:val="]"/>
                  <m:ctrlPr>
                    <w:rPr>
                      <w:rFonts w:ascii="Cambria Math" w:hAnsi="Cambria Math"/>
                    </w:rPr>
                  </m:ctrlPr>
                </m:dPr>
                <m:e>
                  <m:r>
                    <w:rPr>
                      <w:rFonts w:ascii="Cambria Math" w:hAnsi="Cambria Math"/>
                    </w:rPr>
                    <m:t>Y</m:t>
                  </m:r>
                  <m:r>
                    <m:rPr>
                      <m:sty m:val="p"/>
                    </m:rPr>
                    <w:rPr>
                      <w:rFonts w:ascii="Cambria Math" w:hAnsi="Cambria Math"/>
                    </w:rPr>
                    <m:t xml:space="preserve">, </m:t>
                  </m:r>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 | S</m:t>
                  </m:r>
                  <m:r>
                    <m:rPr>
                      <m:sty m:val="p"/>
                    </m:rPr>
                    <w:rPr>
                      <w:rFonts w:ascii="Cambria Math" w:hAnsi="Cambria Math"/>
                    </w:rPr>
                    <m:t>=2</m:t>
                  </m:r>
                </m:e>
              </m:d>
              <m:f>
                <m:fPr>
                  <m:ctrlPr>
                    <w:rPr>
                      <w:rFonts w:ascii="Cambria Math" w:hAnsi="Cambria Math"/>
                      <w:i/>
                    </w:rPr>
                  </m:ctrlPr>
                </m:fPr>
                <m:num>
                  <m:f>
                    <m:fPr>
                      <m:ctrlPr>
                        <w:rPr>
                          <w:rFonts w:ascii="Cambria Math" w:hAnsi="Cambria Math"/>
                          <w:i/>
                        </w:rPr>
                      </m:ctrlPr>
                    </m:fPr>
                    <m:num>
                      <m:func>
                        <m:funcPr>
                          <m:ctrlPr>
                            <w:rPr>
                              <w:rFonts w:ascii="Cambria Math" w:hAnsi="Cambria Math"/>
                            </w:rPr>
                          </m:ctrlPr>
                        </m:funcPr>
                        <m:fName>
                          <m:r>
                            <m:rPr>
                              <m:sty m:val="p"/>
                            </m:rPr>
                            <w:rPr>
                              <w:rFonts w:ascii="Cambria Math" w:hAnsi="Cambria Math"/>
                            </w:rPr>
                            <m:t>Pr</m:t>
                          </m:r>
                        </m:fName>
                        <m:e>
                          <m:d>
                            <m:dPr>
                              <m:ctrlPr>
                                <w:rPr>
                                  <w:rFonts w:ascii="Cambria Math" w:hAnsi="Cambria Math"/>
                                </w:rPr>
                              </m:ctrlPr>
                            </m:dPr>
                            <m:e>
                              <m:r>
                                <w:rPr>
                                  <w:rFonts w:ascii="Cambria Math" w:hAnsi="Cambria Math"/>
                                </w:rPr>
                                <m:t>S=1 | 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e>
                          </m:d>
                        </m:e>
                      </m:func>
                    </m:num>
                    <m:den>
                      <m:func>
                        <m:funcPr>
                          <m:ctrlPr>
                            <w:rPr>
                              <w:rFonts w:ascii="Cambria Math" w:hAnsi="Cambria Math"/>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S=1</m:t>
                              </m:r>
                            </m:e>
                          </m:d>
                        </m:e>
                      </m:func>
                    </m:den>
                  </m:f>
                </m:num>
                <m:den>
                  <m:f>
                    <m:fPr>
                      <m:ctrlPr>
                        <w:rPr>
                          <w:rFonts w:ascii="Cambria Math" w:hAnsi="Cambria Math"/>
                        </w:rPr>
                      </m:ctrlPr>
                    </m:fPr>
                    <m:num>
                      <m:r>
                        <m:rPr>
                          <m:sty m:val="p"/>
                        </m:rPr>
                        <w:rPr>
                          <w:rFonts w:ascii="Cambria Math" w:hAnsi="Cambria Math"/>
                        </w:rPr>
                        <m:t>Pr</m:t>
                      </m:r>
                      <m:d>
                        <m:dPr>
                          <m:ctrlPr>
                            <w:rPr>
                              <w:rFonts w:ascii="Cambria Math" w:hAnsi="Cambria Math"/>
                            </w:rPr>
                          </m:ctrlPr>
                        </m:dPr>
                        <m:e>
                          <m:r>
                            <m:rPr>
                              <m:sty m:val="p"/>
                            </m:rPr>
                            <w:rPr>
                              <w:rFonts w:ascii="Cambria Math" w:hAnsi="Cambria Math"/>
                            </w:rPr>
                            <m:t xml:space="preserve">S=2 </m:t>
                          </m:r>
                        </m:e>
                        <m:e>
                          <m:r>
                            <m:rPr>
                              <m:sty m:val="p"/>
                            </m:rPr>
                            <w:rPr>
                              <w:rFonts w:ascii="Cambria Math" w:hAnsi="Cambria Math"/>
                            </w:rPr>
                            <m:t>A=a, W=w</m:t>
                          </m:r>
                        </m:e>
                      </m:d>
                      <m:ctrlPr>
                        <w:rPr>
                          <w:rFonts w:ascii="Cambria Math" w:hAnsi="Cambria Math"/>
                          <w:i/>
                        </w:rPr>
                      </m:ctrlPr>
                    </m:num>
                    <m:den>
                      <m:func>
                        <m:funcPr>
                          <m:ctrlPr>
                            <w:rPr>
                              <w:rFonts w:ascii="Cambria Math" w:hAnsi="Cambria Math"/>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S=2</m:t>
                              </m:r>
                            </m:e>
                          </m:d>
                        </m:e>
                      </m:func>
                    </m:den>
                  </m:f>
                </m:den>
              </m:f>
            </m:e>
          </m:nary>
        </m:oMath>
      </m:oMathPara>
    </w:p>
    <w:p w14:paraId="3E932A84" w14:textId="306787CC" w:rsidR="00AC6859" w:rsidRPr="00D452A9" w:rsidRDefault="00AC6859" w:rsidP="00A54569">
      <w:pPr>
        <w:pStyle w:val="BodyText"/>
        <w:ind w:firstLine="0"/>
      </w:pPr>
      <w:r w:rsidRPr="00D452A9">
        <w:t xml:space="preserve">where the first step follows from the law of total probability, the second follows from conditional sampling exchangeability (i.e., </w:t>
      </w:r>
      <m:oMath>
        <m:r>
          <w:rPr>
            <w:rFonts w:ascii="Cambria Math" w:hAnsi="Cambria Math"/>
          </w:rPr>
          <m:t>E</m:t>
        </m:r>
        <m:d>
          <m:dPr>
            <m:begChr m:val="["/>
            <m:endChr m:val="]"/>
            <m:ctrlPr>
              <w:rPr>
                <w:rFonts w:ascii="Cambria Math" w:hAnsi="Cambria Math"/>
              </w:rPr>
            </m:ctrlPr>
          </m:dPr>
          <m:e>
            <m:r>
              <w:rPr>
                <w:rFonts w:ascii="Cambria Math" w:hAnsi="Cambria Math"/>
              </w:rPr>
              <m:t>Y</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S</m:t>
            </m:r>
            <m:r>
              <m:rPr>
                <m:sty m:val="p"/>
              </m:rPr>
              <w:rPr>
                <w:rFonts w:ascii="Cambria Math" w:hAnsi="Cambria Math"/>
              </w:rPr>
              <m:t>=2</m:t>
            </m:r>
          </m:e>
        </m:d>
        <m:r>
          <m:rPr>
            <m:sty m:val="p"/>
          </m:rPr>
          <w:rPr>
            <w:rFonts w:ascii="Cambria Math" w:hAnsi="Cambria Math"/>
          </w:rPr>
          <m:t>=</m:t>
        </m:r>
        <m:r>
          <w:rPr>
            <w:rFonts w:ascii="Cambria Math" w:hAnsi="Cambria Math"/>
          </w:rPr>
          <m:t>E</m:t>
        </m:r>
        <m:d>
          <m:dPr>
            <m:begChr m:val="["/>
            <m:endChr m:val="]"/>
            <m:ctrlPr>
              <w:rPr>
                <w:rFonts w:ascii="Cambria Math" w:hAnsi="Cambria Math"/>
              </w:rPr>
            </m:ctrlPr>
          </m:dPr>
          <m:e>
            <m:r>
              <w:rPr>
                <w:rFonts w:ascii="Cambria Math" w:hAnsi="Cambria Math"/>
              </w:rPr>
              <m:t>Y</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S</m:t>
            </m:r>
            <m:r>
              <m:rPr>
                <m:sty m:val="p"/>
              </m:rPr>
              <w:rPr>
                <w:rFonts w:ascii="Cambria Math" w:hAnsi="Cambria Math"/>
              </w:rPr>
              <m:t>=1</m:t>
            </m:r>
          </m:e>
        </m:d>
      </m:oMath>
      <w:r w:rsidRPr="00D452A9">
        <w:t xml:space="preserve">) and positivity (i.e., </w:t>
      </w:r>
      <m:oMath>
        <m:func>
          <m:funcPr>
            <m:ctrlPr>
              <w:rPr>
                <w:rFonts w:ascii="Cambria Math" w:hAnsi="Cambria Math"/>
              </w:rPr>
            </m:ctrlPr>
          </m:funcPr>
          <m:fName>
            <m:r>
              <m:rPr>
                <m:sty m:val="p"/>
              </m:rPr>
              <w:rPr>
                <w:rFonts w:ascii="Cambria Math" w:hAnsi="Cambria Math"/>
              </w:rPr>
              <m:t>Pr</m:t>
            </m:r>
          </m:fName>
          <m:e>
            <m:d>
              <m:dPr>
                <m:ctrlPr>
                  <w:rPr>
                    <w:rFonts w:ascii="Cambria Math" w:hAnsi="Cambria Math"/>
                  </w:rPr>
                </m:ctrlPr>
              </m:dPr>
              <m:e>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r>
                  <m:rPr>
                    <m:sty m:val="p"/>
                  </m:rPr>
                  <w:rPr>
                    <w:rFonts w:ascii="Cambria Math" w:hAnsi="Cambria Math"/>
                  </w:rPr>
                  <m:t xml:space="preserve"> | </m:t>
                </m:r>
                <m:r>
                  <w:rPr>
                    <w:rFonts w:ascii="Cambria Math" w:hAnsi="Cambria Math"/>
                  </w:rPr>
                  <m:t>S</m:t>
                </m:r>
                <m:r>
                  <m:rPr>
                    <m:sty m:val="p"/>
                  </m:rPr>
                  <w:rPr>
                    <w:rFonts w:ascii="Cambria Math" w:hAnsi="Cambria Math"/>
                  </w:rPr>
                  <m:t>=2</m:t>
                </m:r>
              </m:e>
            </m:d>
          </m:e>
        </m:func>
        <m:r>
          <m:rPr>
            <m:sty m:val="p"/>
          </m:rPr>
          <w:rPr>
            <w:rFonts w:ascii="Cambria Math" w:hAnsi="Cambria Math"/>
          </w:rPr>
          <m:t>&gt;0</m:t>
        </m:r>
      </m:oMath>
      <w:r w:rsidRPr="00D452A9">
        <w:t xml:space="preserve"> for all </w:t>
      </w:r>
      <m:oMath>
        <m:r>
          <w:rPr>
            <w:rFonts w:ascii="Cambria Math" w:hAnsi="Cambria Math"/>
          </w:rPr>
          <m:t>a</m:t>
        </m:r>
        <m:r>
          <m:rPr>
            <m:sty m:val="p"/>
          </m:rPr>
          <w:rPr>
            <w:rFonts w:ascii="Cambria Math" w:hAnsi="Cambria Math"/>
          </w:rPr>
          <m:t>,</m:t>
        </m:r>
        <m:r>
          <w:rPr>
            <w:rFonts w:ascii="Cambria Math" w:hAnsi="Cambria Math"/>
          </w:rPr>
          <m:t>w</m:t>
        </m:r>
      </m:oMath>
      <w:r w:rsidRPr="00D452A9">
        <w:t xml:space="preserve"> such that </w:t>
      </w:r>
      <m:oMath>
        <m:func>
          <m:funcPr>
            <m:ctrlPr>
              <w:rPr>
                <w:rFonts w:ascii="Cambria Math" w:hAnsi="Cambria Math"/>
              </w:rPr>
            </m:ctrlPr>
          </m:funcPr>
          <m:fName>
            <m:r>
              <m:rPr>
                <m:sty m:val="p"/>
              </m:rPr>
              <w:rPr>
                <w:rFonts w:ascii="Cambria Math" w:hAnsi="Cambria Math"/>
              </w:rPr>
              <m:t>Pr</m:t>
            </m:r>
          </m:fName>
          <m:e>
            <m:d>
              <m:dPr>
                <m:ctrlPr>
                  <w:rPr>
                    <w:rFonts w:ascii="Cambria Math" w:hAnsi="Cambria Math"/>
                  </w:rPr>
                </m:ctrlPr>
              </m:dPr>
              <m:e>
                <m:r>
                  <w:rPr>
                    <w:rFonts w:ascii="Cambria Math" w:hAnsi="Cambria Math"/>
                  </w:rPr>
                  <m:t>A</m:t>
                </m:r>
                <m:r>
                  <m:rPr>
                    <m:sty m:val="p"/>
                  </m:rPr>
                  <w:rPr>
                    <w:rFonts w:ascii="Cambria Math" w:hAnsi="Cambria Math"/>
                  </w:rPr>
                  <m:t>=</m:t>
                </m:r>
                <m:r>
                  <w:rPr>
                    <w:rFonts w:ascii="Cambria Math" w:hAnsi="Cambria Math"/>
                  </w:rPr>
                  <m:t>a</m:t>
                </m:r>
                <m:r>
                  <m:rPr>
                    <m:sty m:val="p"/>
                  </m:rPr>
                  <w:rPr>
                    <w:rFonts w:ascii="Cambria Math" w:hAnsi="Cambria Math"/>
                  </w:rPr>
                  <m:t>,</m:t>
                </m:r>
                <m:r>
                  <w:rPr>
                    <w:rFonts w:ascii="Cambria Math" w:hAnsi="Cambria Math"/>
                  </w:rPr>
                  <m:t>W</m:t>
                </m:r>
                <m:r>
                  <m:rPr>
                    <m:sty m:val="p"/>
                  </m:rPr>
                  <w:rPr>
                    <w:rFonts w:ascii="Cambria Math" w:hAnsi="Cambria Math"/>
                  </w:rPr>
                  <m:t>=</m:t>
                </m:r>
                <m:r>
                  <w:rPr>
                    <w:rFonts w:ascii="Cambria Math" w:hAnsi="Cambria Math"/>
                  </w:rPr>
                  <m:t>w</m:t>
                </m:r>
                <m:r>
                  <m:rPr>
                    <m:sty m:val="p"/>
                  </m:rPr>
                  <w:rPr>
                    <w:rFonts w:ascii="Cambria Math" w:hAnsi="Cambria Math"/>
                  </w:rPr>
                  <m:t xml:space="preserve"> | </m:t>
                </m:r>
                <m:r>
                  <w:rPr>
                    <w:rFonts w:ascii="Cambria Math" w:hAnsi="Cambria Math"/>
                  </w:rPr>
                  <m:t>S</m:t>
                </m:r>
                <m:r>
                  <m:rPr>
                    <m:sty m:val="p"/>
                  </m:rPr>
                  <w:rPr>
                    <w:rFonts w:ascii="Cambria Math" w:hAnsi="Cambria Math"/>
                  </w:rPr>
                  <m:t>=1</m:t>
                </m:r>
              </m:e>
            </m:d>
          </m:e>
        </m:func>
        <m:r>
          <m:rPr>
            <m:sty m:val="p"/>
          </m:rPr>
          <w:rPr>
            <w:rFonts w:ascii="Cambria Math" w:hAnsi="Cambria Math"/>
          </w:rPr>
          <m:t>&gt;0</m:t>
        </m:r>
      </m:oMath>
      <w:r w:rsidRPr="00D452A9">
        <w:t>)</w:t>
      </w:r>
      <w:r w:rsidR="00D03720" w:rsidRPr="00D452A9">
        <w:t xml:space="preserve">, the third and fourth follows from Bayes Theorem, and the fifth step from algebra. </w:t>
      </w:r>
    </w:p>
    <w:p w14:paraId="7D004E9D" w14:textId="0884D407" w:rsidR="00AC6859" w:rsidRPr="00D452A9" w:rsidRDefault="00AC6859" w:rsidP="00AC6859">
      <w:pPr>
        <w:pStyle w:val="Heading3"/>
        <w:rPr>
          <w:rFonts w:eastAsiaTheme="minorEastAsia" w:cstheme="majorHAnsi"/>
        </w:rPr>
      </w:pPr>
      <w:r w:rsidRPr="00D452A9">
        <w:rPr>
          <w:rFonts w:cstheme="majorHAnsi"/>
        </w:rPr>
        <w:t xml:space="preserve">Identification of </w:t>
      </w:r>
      <m:oMath>
        <m:r>
          <w:rPr>
            <w:rFonts w:ascii="Cambria Math" w:hAnsi="Cambria Math" w:cstheme="majorHAnsi"/>
          </w:rPr>
          <m:t>E</m:t>
        </m:r>
        <m:d>
          <m:dPr>
            <m:begChr m:val="["/>
            <m:endChr m:val="]"/>
            <m:ctrlPr>
              <w:rPr>
                <w:rFonts w:ascii="Cambria Math" w:hAnsi="Cambria Math" w:cstheme="majorHAnsi"/>
              </w:rPr>
            </m:ctrlPr>
          </m:dPr>
          <m:e>
            <m:sSup>
              <m:sSupPr>
                <m:ctrlPr>
                  <w:rPr>
                    <w:rFonts w:ascii="Cambria Math" w:hAnsi="Cambria Math" w:cstheme="majorHAnsi"/>
                  </w:rPr>
                </m:ctrlPr>
              </m:sSupPr>
              <m:e>
                <m:r>
                  <w:rPr>
                    <w:rFonts w:ascii="Cambria Math" w:hAnsi="Cambria Math" w:cstheme="majorHAnsi"/>
                  </w:rPr>
                  <m:t>Y</m:t>
                </m:r>
              </m:e>
              <m:sup>
                <m:r>
                  <w:rPr>
                    <w:rFonts w:ascii="Cambria Math" w:hAnsi="Cambria Math" w:cstheme="majorHAnsi"/>
                  </w:rPr>
                  <m:t>0</m:t>
                </m:r>
              </m:sup>
            </m:sSup>
            <m:r>
              <w:rPr>
                <w:rFonts w:ascii="Cambria Math" w:hAnsi="Cambria Math" w:cstheme="majorHAnsi"/>
              </w:rPr>
              <m:t>|S=0</m:t>
            </m:r>
          </m:e>
        </m:d>
      </m:oMath>
    </w:p>
    <w:p w14:paraId="3C649F53" w14:textId="18688F1F" w:rsidR="00AC6859" w:rsidRPr="00D452A9" w:rsidRDefault="00AC6859" w:rsidP="00AC6859">
      <w:pPr>
        <w:pStyle w:val="BodyText"/>
        <w:rPr>
          <w:rFonts w:eastAsiaTheme="minorEastAsia"/>
        </w:rPr>
      </w:pPr>
      <w:r w:rsidRPr="00D452A9">
        <w:t xml:space="preserve">More generally, we can identify potential outcome under either treatment </w:t>
      </w:r>
      <m:oMath>
        <m:r>
          <w:rPr>
            <w:rFonts w:ascii="Cambria Math" w:hAnsi="Cambria Math"/>
          </w:rPr>
          <m:t>A</m:t>
        </m:r>
      </m:oMath>
      <w:r w:rsidRPr="00D452A9">
        <w:rPr>
          <w:rFonts w:eastAsiaTheme="minorEastAsia"/>
        </w:rPr>
        <w:t xml:space="preserve"> within our </w:t>
      </w:r>
      <w:r w:rsidR="00D03720" w:rsidRPr="00D452A9">
        <w:rPr>
          <w:rFonts w:eastAsiaTheme="minorEastAsia"/>
        </w:rPr>
        <w:t>target</w:t>
      </w:r>
      <w:r w:rsidRPr="00D452A9">
        <w:rPr>
          <w:rFonts w:eastAsiaTheme="minorEastAsia"/>
        </w:rPr>
        <w:t xml:space="preserve"> population. </w:t>
      </w:r>
    </w:p>
    <w:p w14:paraId="6FD2681B" w14:textId="4A6B786D" w:rsidR="00AC6859" w:rsidRPr="00D452A9" w:rsidRDefault="00AC6859" w:rsidP="00AC6859">
      <w:pPr>
        <w:rPr>
          <w:rFonts w:eastAsiaTheme="minorEastAsia" w:cstheme="majorHAnsi"/>
        </w:rPr>
      </w:pPr>
      <m:oMathPara>
        <m:oMath>
          <m:r>
            <w:rPr>
              <w:rFonts w:ascii="Cambria Math" w:hAnsi="Cambria Math" w:cstheme="majorHAnsi"/>
            </w:rPr>
            <w:lastRenderedPageBreak/>
            <m:t>E</m:t>
          </m:r>
          <m:d>
            <m:dPr>
              <m:begChr m:val="["/>
              <m:endChr m:val="]"/>
              <m:ctrlPr>
                <w:rPr>
                  <w:rFonts w:ascii="Cambria Math" w:hAnsi="Cambria Math" w:cstheme="majorHAnsi"/>
                  <w:i/>
                </w:rPr>
              </m:ctrlPr>
            </m:dPr>
            <m:e>
              <m:sSup>
                <m:sSupPr>
                  <m:ctrlPr>
                    <w:rPr>
                      <w:rFonts w:ascii="Cambria Math" w:hAnsi="Cambria Math" w:cstheme="majorHAnsi"/>
                      <w:i/>
                    </w:rPr>
                  </m:ctrlPr>
                </m:sSupPr>
                <m:e>
                  <m:r>
                    <w:rPr>
                      <w:rFonts w:ascii="Cambria Math" w:hAnsi="Cambria Math" w:cstheme="majorHAnsi"/>
                    </w:rPr>
                    <m:t>Y</m:t>
                  </m:r>
                </m:e>
                <m:sup>
                  <m:r>
                    <w:rPr>
                      <w:rFonts w:ascii="Cambria Math" w:hAnsi="Cambria Math" w:cstheme="majorHAnsi"/>
                    </w:rPr>
                    <m:t>a</m:t>
                  </m:r>
                </m:sup>
              </m:sSup>
              <m:r>
                <w:rPr>
                  <w:rFonts w:ascii="Cambria Math" w:hAnsi="Cambria Math" w:cstheme="majorHAnsi"/>
                </w:rPr>
                <m:t>|S=1</m:t>
              </m:r>
            </m:e>
          </m:d>
          <m:r>
            <m:rPr>
              <m:aln/>
            </m:rPr>
            <w:rPr>
              <w:rFonts w:ascii="Cambria Math" w:hAnsi="Cambria Math" w:cstheme="majorHAnsi"/>
            </w:rPr>
            <m:t>=</m:t>
          </m:r>
          <m:nary>
            <m:naryPr>
              <m:chr m:val="∑"/>
              <m:supHide m:val="1"/>
              <m:ctrlPr>
                <w:rPr>
                  <w:rFonts w:ascii="Cambria Math" w:hAnsi="Cambria Math" w:cstheme="majorHAnsi"/>
                  <w:i/>
                </w:rPr>
              </m:ctrlPr>
            </m:naryPr>
            <m:sub>
              <m:r>
                <w:rPr>
                  <w:rFonts w:ascii="Cambria Math" w:hAnsi="Cambria Math" w:cstheme="majorHAnsi"/>
                </w:rPr>
                <m:t>w</m:t>
              </m:r>
            </m:sub>
            <m:sup/>
            <m:e>
              <m:r>
                <w:rPr>
                  <w:rFonts w:ascii="Cambria Math" w:hAnsi="Cambria Math" w:cstheme="majorHAnsi"/>
                </w:rPr>
                <m:t>E</m:t>
              </m:r>
              <m:d>
                <m:dPr>
                  <m:begChr m:val="["/>
                  <m:endChr m:val="]"/>
                  <m:ctrlPr>
                    <w:rPr>
                      <w:rFonts w:ascii="Cambria Math" w:hAnsi="Cambria Math" w:cstheme="majorHAnsi"/>
                      <w:i/>
                    </w:rPr>
                  </m:ctrlPr>
                </m:dPr>
                <m:e>
                  <m:sSup>
                    <m:sSupPr>
                      <m:ctrlPr>
                        <w:rPr>
                          <w:rFonts w:ascii="Cambria Math" w:hAnsi="Cambria Math" w:cstheme="majorHAnsi"/>
                          <w:i/>
                        </w:rPr>
                      </m:ctrlPr>
                    </m:sSupPr>
                    <m:e>
                      <m:r>
                        <w:rPr>
                          <w:rFonts w:ascii="Cambria Math" w:hAnsi="Cambria Math" w:cstheme="majorHAnsi"/>
                        </w:rPr>
                        <m:t>Y</m:t>
                      </m:r>
                    </m:e>
                    <m:sup>
                      <m:r>
                        <w:rPr>
                          <w:rFonts w:ascii="Cambria Math" w:hAnsi="Cambria Math" w:cstheme="majorHAnsi"/>
                        </w:rPr>
                        <m:t>a</m:t>
                      </m:r>
                    </m:sup>
                  </m:sSup>
                  <m:r>
                    <w:rPr>
                      <w:rFonts w:ascii="Cambria Math" w:hAnsi="Cambria Math" w:cstheme="majorHAnsi"/>
                    </w:rPr>
                    <m:t>|W=w,S=1</m:t>
                  </m:r>
                </m:e>
              </m:d>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W=w|S=1</m:t>
                      </m:r>
                    </m:e>
                  </m:d>
                </m:e>
              </m:func>
            </m:e>
          </m:nary>
          <m:r>
            <m:rPr>
              <m:sty m:val="p"/>
            </m:rPr>
            <w:rPr>
              <w:rFonts w:ascii="Cambria Math" w:hAnsi="Cambria Math" w:cstheme="majorHAnsi"/>
            </w:rPr>
            <w:br/>
          </m:r>
        </m:oMath>
        <m:oMath>
          <m:r>
            <m:rPr>
              <m:aln/>
            </m:rPr>
            <w:rPr>
              <w:rFonts w:ascii="Cambria Math" w:hAnsi="Cambria Math" w:cstheme="majorHAnsi"/>
            </w:rPr>
            <m:t>=</m:t>
          </m:r>
          <m:nary>
            <m:naryPr>
              <m:chr m:val="∑"/>
              <m:supHide m:val="1"/>
              <m:ctrlPr>
                <w:rPr>
                  <w:rFonts w:ascii="Cambria Math" w:hAnsi="Cambria Math" w:cstheme="majorHAnsi"/>
                  <w:i/>
                </w:rPr>
              </m:ctrlPr>
            </m:naryPr>
            <m:sub>
              <m:r>
                <w:rPr>
                  <w:rFonts w:ascii="Cambria Math" w:hAnsi="Cambria Math" w:cstheme="majorHAnsi"/>
                </w:rPr>
                <m:t>w</m:t>
              </m:r>
            </m:sub>
            <m:sup/>
            <m:e>
              <m:r>
                <w:rPr>
                  <w:rFonts w:ascii="Cambria Math" w:hAnsi="Cambria Math" w:cstheme="majorHAnsi"/>
                </w:rPr>
                <m:t>E</m:t>
              </m:r>
              <m:d>
                <m:dPr>
                  <m:begChr m:val="["/>
                  <m:endChr m:val="]"/>
                  <m:ctrlPr>
                    <w:rPr>
                      <w:rFonts w:ascii="Cambria Math" w:hAnsi="Cambria Math" w:cstheme="majorHAnsi"/>
                      <w:i/>
                    </w:rPr>
                  </m:ctrlPr>
                </m:dPr>
                <m:e>
                  <m:sSup>
                    <m:sSupPr>
                      <m:ctrlPr>
                        <w:rPr>
                          <w:rFonts w:ascii="Cambria Math" w:hAnsi="Cambria Math" w:cstheme="majorHAnsi"/>
                          <w:i/>
                        </w:rPr>
                      </m:ctrlPr>
                    </m:sSupPr>
                    <m:e>
                      <m:r>
                        <w:rPr>
                          <w:rFonts w:ascii="Cambria Math" w:hAnsi="Cambria Math" w:cstheme="majorHAnsi"/>
                        </w:rPr>
                        <m:t>Y</m:t>
                      </m:r>
                    </m:e>
                    <m:sup>
                      <m:r>
                        <w:rPr>
                          <w:rFonts w:ascii="Cambria Math" w:hAnsi="Cambria Math" w:cstheme="majorHAnsi"/>
                        </w:rPr>
                        <m:t>a</m:t>
                      </m:r>
                    </m:sup>
                  </m:sSup>
                  <m:r>
                    <w:rPr>
                      <w:rFonts w:ascii="Cambria Math" w:hAnsi="Cambria Math" w:cstheme="majorHAnsi"/>
                    </w:rPr>
                    <m:t>|W=w,S=2</m:t>
                  </m:r>
                </m:e>
              </m:d>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W=w|S=1</m:t>
                      </m:r>
                    </m:e>
                  </m:d>
                </m:e>
              </m:func>
            </m:e>
          </m:nary>
          <m:r>
            <m:rPr>
              <m:sty m:val="p"/>
            </m:rPr>
            <w:rPr>
              <w:rFonts w:ascii="Cambria Math" w:hAnsi="Cambria Math" w:cstheme="majorHAnsi"/>
            </w:rPr>
            <w:br/>
          </m:r>
        </m:oMath>
        <m:oMath>
          <m:r>
            <m:rPr>
              <m:aln/>
            </m:rPr>
            <w:rPr>
              <w:rFonts w:ascii="Cambria Math" w:hAnsi="Cambria Math" w:cstheme="majorHAnsi"/>
            </w:rPr>
            <m:t>=</m:t>
          </m:r>
          <m:nary>
            <m:naryPr>
              <m:chr m:val="∑"/>
              <m:supHide m:val="1"/>
              <m:ctrlPr>
                <w:rPr>
                  <w:rFonts w:ascii="Cambria Math" w:hAnsi="Cambria Math" w:cstheme="majorHAnsi"/>
                  <w:i/>
                </w:rPr>
              </m:ctrlPr>
            </m:naryPr>
            <m:sub>
              <m:r>
                <w:rPr>
                  <w:rFonts w:ascii="Cambria Math" w:hAnsi="Cambria Math" w:cstheme="majorHAnsi"/>
                </w:rPr>
                <m:t>w</m:t>
              </m:r>
            </m:sub>
            <m:sup/>
            <m:e>
              <m:r>
                <w:rPr>
                  <w:rFonts w:ascii="Cambria Math" w:hAnsi="Cambria Math" w:cstheme="majorHAnsi"/>
                </w:rPr>
                <m:t>E</m:t>
              </m:r>
              <m:d>
                <m:dPr>
                  <m:begChr m:val="["/>
                  <m:endChr m:val="]"/>
                  <m:ctrlPr>
                    <w:rPr>
                      <w:rFonts w:ascii="Cambria Math" w:hAnsi="Cambria Math" w:cstheme="majorHAnsi"/>
                      <w:i/>
                    </w:rPr>
                  </m:ctrlPr>
                </m:dPr>
                <m:e>
                  <m:sSup>
                    <m:sSupPr>
                      <m:ctrlPr>
                        <w:rPr>
                          <w:rFonts w:ascii="Cambria Math" w:hAnsi="Cambria Math" w:cstheme="majorHAnsi"/>
                          <w:i/>
                        </w:rPr>
                      </m:ctrlPr>
                    </m:sSupPr>
                    <m:e>
                      <m:r>
                        <w:rPr>
                          <w:rFonts w:ascii="Cambria Math" w:hAnsi="Cambria Math" w:cstheme="majorHAnsi"/>
                        </w:rPr>
                        <m:t>Y</m:t>
                      </m:r>
                    </m:e>
                    <m:sup>
                      <m:r>
                        <w:rPr>
                          <w:rFonts w:ascii="Cambria Math" w:hAnsi="Cambria Math" w:cstheme="majorHAnsi"/>
                        </w:rPr>
                        <m:t>a</m:t>
                      </m:r>
                    </m:sup>
                  </m:sSup>
                  <m:r>
                    <w:rPr>
                      <w:rFonts w:ascii="Cambria Math" w:hAnsi="Cambria Math" w:cstheme="majorHAnsi"/>
                    </w:rPr>
                    <m:t>|A=0,W=w,S=2</m:t>
                  </m:r>
                </m:e>
              </m:d>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W=w|S=1</m:t>
                      </m:r>
                    </m:e>
                  </m:d>
                </m:e>
              </m:func>
            </m:e>
          </m:nary>
          <m:r>
            <m:rPr>
              <m:sty m:val="p"/>
            </m:rPr>
            <w:rPr>
              <w:rFonts w:ascii="Cambria Math" w:hAnsi="Cambria Math" w:cstheme="majorHAnsi"/>
            </w:rPr>
            <w:br/>
          </m:r>
        </m:oMath>
        <m:oMath>
          <m:r>
            <m:rPr>
              <m:aln/>
            </m:rPr>
            <w:rPr>
              <w:rFonts w:ascii="Cambria Math" w:eastAsiaTheme="minorEastAsia" w:hAnsi="Cambria Math" w:cstheme="majorHAnsi"/>
            </w:rPr>
            <m:t>=</m:t>
          </m:r>
          <m:nary>
            <m:naryPr>
              <m:chr m:val="∑"/>
              <m:supHide m:val="1"/>
              <m:ctrlPr>
                <w:rPr>
                  <w:rFonts w:ascii="Cambria Math" w:hAnsi="Cambria Math" w:cstheme="majorHAnsi"/>
                  <w:i/>
                </w:rPr>
              </m:ctrlPr>
            </m:naryPr>
            <m:sub>
              <m:r>
                <w:rPr>
                  <w:rFonts w:ascii="Cambria Math" w:hAnsi="Cambria Math" w:cstheme="majorHAnsi"/>
                </w:rPr>
                <m:t>w</m:t>
              </m:r>
            </m:sub>
            <m:sup/>
            <m:e>
              <m:r>
                <w:rPr>
                  <w:rFonts w:ascii="Cambria Math" w:hAnsi="Cambria Math" w:cstheme="majorHAnsi"/>
                </w:rPr>
                <m:t>E</m:t>
              </m:r>
              <m:d>
                <m:dPr>
                  <m:begChr m:val="["/>
                  <m:endChr m:val="]"/>
                  <m:ctrlPr>
                    <w:rPr>
                      <w:rFonts w:ascii="Cambria Math" w:hAnsi="Cambria Math" w:cstheme="majorHAnsi"/>
                      <w:i/>
                    </w:rPr>
                  </m:ctrlPr>
                </m:dPr>
                <m:e>
                  <m:r>
                    <w:rPr>
                      <w:rFonts w:ascii="Cambria Math" w:hAnsi="Cambria Math" w:cstheme="majorHAnsi"/>
                    </w:rPr>
                    <m:t>Y|A=0,W=w,S=2</m:t>
                  </m:r>
                </m:e>
              </m:d>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W=w|S=1</m:t>
                      </m:r>
                    </m:e>
                  </m:d>
                </m:e>
              </m:func>
            </m:e>
          </m:nary>
          <m:r>
            <m:rPr>
              <m:sty m:val="p"/>
            </m:rPr>
            <w:rPr>
              <w:rFonts w:ascii="Cambria Math" w:hAnsi="Cambria Math" w:cstheme="majorHAnsi"/>
            </w:rPr>
            <w:br/>
          </m:r>
        </m:oMath>
        <m:oMath>
          <m:r>
            <m:rPr>
              <m:aln/>
            </m:rPr>
            <w:rPr>
              <w:rFonts w:ascii="Cambria Math" w:eastAsiaTheme="minorEastAsia" w:hAnsi="Cambria Math" w:cstheme="majorHAnsi"/>
            </w:rPr>
            <m:t>=</m:t>
          </m:r>
          <m:nary>
            <m:naryPr>
              <m:chr m:val="∑"/>
              <m:supHide m:val="1"/>
              <m:ctrlPr>
                <w:rPr>
                  <w:rFonts w:ascii="Cambria Math" w:hAnsi="Cambria Math" w:cstheme="majorHAnsi"/>
                  <w:i/>
                </w:rPr>
              </m:ctrlPr>
            </m:naryPr>
            <m:sub>
              <m:r>
                <w:rPr>
                  <w:rFonts w:ascii="Cambria Math" w:hAnsi="Cambria Math" w:cstheme="majorHAnsi"/>
                </w:rPr>
                <m:t>w</m:t>
              </m:r>
            </m:sub>
            <m:sup/>
            <m:e>
              <m:f>
                <m:fPr>
                  <m:ctrlPr>
                    <w:rPr>
                      <w:rFonts w:ascii="Cambria Math" w:hAnsi="Cambria Math" w:cstheme="majorHAnsi"/>
                      <w:i/>
                    </w:rPr>
                  </m:ctrlPr>
                </m:fPr>
                <m:num>
                  <m:r>
                    <w:rPr>
                      <w:rFonts w:ascii="Cambria Math" w:hAnsi="Cambria Math" w:cstheme="majorHAnsi"/>
                    </w:rPr>
                    <m:t>E</m:t>
                  </m:r>
                  <m:d>
                    <m:dPr>
                      <m:begChr m:val="["/>
                      <m:endChr m:val="]"/>
                      <m:ctrlPr>
                        <w:rPr>
                          <w:rFonts w:ascii="Cambria Math" w:hAnsi="Cambria Math" w:cstheme="majorHAnsi"/>
                          <w:i/>
                        </w:rPr>
                      </m:ctrlPr>
                    </m:dPr>
                    <m:e>
                      <m:r>
                        <w:rPr>
                          <w:rFonts w:ascii="Cambria Math" w:hAnsi="Cambria Math" w:cstheme="majorHAnsi"/>
                        </w:rPr>
                        <m:t>Y,A=0,W=w | S=2</m:t>
                      </m:r>
                    </m:e>
                  </m:d>
                </m:num>
                <m:den>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A=0,W=w | S=2</m:t>
                          </m:r>
                        </m:e>
                      </m:d>
                    </m:e>
                  </m:func>
                </m:den>
              </m:f>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W=w|S=1</m:t>
                      </m:r>
                    </m:e>
                  </m:d>
                </m:e>
              </m:func>
            </m:e>
          </m:nary>
          <m:r>
            <m:rPr>
              <m:sty m:val="p"/>
            </m:rPr>
            <w:rPr>
              <w:rFonts w:ascii="Cambria Math" w:hAnsi="Cambria Math" w:cstheme="majorHAnsi"/>
            </w:rPr>
            <w:br/>
          </m:r>
        </m:oMath>
        <m:oMath>
          <m:r>
            <m:rPr>
              <m:aln/>
            </m:rPr>
            <w:rPr>
              <w:rFonts w:ascii="Cambria Math" w:eastAsiaTheme="minorEastAsia" w:hAnsi="Cambria Math" w:cstheme="majorHAnsi"/>
            </w:rPr>
            <m:t>=</m:t>
          </m:r>
          <m:nary>
            <m:naryPr>
              <m:chr m:val="∑"/>
              <m:supHide m:val="1"/>
              <m:ctrlPr>
                <w:rPr>
                  <w:rFonts w:ascii="Cambria Math" w:hAnsi="Cambria Math" w:cstheme="majorHAnsi"/>
                  <w:i/>
                </w:rPr>
              </m:ctrlPr>
            </m:naryPr>
            <m:sub>
              <m:r>
                <w:rPr>
                  <w:rFonts w:ascii="Cambria Math" w:hAnsi="Cambria Math" w:cstheme="majorHAnsi"/>
                </w:rPr>
                <m:t>w</m:t>
              </m:r>
            </m:sub>
            <m:sup/>
            <m:e>
              <m:f>
                <m:fPr>
                  <m:ctrlPr>
                    <w:rPr>
                      <w:rFonts w:ascii="Cambria Math" w:hAnsi="Cambria Math" w:cstheme="majorHAnsi"/>
                      <w:i/>
                    </w:rPr>
                  </m:ctrlPr>
                </m:fPr>
                <m:num>
                  <m:r>
                    <w:rPr>
                      <w:rFonts w:ascii="Cambria Math" w:hAnsi="Cambria Math" w:cstheme="majorHAnsi"/>
                    </w:rPr>
                    <m:t>E</m:t>
                  </m:r>
                  <m:d>
                    <m:dPr>
                      <m:begChr m:val="["/>
                      <m:endChr m:val="]"/>
                      <m:ctrlPr>
                        <w:rPr>
                          <w:rFonts w:ascii="Cambria Math" w:hAnsi="Cambria Math" w:cstheme="majorHAnsi"/>
                          <w:i/>
                        </w:rPr>
                      </m:ctrlPr>
                    </m:dPr>
                    <m:e>
                      <m:r>
                        <w:rPr>
                          <w:rFonts w:ascii="Cambria Math" w:hAnsi="Cambria Math" w:cstheme="majorHAnsi"/>
                        </w:rPr>
                        <m:t>Y,A=0,W=w | S=2</m:t>
                      </m:r>
                    </m:e>
                  </m:d>
                </m:num>
                <m:den>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A=0| W=w,S=2</m:t>
                          </m:r>
                        </m:e>
                      </m:d>
                    </m:e>
                  </m:func>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W=w | S=2</m:t>
                          </m:r>
                        </m:e>
                      </m:d>
                    </m:e>
                  </m:func>
                </m:den>
              </m:f>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W=w|S=1</m:t>
                      </m:r>
                    </m:e>
                  </m:d>
                </m:e>
              </m:func>
            </m:e>
          </m:nary>
          <m:r>
            <m:rPr>
              <m:sty m:val="p"/>
            </m:rPr>
            <w:rPr>
              <w:rFonts w:ascii="Cambria Math" w:hAnsi="Cambria Math" w:cstheme="majorHAnsi"/>
            </w:rPr>
            <w:br/>
          </m:r>
        </m:oMath>
        <m:oMath>
          <m:r>
            <m:rPr>
              <m:aln/>
            </m:rPr>
            <w:rPr>
              <w:rFonts w:ascii="Cambria Math" w:eastAsiaTheme="minorEastAsia" w:hAnsi="Cambria Math" w:cstheme="majorHAnsi"/>
            </w:rPr>
            <m:t>=</m:t>
          </m:r>
          <m:nary>
            <m:naryPr>
              <m:chr m:val="∑"/>
              <m:supHide m:val="1"/>
              <m:ctrlPr>
                <w:rPr>
                  <w:rFonts w:ascii="Cambria Math" w:hAnsi="Cambria Math" w:cstheme="majorHAnsi"/>
                  <w:i/>
                </w:rPr>
              </m:ctrlPr>
            </m:naryPr>
            <m:sub>
              <m:r>
                <w:rPr>
                  <w:rFonts w:ascii="Cambria Math" w:hAnsi="Cambria Math" w:cstheme="majorHAnsi"/>
                </w:rPr>
                <m:t>w</m:t>
              </m:r>
            </m:sub>
            <m:sup/>
            <m:e>
              <m:f>
                <m:fPr>
                  <m:ctrlPr>
                    <w:rPr>
                      <w:rFonts w:ascii="Cambria Math" w:hAnsi="Cambria Math" w:cstheme="majorHAnsi"/>
                      <w:i/>
                    </w:rPr>
                  </m:ctrlPr>
                </m:fPr>
                <m:num>
                  <m:r>
                    <w:rPr>
                      <w:rFonts w:ascii="Cambria Math" w:hAnsi="Cambria Math" w:cstheme="majorHAnsi"/>
                    </w:rPr>
                    <m:t>E</m:t>
                  </m:r>
                  <m:d>
                    <m:dPr>
                      <m:begChr m:val="["/>
                      <m:endChr m:val="]"/>
                      <m:ctrlPr>
                        <w:rPr>
                          <w:rFonts w:ascii="Cambria Math" w:hAnsi="Cambria Math" w:cstheme="majorHAnsi"/>
                          <w:i/>
                        </w:rPr>
                      </m:ctrlPr>
                    </m:dPr>
                    <m:e>
                      <m:r>
                        <w:rPr>
                          <w:rFonts w:ascii="Cambria Math" w:hAnsi="Cambria Math" w:cstheme="majorHAnsi"/>
                        </w:rPr>
                        <m:t>Y,A=0,W=w | S=2</m:t>
                      </m:r>
                    </m:e>
                  </m:d>
                </m:num>
                <m:den>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A=0| W=w,S=2</m:t>
                          </m:r>
                        </m:e>
                      </m:d>
                    </m:e>
                  </m:func>
                </m:den>
              </m:f>
              <m:f>
                <m:fPr>
                  <m:ctrlPr>
                    <w:rPr>
                      <w:rFonts w:ascii="Cambria Math" w:hAnsi="Cambria Math" w:cstheme="majorHAnsi"/>
                      <w:i/>
                    </w:rPr>
                  </m:ctrlPr>
                </m:fPr>
                <m:num>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W=w|S=1</m:t>
                          </m:r>
                        </m:e>
                      </m:d>
                    </m:e>
                  </m:func>
                </m:num>
                <m:den>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W=w | S=2</m:t>
                          </m:r>
                        </m:e>
                      </m:d>
                    </m:e>
                  </m:func>
                </m:den>
              </m:f>
            </m:e>
          </m:nary>
          <m:r>
            <m:rPr>
              <m:sty m:val="p"/>
            </m:rPr>
            <w:rPr>
              <w:rFonts w:ascii="Cambria Math" w:eastAsiaTheme="minorEastAsia" w:hAnsi="Cambria Math" w:cstheme="majorHAnsi"/>
            </w:rPr>
            <w:br/>
          </m:r>
        </m:oMath>
        <m:oMath>
          <m:r>
            <w:rPr>
              <w:rFonts w:ascii="Cambria Math" w:eastAsiaTheme="minorEastAsia" w:hAnsi="Cambria Math" w:cstheme="majorHAnsi"/>
            </w:rPr>
            <m:t>=</m:t>
          </m:r>
          <m:nary>
            <m:naryPr>
              <m:chr m:val="∑"/>
              <m:supHide m:val="1"/>
              <m:ctrlPr>
                <w:rPr>
                  <w:rFonts w:ascii="Cambria Math" w:hAnsi="Cambria Math" w:cstheme="majorHAnsi"/>
                  <w:i/>
                </w:rPr>
              </m:ctrlPr>
            </m:naryPr>
            <m:sub>
              <m:r>
                <w:rPr>
                  <w:rFonts w:ascii="Cambria Math" w:hAnsi="Cambria Math" w:cstheme="majorHAnsi"/>
                </w:rPr>
                <m:t>w</m:t>
              </m:r>
            </m:sub>
            <m:sup/>
            <m:e>
              <m:f>
                <m:fPr>
                  <m:ctrlPr>
                    <w:rPr>
                      <w:rFonts w:ascii="Cambria Math" w:hAnsi="Cambria Math" w:cstheme="majorHAnsi"/>
                      <w:i/>
                    </w:rPr>
                  </m:ctrlPr>
                </m:fPr>
                <m:num>
                  <m:r>
                    <w:rPr>
                      <w:rFonts w:ascii="Cambria Math" w:hAnsi="Cambria Math" w:cstheme="majorHAnsi"/>
                    </w:rPr>
                    <m:t>E</m:t>
                  </m:r>
                  <m:d>
                    <m:dPr>
                      <m:begChr m:val="["/>
                      <m:endChr m:val="]"/>
                      <m:ctrlPr>
                        <w:rPr>
                          <w:rFonts w:ascii="Cambria Math" w:hAnsi="Cambria Math" w:cstheme="majorHAnsi"/>
                          <w:i/>
                        </w:rPr>
                      </m:ctrlPr>
                    </m:dPr>
                    <m:e>
                      <m:r>
                        <w:rPr>
                          <w:rFonts w:ascii="Cambria Math" w:hAnsi="Cambria Math" w:cstheme="majorHAnsi"/>
                        </w:rPr>
                        <m:t>Y,A=0,W=w | S=2</m:t>
                      </m:r>
                    </m:e>
                  </m:d>
                </m:num>
                <m:den>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A=0| W=w,S=2</m:t>
                          </m:r>
                        </m:e>
                      </m:d>
                    </m:e>
                  </m:func>
                </m:den>
              </m:f>
              <m:f>
                <m:fPr>
                  <m:ctrlPr>
                    <w:rPr>
                      <w:rFonts w:ascii="Cambria Math" w:hAnsi="Cambria Math" w:cstheme="majorHAnsi"/>
                      <w:i/>
                    </w:rPr>
                  </m:ctrlPr>
                </m:fPr>
                <m:num>
                  <m:func>
                    <m:funcPr>
                      <m:ctrlPr>
                        <w:rPr>
                          <w:rFonts w:ascii="Cambria Math" w:hAnsi="Cambria Math" w:cstheme="majorHAnsi"/>
                          <w:i/>
                        </w:rPr>
                      </m:ctrlPr>
                    </m:funcPr>
                    <m:fName>
                      <m:r>
                        <m:rPr>
                          <m:sty m:val="p"/>
                        </m:rPr>
                        <w:rPr>
                          <w:rFonts w:ascii="Cambria Math" w:hAnsi="Cambria Math" w:cstheme="majorHAnsi"/>
                        </w:rPr>
                        <m:t>Pr</m:t>
                      </m:r>
                    </m:fName>
                    <m:e>
                      <m:f>
                        <m:fPr>
                          <m:ctrlPr>
                            <w:rPr>
                              <w:rFonts w:ascii="Cambria Math" w:hAnsi="Cambria Math" w:cstheme="majorHAnsi"/>
                              <w:i/>
                            </w:rPr>
                          </m:ctrlPr>
                        </m:fPr>
                        <m:num>
                          <m:d>
                            <m:dPr>
                              <m:ctrlPr>
                                <w:rPr>
                                  <w:rFonts w:ascii="Cambria Math" w:hAnsi="Cambria Math" w:cstheme="majorHAnsi"/>
                                  <w:i/>
                                </w:rPr>
                              </m:ctrlPr>
                            </m:dPr>
                            <m:e>
                              <m:r>
                                <w:rPr>
                                  <w:rFonts w:ascii="Cambria Math" w:hAnsi="Cambria Math" w:cstheme="majorHAnsi"/>
                                </w:rPr>
                                <m:t>S=1 | W=w</m:t>
                              </m:r>
                            </m:e>
                          </m:d>
                        </m:num>
                        <m:den>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S=1</m:t>
                                  </m:r>
                                </m:e>
                              </m:d>
                            </m:e>
                          </m:func>
                        </m:den>
                      </m:f>
                    </m:e>
                  </m:func>
                </m:num>
                <m:den>
                  <m:func>
                    <m:funcPr>
                      <m:ctrlPr>
                        <w:rPr>
                          <w:rFonts w:ascii="Cambria Math" w:hAnsi="Cambria Math" w:cstheme="majorHAnsi"/>
                          <w:i/>
                        </w:rPr>
                      </m:ctrlPr>
                    </m:funcPr>
                    <m:fName>
                      <m:r>
                        <m:rPr>
                          <m:sty m:val="p"/>
                        </m:rPr>
                        <w:rPr>
                          <w:rFonts w:ascii="Cambria Math" w:hAnsi="Cambria Math" w:cstheme="majorHAnsi"/>
                        </w:rPr>
                        <m:t>Pr</m:t>
                      </m:r>
                    </m:fName>
                    <m:e>
                      <m:f>
                        <m:fPr>
                          <m:ctrlPr>
                            <w:rPr>
                              <w:rFonts w:ascii="Cambria Math" w:hAnsi="Cambria Math" w:cstheme="majorHAnsi"/>
                              <w:i/>
                            </w:rPr>
                          </m:ctrlPr>
                        </m:fPr>
                        <m:num>
                          <m:d>
                            <m:dPr>
                              <m:ctrlPr>
                                <w:rPr>
                                  <w:rFonts w:ascii="Cambria Math" w:hAnsi="Cambria Math" w:cstheme="majorHAnsi"/>
                                  <w:i/>
                                </w:rPr>
                              </m:ctrlPr>
                            </m:dPr>
                            <m:e>
                              <m:r>
                                <w:rPr>
                                  <w:rFonts w:ascii="Cambria Math" w:hAnsi="Cambria Math" w:cstheme="majorHAnsi"/>
                                </w:rPr>
                                <m:t xml:space="preserve"> S=2 | W=w</m:t>
                              </m:r>
                            </m:e>
                          </m:d>
                        </m:num>
                        <m:den>
                          <m:func>
                            <m:funcPr>
                              <m:ctrlPr>
                                <w:rPr>
                                  <w:rFonts w:ascii="Cambria Math" w:hAnsi="Cambria Math" w:cstheme="majorHAnsi"/>
                                  <w:i/>
                                </w:rPr>
                              </m:ctrlPr>
                            </m:funcPr>
                            <m:fName>
                              <m:r>
                                <m:rPr>
                                  <m:sty m:val="p"/>
                                </m:rPr>
                                <w:rPr>
                                  <w:rFonts w:ascii="Cambria Math" w:hAnsi="Cambria Math" w:cstheme="majorHAnsi"/>
                                </w:rPr>
                                <m:t>Pr</m:t>
                              </m:r>
                            </m:fName>
                            <m:e>
                              <m:d>
                                <m:dPr>
                                  <m:ctrlPr>
                                    <w:rPr>
                                      <w:rFonts w:ascii="Cambria Math" w:hAnsi="Cambria Math" w:cstheme="majorHAnsi"/>
                                      <w:i/>
                                    </w:rPr>
                                  </m:ctrlPr>
                                </m:dPr>
                                <m:e>
                                  <m:r>
                                    <w:rPr>
                                      <w:rFonts w:ascii="Cambria Math" w:hAnsi="Cambria Math" w:cstheme="majorHAnsi"/>
                                    </w:rPr>
                                    <m:t>S=2</m:t>
                                  </m:r>
                                </m:e>
                              </m:d>
                            </m:e>
                          </m:func>
                        </m:den>
                      </m:f>
                    </m:e>
                  </m:func>
                </m:den>
              </m:f>
            </m:e>
          </m:nary>
        </m:oMath>
      </m:oMathPara>
    </w:p>
    <w:p w14:paraId="0D826D01" w14:textId="789315CA" w:rsidR="003B273B" w:rsidRPr="00D452A9" w:rsidRDefault="00E74180" w:rsidP="00DE4FB1">
      <w:pPr>
        <w:pStyle w:val="BodyText"/>
        <w:ind w:firstLine="0"/>
        <w:rPr>
          <w:rFonts w:eastAsiaTheme="minorEastAsia"/>
          <w:u w:val="single"/>
        </w:rPr>
      </w:pPr>
      <w:r w:rsidRPr="00D452A9">
        <w:t>where the first step follows from law of total probability, second follows from conditional sample exchangeability (</w:t>
      </w:r>
      <w:r w:rsidRPr="00D452A9">
        <w:rPr>
          <w:rFonts w:eastAsiaTheme="minorEastAsia"/>
        </w:rPr>
        <w:t xml:space="preserve">i.e., </w:t>
      </w:r>
      <m:oMath>
        <m:r>
          <w:rPr>
            <w:rFonts w:ascii="Cambria Math" w:hAnsi="Cambria Math"/>
          </w:rPr>
          <m:t>E</m:t>
        </m:r>
        <m:d>
          <m:dPr>
            <m:begChr m:val="["/>
            <m:endChr m:val="]"/>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a</m:t>
                </m:r>
              </m:sup>
            </m:sSup>
            <m:r>
              <w:rPr>
                <w:rFonts w:ascii="Cambria Math" w:hAnsi="Cambria Math"/>
              </w:rPr>
              <m:t>|W,S=0</m:t>
            </m:r>
          </m:e>
        </m:d>
        <m:r>
          <w:rPr>
            <w:rFonts w:ascii="Cambria Math" w:hAnsi="Cambria Math"/>
          </w:rPr>
          <m:t>=E</m:t>
        </m:r>
        <m:d>
          <m:dPr>
            <m:begChr m:val="["/>
            <m:endChr m:val="]"/>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a</m:t>
                </m:r>
              </m:sup>
            </m:sSup>
            <m:r>
              <w:rPr>
                <w:rFonts w:ascii="Cambria Math" w:hAnsi="Cambria Math"/>
              </w:rPr>
              <m:t>|W,S=1</m:t>
            </m:r>
          </m:e>
        </m:d>
      </m:oMath>
      <w:r w:rsidRPr="00D452A9">
        <w:t xml:space="preserve">) and sample positivity (i.e., </w:t>
      </w:r>
      <m:oMath>
        <m:func>
          <m:funcPr>
            <m:ctrlPr>
              <w:rPr>
                <w:rFonts w:ascii="Cambria Math" w:hAnsi="Cambria Math"/>
                <w:i/>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W=w | S=1</m:t>
                </m:r>
              </m:e>
            </m:d>
          </m:e>
        </m:func>
        <m:r>
          <w:rPr>
            <w:rFonts w:ascii="Cambria Math" w:hAnsi="Cambria Math"/>
          </w:rPr>
          <m:t>&gt;0</m:t>
        </m:r>
      </m:oMath>
      <w:r w:rsidRPr="00D452A9">
        <w:rPr>
          <w:rFonts w:eastAsiaTheme="minorEastAsia"/>
        </w:rPr>
        <w:t xml:space="preserve"> for all </w:t>
      </w:r>
      <m:oMath>
        <m:r>
          <w:rPr>
            <w:rFonts w:ascii="Cambria Math" w:eastAsiaTheme="minorEastAsia" w:hAnsi="Cambria Math"/>
          </w:rPr>
          <m:t>w</m:t>
        </m:r>
      </m:oMath>
      <w:r w:rsidRPr="00D452A9">
        <w:rPr>
          <w:rFonts w:eastAsiaTheme="minorEastAsia"/>
        </w:rPr>
        <w:t xml:space="preserve"> such that </w:t>
      </w:r>
      <m:oMath>
        <m:func>
          <m:funcPr>
            <m:ctrlPr>
              <w:rPr>
                <w:rFonts w:ascii="Cambria Math" w:eastAsiaTheme="minorEastAsia" w:hAnsi="Cambria Math"/>
                <w:i/>
              </w:rPr>
            </m:ctrlPr>
          </m:funcPr>
          <m:fName>
            <m:r>
              <m:rPr>
                <m:sty m:val="p"/>
              </m:rPr>
              <w:rPr>
                <w:rFonts w:ascii="Cambria Math" w:eastAsiaTheme="minorEastAsia" w:hAnsi="Cambria Math"/>
              </w:rPr>
              <m:t>Pr</m:t>
            </m:r>
          </m:fName>
          <m:e>
            <m:d>
              <m:dPr>
                <m:ctrlPr>
                  <w:rPr>
                    <w:rFonts w:ascii="Cambria Math" w:eastAsiaTheme="minorEastAsia" w:hAnsi="Cambria Math"/>
                    <w:i/>
                  </w:rPr>
                </m:ctrlPr>
              </m:dPr>
              <m:e>
                <m:r>
                  <w:rPr>
                    <w:rFonts w:ascii="Cambria Math" w:eastAsiaTheme="minorEastAsia" w:hAnsi="Cambria Math"/>
                  </w:rPr>
                  <m:t>W=w | S=0</m:t>
                </m:r>
              </m:e>
            </m:d>
          </m:e>
        </m:func>
        <m:r>
          <w:rPr>
            <w:rFonts w:ascii="Cambria Math" w:eastAsiaTheme="minorEastAsia" w:hAnsi="Cambria Math"/>
          </w:rPr>
          <m:t>&gt;0</m:t>
        </m:r>
      </m:oMath>
      <w:r w:rsidRPr="00D452A9">
        <w:t xml:space="preserve">), third follows from condition treatment exchangeability (i.e., </w:t>
      </w:r>
      <m:oMath>
        <m:r>
          <w:rPr>
            <w:rFonts w:ascii="Cambria Math" w:hAnsi="Cambria Math"/>
          </w:rPr>
          <m:t>E</m:t>
        </m:r>
        <m:d>
          <m:dPr>
            <m:begChr m:val="["/>
            <m:endChr m:val="]"/>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a</m:t>
                </m:r>
              </m:sup>
            </m:sSup>
            <m:r>
              <w:rPr>
                <w:rFonts w:ascii="Cambria Math" w:hAnsi="Cambria Math"/>
              </w:rPr>
              <m:t>|W=w,S=1</m:t>
            </m:r>
          </m:e>
        </m:d>
        <m:r>
          <w:rPr>
            <w:rFonts w:ascii="Cambria Math" w:hAnsi="Cambria Math"/>
          </w:rPr>
          <m:t>=E</m:t>
        </m:r>
        <m:d>
          <m:dPr>
            <m:begChr m:val="["/>
            <m:endChr m:val="]"/>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a</m:t>
                </m:r>
              </m:sup>
            </m:sSup>
            <m:r>
              <w:rPr>
                <w:rFonts w:ascii="Cambria Math" w:hAnsi="Cambria Math"/>
              </w:rPr>
              <m:t>|A=0,W=w,S=1</m:t>
            </m:r>
          </m:e>
        </m:d>
      </m:oMath>
      <w:r w:rsidRPr="00D452A9">
        <w:t xml:space="preserve">) and treatment positivity (i.e., </w:t>
      </w:r>
      <m:oMath>
        <m:func>
          <m:funcPr>
            <m:ctrlPr>
              <w:rPr>
                <w:rFonts w:ascii="Cambria Math" w:hAnsi="Cambria Math"/>
                <w:i/>
              </w:rPr>
            </m:ctrlPr>
          </m:funcPr>
          <m:fName>
            <m:r>
              <m:rPr>
                <m:sty m:val="p"/>
              </m:rPr>
              <w:rPr>
                <w:rFonts w:ascii="Cambria Math" w:hAnsi="Cambria Math"/>
              </w:rPr>
              <m:t>Pr</m:t>
            </m:r>
          </m:fName>
          <m:e>
            <m:d>
              <m:dPr>
                <m:ctrlPr>
                  <w:rPr>
                    <w:rFonts w:ascii="Cambria Math" w:hAnsi="Cambria Math"/>
                    <w:i/>
                  </w:rPr>
                </m:ctrlPr>
              </m:dPr>
              <m:e>
                <m:r>
                  <w:rPr>
                    <w:rFonts w:ascii="Cambria Math" w:hAnsi="Cambria Math"/>
                  </w:rPr>
                  <m:t>A=0 | W=w,S=1</m:t>
                </m:r>
              </m:e>
            </m:d>
          </m:e>
        </m:func>
        <m:r>
          <w:rPr>
            <w:rFonts w:ascii="Cambria Math" w:hAnsi="Cambria Math"/>
          </w:rPr>
          <m:t>&gt;0</m:t>
        </m:r>
      </m:oMath>
      <w:r w:rsidRPr="00D452A9">
        <w:t xml:space="preserve">) in the secondary population, fourth follows from causal consistency (i.e., </w:t>
      </w:r>
      <m:oMath>
        <m:r>
          <w:rPr>
            <w:rFonts w:ascii="Cambria Math" w:hAnsi="Cambria Math"/>
          </w:rPr>
          <m:t>Y=A</m:t>
        </m:r>
        <m:sSup>
          <m:sSupPr>
            <m:ctrlPr>
              <w:rPr>
                <w:rFonts w:ascii="Cambria Math" w:hAnsi="Cambria Math"/>
                <w:i/>
              </w:rPr>
            </m:ctrlPr>
          </m:sSupPr>
          <m:e>
            <m:r>
              <w:rPr>
                <w:rFonts w:ascii="Cambria Math" w:hAnsi="Cambria Math"/>
              </w:rPr>
              <m:t>Y</m:t>
            </m:r>
          </m:e>
          <m:sup>
            <m:r>
              <w:rPr>
                <w:rFonts w:ascii="Cambria Math" w:hAnsi="Cambria Math"/>
              </w:rPr>
              <m:t>1</m:t>
            </m:r>
          </m:sup>
        </m:sSup>
        <m:r>
          <w:rPr>
            <w:rFonts w:ascii="Cambria Math" w:hAnsi="Cambria Math"/>
          </w:rPr>
          <m:t>+</m:t>
        </m:r>
        <m:d>
          <m:dPr>
            <m:ctrlPr>
              <w:rPr>
                <w:rFonts w:ascii="Cambria Math" w:hAnsi="Cambria Math"/>
                <w:i/>
              </w:rPr>
            </m:ctrlPr>
          </m:dPr>
          <m:e>
            <m:r>
              <w:rPr>
                <w:rFonts w:ascii="Cambria Math" w:hAnsi="Cambria Math"/>
              </w:rPr>
              <m:t>1-A</m:t>
            </m:r>
          </m:e>
        </m:d>
        <m:sSup>
          <m:sSupPr>
            <m:ctrlPr>
              <w:rPr>
                <w:rFonts w:ascii="Cambria Math" w:hAnsi="Cambria Math"/>
                <w:i/>
              </w:rPr>
            </m:ctrlPr>
          </m:sSupPr>
          <m:e>
            <m:r>
              <w:rPr>
                <w:rFonts w:ascii="Cambria Math" w:hAnsi="Cambria Math"/>
              </w:rPr>
              <m:t>Y</m:t>
            </m:r>
          </m:e>
          <m:sup>
            <m:r>
              <w:rPr>
                <w:rFonts w:ascii="Cambria Math" w:hAnsi="Cambria Math"/>
              </w:rPr>
              <m:t>0</m:t>
            </m:r>
          </m:sup>
        </m:sSup>
      </m:oMath>
      <w:r w:rsidRPr="00D452A9">
        <w:t>), fifth follows from definition of expectations, sixth follows from definition of conditional probabilities, and final step</w:t>
      </w:r>
      <w:r w:rsidR="00D75120" w:rsidRPr="00D452A9">
        <w:t>s</w:t>
      </w:r>
      <w:r w:rsidRPr="00D452A9">
        <w:t xml:space="preserve"> follow from algebra.</w:t>
      </w:r>
    </w:p>
    <w:p w14:paraId="5A342559" w14:textId="3E9F62C3" w:rsidR="00462D62" w:rsidRPr="00D452A9" w:rsidRDefault="00F00565">
      <w:pPr>
        <w:rPr>
          <w:rFonts w:cstheme="majorHAnsi"/>
          <w:i/>
          <w:iCs/>
          <w:caps/>
        </w:rPr>
      </w:pPr>
      <w:bookmarkStart w:id="62" w:name="variance-from-taylor-series-expansion"/>
      <w:commentRangeStart w:id="63"/>
      <w:commentRangeEnd w:id="63"/>
      <w:r w:rsidRPr="00D452A9">
        <w:rPr>
          <w:rStyle w:val="CommentReference"/>
          <w:rFonts w:cstheme="majorHAnsi"/>
        </w:rPr>
        <w:commentReference w:id="63"/>
      </w:r>
      <w:bookmarkStart w:id="64" w:name="variance-from-nonparametric-bootstrap"/>
      <w:bookmarkEnd w:id="62"/>
    </w:p>
    <w:p w14:paraId="491ABEA8" w14:textId="709689DF" w:rsidR="008D7401" w:rsidRPr="00D452A9" w:rsidRDefault="00000000">
      <w:pPr>
        <w:pStyle w:val="Heading2"/>
        <w:rPr>
          <w:rFonts w:cstheme="majorHAnsi"/>
        </w:rPr>
      </w:pPr>
      <w:r w:rsidRPr="00D452A9">
        <w:rPr>
          <w:rFonts w:cstheme="majorHAnsi"/>
        </w:rPr>
        <w:t>Variance from nonparametric bootstrap</w:t>
      </w:r>
    </w:p>
    <w:p w14:paraId="6F4E9F96" w14:textId="0FE575C6" w:rsidR="00EB592B" w:rsidRPr="00D452A9" w:rsidRDefault="00630998">
      <w:pPr>
        <w:pStyle w:val="FirstParagraph"/>
        <w:rPr>
          <w:rFonts w:eastAsiaTheme="minorEastAsia"/>
        </w:rPr>
      </w:pPr>
      <w:r w:rsidRPr="00D452A9">
        <w:t xml:space="preserve">To </w:t>
      </w:r>
      <w:r w:rsidR="00F435D3" w:rsidRPr="00D452A9">
        <w:t>implement the nonparametric bootstrap</w:t>
      </w:r>
      <w:r w:rsidRPr="00D452A9">
        <w:t xml:space="preserve">, </w:t>
      </w:r>
      <m:oMath>
        <m:r>
          <w:rPr>
            <w:rFonts w:ascii="Cambria Math" w:hAnsi="Cambria Math"/>
          </w:rPr>
          <m:t>B</m:t>
        </m:r>
      </m:oMath>
      <w:r w:rsidRPr="00D452A9">
        <w:t xml:space="preserve"> samples with replacement are </w:t>
      </w:r>
      <w:r w:rsidR="001602F5" w:rsidRPr="00D452A9">
        <w:t xml:space="preserve">independently </w:t>
      </w:r>
      <w:r w:rsidRPr="00D452A9">
        <w:t xml:space="preserve">drawn, </w:t>
      </w:r>
      <w:r w:rsidR="00E000EA">
        <w:t xml:space="preserve">comprised of two independent samples of size </w:t>
      </w:r>
      <w:commentRangeStart w:id="65"/>
      <m:oMath>
        <m:r>
          <w:rPr>
            <w:rFonts w:ascii="Cambria Math" w:hAnsi="Cambria Math"/>
          </w:rPr>
          <m:t>N</m:t>
        </m:r>
      </m:oMath>
      <w:r w:rsidRPr="00D452A9">
        <w:t xml:space="preserve"> from the study data set and </w:t>
      </w:r>
      <m:oMath>
        <m:r>
          <w:rPr>
            <w:rFonts w:ascii="Cambria Math" w:hAnsi="Cambria Math"/>
          </w:rPr>
          <m:t>M</m:t>
        </m:r>
      </m:oMath>
      <w:r w:rsidRPr="00D452A9">
        <w:t xml:space="preserve"> from the population-level data</w:t>
      </w:r>
      <w:commentRangeEnd w:id="65"/>
      <w:r w:rsidR="00F435D3" w:rsidRPr="00D452A9">
        <w:rPr>
          <w:rStyle w:val="CommentReference"/>
        </w:rPr>
        <w:commentReference w:id="65"/>
      </w:r>
      <w:r w:rsidRPr="00D452A9">
        <w:t xml:space="preserve">. </w:t>
      </w:r>
      <w:r w:rsidR="00F00565" w:rsidRPr="00D452A9">
        <w:t xml:space="preserve">From the </w:t>
      </w:r>
      <m:oMath>
        <m:r>
          <w:rPr>
            <w:rFonts w:ascii="Cambria Math" w:hAnsi="Cambria Math"/>
          </w:rPr>
          <m:t>B</m:t>
        </m:r>
      </m:oMath>
      <w:r w:rsidR="00F00565" w:rsidRPr="00D452A9">
        <w:t xml:space="preserve"> samples, we can construct all intermediate models and calculate the population attributable fraction. </w:t>
      </w:r>
      <w:r w:rsidRPr="00D452A9">
        <w:t xml:space="preserve">Under the central limit theorem, the resulting distribution of </w:t>
      </w:r>
      <w:r w:rsidR="00E36A29" w:rsidRPr="00D452A9">
        <w:t xml:space="preserve">the </w:t>
      </w:r>
      <m:oMath>
        <m:r>
          <w:rPr>
            <w:rFonts w:ascii="Cambria Math" w:hAnsi="Cambria Math"/>
          </w:rPr>
          <m:t>B</m:t>
        </m:r>
      </m:oMath>
      <w:r w:rsidR="00E36A29" w:rsidRPr="00D452A9">
        <w:t xml:space="preserve"> </w:t>
      </w:r>
      <w:r w:rsidRPr="00D452A9">
        <w:t>population attributable fractions will be normally distributed</w:t>
      </w:r>
      <w:r w:rsidR="00693CE8" w:rsidRPr="00D452A9">
        <w:t xml:space="preserve"> </w:t>
      </w:r>
      <w:r w:rsidR="00693CE8" w:rsidRPr="00D452A9">
        <w:fldChar w:fldCharType="begin"/>
      </w:r>
      <w:r w:rsidR="000C5025" w:rsidRPr="00D452A9">
        <w:instrText xml:space="preserve"> ADDIN ZOTERO_ITEM CSL_CITATION {"citationID":"YJoJkGDM","properties":{"formattedCitation":"(26)","plainCitation":"(26)","noteIndex":0},"citationItems":[{"id":2428,"uris":["http://zotero.org/users/4426001/items/RSSY8Z2Y"],"itemData":{"id":2428,"type":"article-journal","container-title":"Nature Methods","DOI":"10.1038/nmeth.3414","ISSN":"1548-7091, 1548-7105","issue":"6","journalAbbreviation":"Nat Methods","language":"en","page":"477-478","source":"DOI.org (Crossref)","title":"Sampling distributions and the bootstrap","volume":"12","author":[{"family":"Kulesa","given":"Anthony"},{"family":"Krzywinski","given":"Martin"},{"family":"Blainey","given":"Paul"},{"family":"Altman","given":"Naomi"}],"issued":{"date-parts":[["2015",6]]},"citation-key":"kulesaSamplingDistributionsBootstrap2015"}}],"schema":"https://github.com/citation-style-language/schema/raw/master/csl-citation.json"} </w:instrText>
      </w:r>
      <w:r w:rsidR="00693CE8" w:rsidRPr="00D452A9">
        <w:fldChar w:fldCharType="separate"/>
      </w:r>
      <w:r w:rsidR="000C5025" w:rsidRPr="00D452A9">
        <w:t>(26)</w:t>
      </w:r>
      <w:r w:rsidR="00693CE8" w:rsidRPr="00D452A9">
        <w:rPr>
          <w:rFonts w:eastAsiaTheme="minorEastAsia"/>
        </w:rPr>
        <w:fldChar w:fldCharType="end"/>
      </w:r>
      <w:commentRangeStart w:id="66"/>
      <w:r w:rsidRPr="00D452A9">
        <w:rPr>
          <w:rFonts w:eastAsiaTheme="minorEastAsia"/>
        </w:rPr>
        <w:t>.</w:t>
      </w:r>
      <w:commentRangeEnd w:id="66"/>
      <w:r w:rsidR="008915D6" w:rsidRPr="00D452A9">
        <w:rPr>
          <w:rStyle w:val="CommentReference"/>
        </w:rPr>
        <w:commentReference w:id="66"/>
      </w:r>
      <w:r w:rsidRPr="00D452A9">
        <w:rPr>
          <w:rFonts w:eastAsiaTheme="minorEastAsia"/>
        </w:rPr>
        <w:t xml:space="preserve"> </w:t>
      </w:r>
      <w:r w:rsidR="00E36A29" w:rsidRPr="00D452A9">
        <w:rPr>
          <w:rFonts w:eastAsiaTheme="minorEastAsia"/>
        </w:rPr>
        <w:t>The standard deviation</w:t>
      </w:r>
      <w:r w:rsidR="00E000EA">
        <w:rPr>
          <w:rFonts w:eastAsiaTheme="minorEastAsia"/>
        </w:rPr>
        <w:t xml:space="preserve"> (SD)</w:t>
      </w:r>
      <w:r w:rsidR="00E36A29" w:rsidRPr="00D452A9">
        <w:rPr>
          <w:rFonts w:eastAsiaTheme="minorEastAsia"/>
        </w:rPr>
        <w:t xml:space="preserve"> of those estimates </w:t>
      </w:r>
      <w:r w:rsidR="00EB592B" w:rsidRPr="00D452A9">
        <w:rPr>
          <w:rFonts w:eastAsiaTheme="minorEastAsia"/>
        </w:rPr>
        <w:t>is the empirical standard error of  </w:t>
      </w:r>
      <m:oMath>
        <m:acc>
          <m:accPr>
            <m:ctrlPr>
              <w:rPr>
                <w:rFonts w:ascii="Cambria Math" w:eastAsiaTheme="minorEastAsia" w:hAnsi="Cambria Math"/>
                <w:i/>
              </w:rPr>
            </m:ctrlPr>
          </m:accPr>
          <m:e>
            <m:r>
              <w:rPr>
                <w:rFonts w:ascii="Cambria Math" w:eastAsiaTheme="minorEastAsia" w:hAnsi="Cambria Math"/>
              </w:rPr>
              <m:t>θ</m:t>
            </m:r>
          </m:e>
        </m:acc>
      </m:oMath>
      <w:r w:rsidR="00EB592B" w:rsidRPr="00D452A9">
        <w:rPr>
          <w:rFonts w:eastAsiaTheme="minorEastAsia"/>
        </w:rPr>
        <w:t>.</w:t>
      </w:r>
    </w:p>
    <w:p w14:paraId="2946B75F" w14:textId="59D67E17" w:rsidR="00EB592B" w:rsidRPr="00D452A9" w:rsidRDefault="00EB592B" w:rsidP="006E777A">
      <w:pPr>
        <w:pStyle w:val="BodyText"/>
      </w:pPr>
      <w:r w:rsidRPr="00D452A9">
        <w:t>Two different approaches for constructing 95% confidence interval bounds are used. The first approach, called the standard deviation</w:t>
      </w:r>
      <w:r w:rsidR="00E000EA" w:rsidRPr="00D452A9">
        <w:t xml:space="preserve"> </w:t>
      </w:r>
      <w:r w:rsidR="00E000EA">
        <w:t>b</w:t>
      </w:r>
      <w:r w:rsidRPr="00D452A9">
        <w:t xml:space="preserve">ootstrap, computes the standard deviation of the </w:t>
      </w:r>
      <m:oMath>
        <m:r>
          <w:rPr>
            <w:rFonts w:ascii="Cambria Math" w:hAnsi="Cambria Math"/>
          </w:rPr>
          <m:t>B</m:t>
        </m:r>
      </m:oMath>
      <w:r w:rsidRPr="00D452A9">
        <w:rPr>
          <w:rFonts w:eastAsiaTheme="minorEastAsia"/>
        </w:rPr>
        <w:t xml:space="preserve"> population attributable fractions as the standard error. The second approach, called the percentile bootstrap, directly reports the 2.5</w:t>
      </w:r>
      <w:r w:rsidRPr="00D452A9">
        <w:rPr>
          <w:rFonts w:eastAsiaTheme="minorEastAsia"/>
          <w:vertAlign w:val="superscript"/>
        </w:rPr>
        <w:t>th</w:t>
      </w:r>
      <w:r w:rsidRPr="00D452A9">
        <w:rPr>
          <w:rFonts w:eastAsiaTheme="minorEastAsia"/>
        </w:rPr>
        <w:t xml:space="preserve"> and 97.5</w:t>
      </w:r>
      <w:r w:rsidRPr="00D452A9">
        <w:rPr>
          <w:rFonts w:eastAsiaTheme="minorEastAsia"/>
          <w:vertAlign w:val="superscript"/>
        </w:rPr>
        <w:t>th</w:t>
      </w:r>
      <w:r w:rsidRPr="00D452A9">
        <w:rPr>
          <w:rFonts w:eastAsiaTheme="minorEastAsia"/>
        </w:rPr>
        <w:t xml:space="preserve"> percentile of the </w:t>
      </w:r>
      <m:oMath>
        <m:r>
          <w:rPr>
            <w:rFonts w:ascii="Cambria Math" w:hAnsi="Cambria Math"/>
          </w:rPr>
          <m:t>B</m:t>
        </m:r>
      </m:oMath>
      <w:r w:rsidRPr="00D452A9">
        <w:rPr>
          <w:rFonts w:eastAsiaTheme="minorEastAsia"/>
        </w:rPr>
        <w:t xml:space="preserve"> population </w:t>
      </w:r>
      <w:r w:rsidRPr="00D452A9">
        <w:rPr>
          <w:rFonts w:eastAsiaTheme="minorEastAsia"/>
        </w:rPr>
        <w:lastRenderedPageBreak/>
        <w:t xml:space="preserve">attributable fractions as the confidence interval bounds. </w:t>
      </w:r>
      <w:r w:rsidR="0094619C" w:rsidRPr="00D452A9">
        <w:rPr>
          <w:rFonts w:eastAsiaTheme="minorEastAsia"/>
        </w:rPr>
        <w:t xml:space="preserve">A standard error can be </w:t>
      </w:r>
      <w:r w:rsidR="000A0B4A" w:rsidRPr="00D452A9">
        <w:rPr>
          <w:rFonts w:eastAsiaTheme="minorEastAsia"/>
        </w:rPr>
        <w:t>approximated</w:t>
      </w:r>
      <w:r w:rsidR="0094619C" w:rsidRPr="00D452A9">
        <w:rPr>
          <w:rFonts w:eastAsiaTheme="minorEastAsia"/>
        </w:rPr>
        <w:t xml:space="preserve"> by taking the difference in bounds and dividing by </w:t>
      </w:r>
      <m:oMath>
        <m:d>
          <m:dPr>
            <m:ctrlPr>
              <w:rPr>
                <w:rFonts w:ascii="Cambria Math" w:eastAsiaTheme="minorEastAsia" w:hAnsi="Cambria Math"/>
                <w:i/>
              </w:rPr>
            </m:ctrlPr>
          </m:dPr>
          <m:e>
            <m:r>
              <w:rPr>
                <w:rFonts w:ascii="Cambria Math" w:eastAsiaTheme="minorEastAsia" w:hAnsi="Cambria Math"/>
              </w:rPr>
              <m:t>2*1.96</m:t>
            </m:r>
          </m:e>
        </m:d>
      </m:oMath>
      <w:r w:rsidR="0094619C" w:rsidRPr="00D452A9">
        <w:rPr>
          <w:rFonts w:eastAsiaTheme="minorEastAsia"/>
        </w:rPr>
        <w:t xml:space="preserve">. </w:t>
      </w:r>
      <w:r w:rsidRPr="00D452A9">
        <w:rPr>
          <w:rFonts w:eastAsiaTheme="minorEastAsia"/>
        </w:rPr>
        <w:t xml:space="preserve">Asymptotically, </w:t>
      </w:r>
      <w:r w:rsidR="0094619C" w:rsidRPr="00D452A9">
        <w:rPr>
          <w:rFonts w:eastAsiaTheme="minorEastAsia"/>
        </w:rPr>
        <w:t>results from either approach</w:t>
      </w:r>
      <w:r w:rsidRPr="00D452A9">
        <w:rPr>
          <w:rFonts w:eastAsiaTheme="minorEastAsia"/>
        </w:rPr>
        <w:t xml:space="preserve"> should equal each other</w:t>
      </w:r>
      <w:r w:rsidR="0094619C" w:rsidRPr="00D452A9">
        <w:rPr>
          <w:rFonts w:eastAsiaTheme="minorEastAsia"/>
        </w:rPr>
        <w:t xml:space="preserve">, but in the finite case they may not </w:t>
      </w:r>
      <w:r w:rsidR="00F00565" w:rsidRPr="00D452A9">
        <w:rPr>
          <w:rFonts w:eastAsiaTheme="minorEastAsia"/>
        </w:rPr>
        <w:t xml:space="preserve">be exactly </w:t>
      </w:r>
      <w:r w:rsidR="0094619C" w:rsidRPr="00D452A9">
        <w:rPr>
          <w:rFonts w:eastAsiaTheme="minorEastAsia"/>
        </w:rPr>
        <w:t>equa</w:t>
      </w:r>
      <w:r w:rsidR="00F00565" w:rsidRPr="00D452A9">
        <w:rPr>
          <w:rFonts w:eastAsiaTheme="minorEastAsia"/>
        </w:rPr>
        <w:t>l</w:t>
      </w:r>
      <w:r w:rsidRPr="00D452A9">
        <w:rPr>
          <w:rFonts w:eastAsiaTheme="minorEastAsia"/>
        </w:rPr>
        <w:t xml:space="preserve">. </w:t>
      </w:r>
      <w:r w:rsidR="000F2D3F" w:rsidRPr="00D452A9">
        <w:rPr>
          <w:rFonts w:eastAsiaTheme="minorEastAsia"/>
        </w:rPr>
        <w:t>The SD bootstrap assumes the sampling distribution is normal (and thus symmetrical), whereas the percentile bootstrap does not.</w:t>
      </w:r>
    </w:p>
    <w:p w14:paraId="413E43DC" w14:textId="11DB6C18" w:rsidR="00822ED3" w:rsidRPr="00D452A9" w:rsidRDefault="002B59EB" w:rsidP="006B5467">
      <w:pPr>
        <w:pStyle w:val="BodyText"/>
        <w:ind w:firstLine="0"/>
      </w:pPr>
      <w:r w:rsidRPr="00D452A9">
        <w:tab/>
      </w:r>
    </w:p>
    <w:p w14:paraId="747D89CB" w14:textId="77777777" w:rsidR="008D7401" w:rsidRPr="00D452A9" w:rsidRDefault="00000000">
      <w:pPr>
        <w:pStyle w:val="Heading2"/>
        <w:rPr>
          <w:rFonts w:cstheme="majorHAnsi"/>
        </w:rPr>
      </w:pPr>
      <w:bookmarkStart w:id="67" w:name="variance-from-m-estimation"/>
      <w:bookmarkEnd w:id="64"/>
      <w:commentRangeStart w:id="68"/>
      <w:r w:rsidRPr="00D452A9">
        <w:rPr>
          <w:rFonts w:cstheme="majorHAnsi"/>
        </w:rPr>
        <w:t>Variance from M-Estimation</w:t>
      </w:r>
      <w:commentRangeEnd w:id="68"/>
      <w:r w:rsidR="00F31F9E" w:rsidRPr="00D452A9">
        <w:rPr>
          <w:rStyle w:val="CommentReference"/>
          <w:rFonts w:cstheme="majorHAnsi"/>
          <w:i w:val="0"/>
          <w:iCs w:val="0"/>
          <w:caps w:val="0"/>
        </w:rPr>
        <w:commentReference w:id="68"/>
      </w:r>
    </w:p>
    <w:p w14:paraId="68D7D3E7" w14:textId="64892559" w:rsidR="00FB0908" w:rsidRPr="00D452A9" w:rsidRDefault="005C3D85" w:rsidP="00FB0908">
      <w:pPr>
        <w:pStyle w:val="BodyText"/>
        <w:rPr>
          <w:rFonts w:eastAsiaTheme="minorEastAsia"/>
        </w:rPr>
      </w:pPr>
      <w:r w:rsidRPr="00D452A9">
        <w:t xml:space="preserve">M-Estimation is a method of estimation </w:t>
      </w:r>
      <w:r w:rsidR="00F00565" w:rsidRPr="00D452A9">
        <w:t xml:space="preserve">which finds parameter estimates through a root </w:t>
      </w:r>
      <w:r w:rsidR="00F00565" w:rsidRPr="00AF2B2A">
        <w:t>finding algorithms, and</w:t>
      </w:r>
      <w:r w:rsidR="001602F5" w:rsidRPr="00AF2B2A">
        <w:t xml:space="preserve"> uses the empirical sandwich variance estimator. </w:t>
      </w:r>
      <w:r w:rsidR="00A001FF" w:rsidRPr="00AF2B2A">
        <w:t xml:space="preserve">Software packages such as </w:t>
      </w:r>
      <w:proofErr w:type="spellStart"/>
      <w:r w:rsidR="00A001FF" w:rsidRPr="00AF2B2A">
        <w:rPr>
          <w:rStyle w:val="HTMLCode"/>
          <w:rFonts w:asciiTheme="majorHAnsi" w:hAnsiTheme="majorHAnsi" w:cstheme="majorHAnsi"/>
          <w:sz w:val="24"/>
          <w:szCs w:val="24"/>
        </w:rPr>
        <w:t>geex</w:t>
      </w:r>
      <w:proofErr w:type="spellEnd"/>
      <w:r w:rsidR="00A001FF" w:rsidRPr="00AF2B2A">
        <w:t xml:space="preserve"> </w:t>
      </w:r>
      <w:r w:rsidR="00A001FF" w:rsidRPr="00AF2B2A">
        <w:fldChar w:fldCharType="begin"/>
      </w:r>
      <w:r w:rsidR="00227BD0" w:rsidRPr="00AF2B2A">
        <w:instrText xml:space="preserve"> ADDIN ZOTERO_ITEM CSL_CITATION {"citationID":"IVVoJ64s","properties":{"formattedCitation":"(36)","plainCitation":"(36)","noteIndex":0},"citationItems":[{"id":2078,"uris":["http://zotero.org/users/4426001/items/H2RWQSC6"],"itemData":{"id":2078,"type":"article-journal","container-title":"Journal of statistical software","issue":"2","note":"publisher: NIH Public Access","title":"The Calculus of M-Estimation in R with geex","volume":"92","author":[{"family":"Saul","given":"Bradley C"},{"family":"Hudgens","given":"Michael G"}],"issued":{"date-parts":[["2020"]]},"citation-key":"saulCalculusMEstimationGeex2020"}}],"schema":"https://github.com/citation-style-language/schema/raw/master/csl-citation.json"} </w:instrText>
      </w:r>
      <w:r w:rsidR="00A001FF" w:rsidRPr="00AF2B2A">
        <w:fldChar w:fldCharType="separate"/>
      </w:r>
      <w:r w:rsidR="00227BD0" w:rsidRPr="00AF2B2A">
        <w:rPr>
          <w:noProof/>
        </w:rPr>
        <w:t>(36)</w:t>
      </w:r>
      <w:r w:rsidR="00A001FF" w:rsidRPr="00AF2B2A">
        <w:fldChar w:fldCharType="end"/>
      </w:r>
      <w:r w:rsidR="00A001FF" w:rsidRPr="00AF2B2A">
        <w:t xml:space="preserve"> and </w:t>
      </w:r>
      <w:r w:rsidR="00A001FF" w:rsidRPr="00AF2B2A">
        <w:rPr>
          <w:rStyle w:val="HTMLCode"/>
          <w:rFonts w:asciiTheme="majorHAnsi" w:hAnsiTheme="majorHAnsi" w:cstheme="majorHAnsi"/>
          <w:sz w:val="24"/>
          <w:szCs w:val="24"/>
        </w:rPr>
        <w:t>delicatessen</w:t>
      </w:r>
      <w:r w:rsidR="00A001FF" w:rsidRPr="00AF2B2A">
        <w:t xml:space="preserve"> </w:t>
      </w:r>
      <w:r w:rsidR="00A001FF" w:rsidRPr="00AF2B2A">
        <w:fldChar w:fldCharType="begin"/>
      </w:r>
      <w:r w:rsidR="00227BD0" w:rsidRPr="00AF2B2A">
        <w:instrText xml:space="preserve"> ADDIN ZOTERO_ITEM CSL_CITATION {"citationID":"Gierwij1","properties":{"formattedCitation":"(37)","plainCitation":"(37)","noteIndex":0},"citationItems":[{"id":2079,"uris":["http://zotero.org/users/4426001/items/Y94LKG29"],"itemData":{"id":2079,"type":"article-journal","container-title":"arXiv preprint arXiv:2203.11300","license":"All rights reserved","title":"Delicatessen: M-Estimation in Python","author":[{"family":"Zivich","given":"Paul N"},{"family":"Klose","given":"Mark"},{"family":"Cole","given":"Stephen R"},{"family":"Edwards","given":"Jessie K"},{"family":"Shook-Sa","given":"Bonnie E"}],"issued":{"date-parts":[["2022"]]},"citation-key":"zivichDelicatessenMEstimationPython2022"}}],"schema":"https://github.com/citation-style-language/schema/raw/master/csl-citation.json"} </w:instrText>
      </w:r>
      <w:r w:rsidR="00A001FF" w:rsidRPr="00AF2B2A">
        <w:fldChar w:fldCharType="separate"/>
      </w:r>
      <w:r w:rsidR="00227BD0" w:rsidRPr="00AF2B2A">
        <w:rPr>
          <w:noProof/>
        </w:rPr>
        <w:t>(37)</w:t>
      </w:r>
      <w:r w:rsidR="00A001FF" w:rsidRPr="00AF2B2A">
        <w:fldChar w:fldCharType="end"/>
      </w:r>
      <w:r w:rsidR="00A001FF" w:rsidRPr="00AF2B2A">
        <w:t xml:space="preserve"> provide user-friendly implementations of M-Estimation. </w:t>
      </w:r>
      <w:r w:rsidR="00F00565" w:rsidRPr="00AF2B2A">
        <w:t xml:space="preserve">M-Estimation guarantees favorable properties by design, such as guaranteeing asymptotic normal distribution and propagating uncertainty in earlier calculated values through the entire estimate by equation stacking. </w:t>
      </w:r>
      <w:r w:rsidR="00FB0908" w:rsidRPr="00AF2B2A">
        <w:t xml:space="preserve">Let </w:t>
      </w:r>
      <m:oMath>
        <m:sSub>
          <m:sSubPr>
            <m:ctrlPr>
              <w:rPr>
                <w:rFonts w:ascii="Cambria Math" w:hAnsi="Cambria Math"/>
                <w:i/>
              </w:rPr>
            </m:ctrlPr>
          </m:sSubPr>
          <m:e>
            <m:r>
              <w:rPr>
                <w:rFonts w:ascii="Cambria Math" w:hAnsi="Cambria Math"/>
              </w:rPr>
              <m:t>O</m:t>
            </m:r>
          </m:e>
          <m:sub>
            <m:r>
              <w:rPr>
                <w:rFonts w:ascii="Cambria Math" w:hAnsi="Cambria Math"/>
              </w:rPr>
              <m:t>i</m:t>
            </m:r>
          </m:sub>
        </m:sSub>
      </m:oMath>
      <w:r w:rsidR="00FB0908" w:rsidRPr="00AF2B2A">
        <w:rPr>
          <w:rFonts w:eastAsiaTheme="minorEastAsia"/>
        </w:rPr>
        <w:t xml:space="preserve"> represent</w:t>
      </w:r>
      <w:r w:rsidR="00FB0908" w:rsidRPr="00D452A9">
        <w:rPr>
          <w:rFonts w:eastAsiaTheme="minorEastAsia"/>
        </w:rPr>
        <w:t xml:space="preserve"> the observed values from individual </w:t>
      </w:r>
      <m:oMath>
        <m:r>
          <w:rPr>
            <w:rFonts w:ascii="Cambria Math" w:eastAsiaTheme="minorEastAsia" w:hAnsi="Cambria Math"/>
          </w:rPr>
          <m:t>i</m:t>
        </m:r>
      </m:oMath>
      <w:r w:rsidR="00FB0908" w:rsidRPr="00D452A9">
        <w:rPr>
          <w:rFonts w:eastAsiaTheme="minorEastAsia"/>
        </w:rPr>
        <w:t xml:space="preserve">, </w:t>
      </w:r>
      <m:oMath>
        <m:r>
          <m:rPr>
            <m:sty m:val="p"/>
          </m:rPr>
          <w:rPr>
            <w:rFonts w:ascii="Cambria Math" w:eastAsiaTheme="minorEastAsia" w:hAnsi="Cambria Math"/>
          </w:rPr>
          <m:t>Θ</m:t>
        </m:r>
        <w:commentRangeStart w:id="69"/>
        <w:commentRangeEnd w:id="69"/>
        <m:r>
          <m:rPr>
            <m:sty m:val="p"/>
          </m:rPr>
          <w:rPr>
            <w:rStyle w:val="CommentReference"/>
            <w:rFonts w:ascii="Cambria Math" w:hAnsi="Cambria Math"/>
          </w:rPr>
          <w:commentReference w:id="69"/>
        </m:r>
      </m:oMath>
      <w:r w:rsidR="00FB0908" w:rsidRPr="00D452A9">
        <w:rPr>
          <w:rFonts w:eastAsiaTheme="minorEastAsia"/>
        </w:rPr>
        <w:t xml:space="preserve"> represent the parameter vector,  </w:t>
      </w:r>
      <m:oMath>
        <m:acc>
          <m:accPr>
            <m:ctrlPr>
              <w:rPr>
                <w:rFonts w:ascii="Cambria Math" w:eastAsiaTheme="minorEastAsia" w:hAnsi="Cambria Math"/>
                <w:i/>
              </w:rPr>
            </m:ctrlPr>
          </m:accPr>
          <m:e>
            <m:r>
              <w:rPr>
                <w:rFonts w:ascii="Cambria Math" w:eastAsiaTheme="minorEastAsia" w:hAnsi="Cambria Math"/>
              </w:rPr>
              <m:t>θ</m:t>
            </m:r>
            <m:ctrlPr>
              <w:rPr>
                <w:rFonts w:ascii="Cambria Math" w:hAnsi="Cambria Math"/>
                <w:i/>
              </w:rPr>
            </m:ctrlPr>
          </m:e>
        </m:acc>
      </m:oMath>
      <w:r w:rsidR="00FB0908" w:rsidRPr="00D452A9">
        <w:rPr>
          <w:rFonts w:eastAsiaTheme="minorEastAsia"/>
        </w:rPr>
        <w:t xml:space="preserve"> represent the vector of our estimates, and </w:t>
      </w:r>
      <m:oMath>
        <m:r>
          <w:rPr>
            <w:rFonts w:ascii="Cambria Math" w:eastAsiaTheme="minorEastAsia" w:hAnsi="Cambria Math"/>
          </w:rPr>
          <m:t>ψ(</m:t>
        </m:r>
        <m:sSub>
          <m:sSubPr>
            <m:ctrlPr>
              <w:rPr>
                <w:rFonts w:ascii="Cambria Math" w:eastAsiaTheme="minorEastAsia" w:hAnsi="Cambria Math"/>
                <w:i/>
              </w:rPr>
            </m:ctrlPr>
          </m:sSubPr>
          <m:e>
            <m:r>
              <w:rPr>
                <w:rFonts w:ascii="Cambria Math" w:eastAsiaTheme="minorEastAsia" w:hAnsi="Cambria Math"/>
              </w:rPr>
              <m:t>O</m:t>
            </m:r>
          </m:e>
          <m:sub>
            <m:r>
              <w:rPr>
                <w:rFonts w:ascii="Cambria Math" w:eastAsiaTheme="minorEastAsia" w:hAnsi="Cambria Math"/>
              </w:rPr>
              <m:t>i</m:t>
            </m:r>
          </m:sub>
        </m:sSub>
        <m:r>
          <w:rPr>
            <w:rFonts w:ascii="Cambria Math" w:eastAsiaTheme="minorEastAsia" w:hAnsi="Cambria Math"/>
          </w:rPr>
          <m:t>;</m:t>
        </m:r>
        <m:acc>
          <m:accPr>
            <m:ctrlPr>
              <w:rPr>
                <w:rFonts w:ascii="Cambria Math" w:eastAsiaTheme="minorEastAsia" w:hAnsi="Cambria Math"/>
                <w:i/>
              </w:rPr>
            </m:ctrlPr>
          </m:accPr>
          <m:e>
            <m:r>
              <w:rPr>
                <w:rFonts w:ascii="Cambria Math" w:eastAsiaTheme="minorEastAsia" w:hAnsi="Cambria Math"/>
              </w:rPr>
              <m:t>θ</m:t>
            </m:r>
          </m:e>
        </m:acc>
        <m:r>
          <w:rPr>
            <w:rFonts w:ascii="Cambria Math" w:eastAsiaTheme="minorEastAsia" w:hAnsi="Cambria Math"/>
          </w:rPr>
          <m:t>)</m:t>
        </m:r>
      </m:oMath>
      <w:r w:rsidR="00FB0908" w:rsidRPr="00D452A9">
        <w:rPr>
          <w:rFonts w:eastAsiaTheme="minorEastAsia"/>
        </w:rPr>
        <w:t xml:space="preserve"> represent an estimating function. </w:t>
      </w:r>
    </w:p>
    <w:p w14:paraId="0A02F1D1" w14:textId="77777777" w:rsidR="00FB0908" w:rsidRPr="00D452A9" w:rsidRDefault="00F00565" w:rsidP="00CC1065">
      <w:pPr>
        <w:pStyle w:val="BodyText"/>
      </w:pPr>
      <w:r w:rsidRPr="00D452A9">
        <w:t>The sandwich variance estimator is</w:t>
      </w:r>
    </w:p>
    <w:p w14:paraId="2D934E60" w14:textId="2E03A822" w:rsidR="00F00565" w:rsidRPr="00D452A9" w:rsidRDefault="00F00565" w:rsidP="00CC1065">
      <w:pPr>
        <w:pStyle w:val="BodyText"/>
        <w:rPr>
          <w:rFonts w:eastAsiaTheme="minorEastAsia"/>
        </w:rPr>
      </w:pPr>
      <m:oMathPara>
        <m:oMath>
          <m:r>
            <w:rPr>
              <w:rFonts w:ascii="Cambria Math" w:hAnsi="Cambria Math"/>
            </w:rPr>
            <m:t>V</m:t>
          </m:r>
          <m:d>
            <m:dPr>
              <m:ctrlPr>
                <w:rPr>
                  <w:rFonts w:ascii="Cambria Math" w:hAnsi="Cambria Math"/>
                  <w:i/>
                </w:rPr>
              </m:ctrlPr>
            </m:dPr>
            <m:e>
              <m:acc>
                <m:accPr>
                  <m:ctrlPr>
                    <w:rPr>
                      <w:rFonts w:ascii="Cambria Math" w:hAnsi="Cambria Math"/>
                      <w:i/>
                    </w:rPr>
                  </m:ctrlPr>
                </m:accPr>
                <m:e>
                  <m:r>
                    <w:rPr>
                      <w:rFonts w:ascii="Cambria Math" w:hAnsi="Cambria Math"/>
                    </w:rPr>
                    <m:t>θ</m:t>
                  </m:r>
                </m:e>
              </m:acc>
            </m:e>
          </m:d>
          <m:r>
            <w:rPr>
              <w:rFonts w:ascii="Cambria Math" w:hAnsi="Cambria Math"/>
            </w:rPr>
            <m:t>=B</m:t>
          </m:r>
          <m:sSup>
            <m:sSupPr>
              <m:ctrlPr>
                <w:rPr>
                  <w:rFonts w:ascii="Cambria Math" w:hAnsi="Cambria Math"/>
                  <w:i/>
                </w:rPr>
              </m:ctrlPr>
            </m:sSupPr>
            <m:e>
              <m:d>
                <m:dPr>
                  <m:ctrlPr>
                    <w:rPr>
                      <w:rFonts w:ascii="Cambria Math" w:hAnsi="Cambria Math"/>
                      <w:i/>
                    </w:rPr>
                  </m:ctrlPr>
                </m:dPr>
                <m:e>
                  <m:acc>
                    <m:accPr>
                      <m:ctrlPr>
                        <w:rPr>
                          <w:rFonts w:ascii="Cambria Math" w:hAnsi="Cambria Math"/>
                          <w:i/>
                        </w:rPr>
                      </m:ctrlPr>
                    </m:accPr>
                    <m:e>
                      <m:r>
                        <w:rPr>
                          <w:rFonts w:ascii="Cambria Math" w:hAnsi="Cambria Math"/>
                        </w:rPr>
                        <m:t>θ</m:t>
                      </m:r>
                    </m:e>
                  </m:acc>
                </m:e>
              </m:d>
            </m:e>
            <m:sup>
              <m:r>
                <w:rPr>
                  <w:rFonts w:ascii="Cambria Math" w:hAnsi="Cambria Math"/>
                </w:rPr>
                <m:t>-1</m:t>
              </m:r>
            </m:sup>
          </m:sSup>
          <m:r>
            <w:rPr>
              <w:rFonts w:ascii="Cambria Math" w:hAnsi="Cambria Math"/>
            </w:rPr>
            <m:t>F</m:t>
          </m:r>
          <m:d>
            <m:dPr>
              <m:ctrlPr>
                <w:rPr>
                  <w:rFonts w:ascii="Cambria Math" w:hAnsi="Cambria Math"/>
                  <w:i/>
                </w:rPr>
              </m:ctrlPr>
            </m:dPr>
            <m:e>
              <m:acc>
                <m:accPr>
                  <m:ctrlPr>
                    <w:rPr>
                      <w:rFonts w:ascii="Cambria Math" w:hAnsi="Cambria Math"/>
                      <w:i/>
                    </w:rPr>
                  </m:ctrlPr>
                </m:accPr>
                <m:e>
                  <m:r>
                    <w:rPr>
                      <w:rFonts w:ascii="Cambria Math" w:hAnsi="Cambria Math"/>
                    </w:rPr>
                    <m:t>θ</m:t>
                  </m:r>
                </m:e>
              </m:acc>
            </m:e>
          </m:d>
          <m:r>
            <w:rPr>
              <w:rFonts w:ascii="Cambria Math" w:hAnsi="Cambria Math"/>
            </w:rPr>
            <m:t>B</m:t>
          </m:r>
          <m:sSup>
            <m:sSupPr>
              <m:ctrlPr>
                <w:rPr>
                  <w:rFonts w:ascii="Cambria Math" w:hAnsi="Cambria Math"/>
                  <w:i/>
                </w:rPr>
              </m:ctrlPr>
            </m:sSupPr>
            <m:e>
              <m:d>
                <m:dPr>
                  <m:ctrlPr>
                    <w:rPr>
                      <w:rFonts w:ascii="Cambria Math" w:hAnsi="Cambria Math"/>
                      <w:i/>
                    </w:rPr>
                  </m:ctrlPr>
                </m:dPr>
                <m:e>
                  <m:acc>
                    <m:accPr>
                      <m:ctrlPr>
                        <w:rPr>
                          <w:rFonts w:ascii="Cambria Math" w:hAnsi="Cambria Math"/>
                          <w:i/>
                        </w:rPr>
                      </m:ctrlPr>
                    </m:accPr>
                    <m:e>
                      <m:r>
                        <w:rPr>
                          <w:rFonts w:ascii="Cambria Math" w:hAnsi="Cambria Math"/>
                        </w:rPr>
                        <m:t>θ</m:t>
                      </m:r>
                    </m:e>
                  </m:acc>
                </m:e>
              </m:d>
            </m:e>
            <m:sup>
              <m:r>
                <w:rPr>
                  <w:rFonts w:ascii="Cambria Math" w:hAnsi="Cambria Math"/>
                </w:rPr>
                <m:t>-1⋅T</m:t>
              </m:r>
            </m:sup>
          </m:sSup>
        </m:oMath>
      </m:oMathPara>
    </w:p>
    <w:p w14:paraId="43557F0A" w14:textId="005A2E7E" w:rsidR="00FB0908" w:rsidRPr="00D452A9" w:rsidRDefault="00FB0908" w:rsidP="00FB0908">
      <w:pPr>
        <w:pStyle w:val="BodyText"/>
        <w:ind w:firstLine="0"/>
        <w:rPr>
          <w:rFonts w:eastAsiaTheme="minorEastAsia"/>
        </w:rPr>
      </w:pPr>
      <w:r w:rsidRPr="00D452A9">
        <w:rPr>
          <w:rFonts w:eastAsiaTheme="minorEastAsia"/>
        </w:rPr>
        <w:t xml:space="preserve">where the bread matrix is </w:t>
      </w:r>
      <m:oMath>
        <m:r>
          <w:rPr>
            <w:rFonts w:ascii="Cambria Math" w:eastAsiaTheme="minorEastAsia" w:hAnsi="Cambria Math"/>
          </w:rPr>
          <m:t>B</m:t>
        </m:r>
        <m:d>
          <m:dPr>
            <m:ctrlPr>
              <w:rPr>
                <w:rFonts w:ascii="Cambria Math" w:eastAsiaTheme="minorEastAsia" w:hAnsi="Cambria Math"/>
                <w:i/>
              </w:rPr>
            </m:ctrlPr>
          </m:dPr>
          <m:e>
            <m:acc>
              <m:accPr>
                <m:ctrlPr>
                  <w:rPr>
                    <w:rFonts w:ascii="Cambria Math" w:eastAsiaTheme="minorEastAsia" w:hAnsi="Cambria Math"/>
                    <w:i/>
                  </w:rPr>
                </m:ctrlPr>
              </m:accPr>
              <m:e>
                <m:r>
                  <w:rPr>
                    <w:rFonts w:ascii="Cambria Math" w:eastAsiaTheme="minorEastAsia" w:hAnsi="Cambria Math"/>
                  </w:rPr>
                  <m:t>θ</m:t>
                </m:r>
              </m:e>
            </m:acc>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1</m:t>
            </m:r>
            <m:ctrlPr>
              <w:rPr>
                <w:rFonts w:ascii="Cambria Math" w:hAnsi="Cambria Math"/>
                <w:i/>
              </w:rPr>
            </m:ctrlPr>
          </m:num>
          <m:den>
            <m:r>
              <w:rPr>
                <w:rFonts w:ascii="Cambria Math" w:hAnsi="Cambria Math"/>
              </w:rPr>
              <m:t>n</m:t>
            </m:r>
          </m:den>
        </m:f>
        <m:nary>
          <m:naryPr>
            <m:chr m:val="∑"/>
            <m:ctrlPr>
              <w:rPr>
                <w:rFonts w:ascii="Cambria Math" w:eastAsiaTheme="minorEastAsia" w:hAnsi="Cambria Math"/>
                <w:i/>
              </w:rPr>
            </m:ctrlPr>
          </m:naryPr>
          <m:sub>
            <m:r>
              <w:rPr>
                <w:rFonts w:ascii="Cambria Math" w:eastAsiaTheme="minorEastAsia" w:hAnsi="Cambria Math"/>
              </w:rPr>
              <m:t>i=1</m:t>
            </m:r>
          </m:sub>
          <m:sup>
            <m:r>
              <w:rPr>
                <w:rFonts w:ascii="Cambria Math" w:eastAsiaTheme="minorEastAsia" w:hAnsi="Cambria Math"/>
              </w:rPr>
              <m:t>n</m:t>
            </m:r>
          </m:sup>
          <m:e>
            <m:r>
              <w:rPr>
                <w:rFonts w:ascii="Cambria Math" w:eastAsiaTheme="minorEastAsia" w:hAnsi="Cambria Math"/>
              </w:rPr>
              <m:t>[-ψ'(</m:t>
            </m:r>
            <m:sSub>
              <m:sSubPr>
                <m:ctrlPr>
                  <w:rPr>
                    <w:rFonts w:ascii="Cambria Math" w:eastAsiaTheme="minorEastAsia" w:hAnsi="Cambria Math"/>
                    <w:i/>
                  </w:rPr>
                </m:ctrlPr>
              </m:sSubPr>
              <m:e>
                <m:r>
                  <w:rPr>
                    <w:rFonts w:ascii="Cambria Math" w:eastAsiaTheme="minorEastAsia" w:hAnsi="Cambria Math"/>
                  </w:rPr>
                  <m:t>O</m:t>
                </m:r>
              </m:e>
              <m:sub>
                <m:r>
                  <w:rPr>
                    <w:rFonts w:ascii="Cambria Math" w:eastAsiaTheme="minorEastAsia" w:hAnsi="Cambria Math"/>
                  </w:rPr>
                  <m:t>i</m:t>
                </m:r>
              </m:sub>
            </m:sSub>
            <m:r>
              <w:rPr>
                <w:rFonts w:ascii="Cambria Math" w:eastAsiaTheme="minorEastAsia" w:hAnsi="Cambria Math"/>
              </w:rPr>
              <m:t>;</m:t>
            </m:r>
            <m:acc>
              <m:accPr>
                <m:ctrlPr>
                  <w:rPr>
                    <w:rFonts w:ascii="Cambria Math" w:eastAsiaTheme="minorEastAsia" w:hAnsi="Cambria Math"/>
                    <w:i/>
                  </w:rPr>
                </m:ctrlPr>
              </m:accPr>
              <m:e>
                <m:r>
                  <w:rPr>
                    <w:rFonts w:ascii="Cambria Math" w:eastAsiaTheme="minorEastAsia" w:hAnsi="Cambria Math"/>
                  </w:rPr>
                  <m:t>θ</m:t>
                </m:r>
              </m:e>
            </m:acc>
            <m:r>
              <w:rPr>
                <w:rFonts w:ascii="Cambria Math" w:eastAsiaTheme="minorEastAsia" w:hAnsi="Cambria Math"/>
              </w:rPr>
              <m:t>)]</m:t>
            </m:r>
          </m:e>
        </m:nary>
      </m:oMath>
      <w:r w:rsidRPr="00D452A9">
        <w:rPr>
          <w:rFonts w:eastAsiaTheme="minorEastAsia"/>
        </w:rPr>
        <w:t xml:space="preserve"> and the filling matrix is </w:t>
      </w:r>
      <m:oMath>
        <m:r>
          <w:rPr>
            <w:rFonts w:ascii="Cambria Math" w:eastAsiaTheme="minorEastAsia" w:hAnsi="Cambria Math"/>
          </w:rPr>
          <m:t>F</m:t>
        </m:r>
        <m:d>
          <m:dPr>
            <m:ctrlPr>
              <w:rPr>
                <w:rFonts w:ascii="Cambria Math" w:eastAsiaTheme="minorEastAsia" w:hAnsi="Cambria Math"/>
                <w:i/>
              </w:rPr>
            </m:ctrlPr>
          </m:dPr>
          <m:e>
            <m:acc>
              <m:accPr>
                <m:ctrlPr>
                  <w:rPr>
                    <w:rFonts w:ascii="Cambria Math" w:eastAsiaTheme="minorEastAsia" w:hAnsi="Cambria Math"/>
                    <w:i/>
                  </w:rPr>
                </m:ctrlPr>
              </m:accPr>
              <m:e>
                <m:r>
                  <w:rPr>
                    <w:rFonts w:ascii="Cambria Math" w:eastAsiaTheme="minorEastAsia" w:hAnsi="Cambria Math"/>
                  </w:rPr>
                  <m:t>θ</m:t>
                </m:r>
              </m:e>
            </m:acc>
          </m:e>
        </m:d>
        <m:r>
          <w:rPr>
            <w:rFonts w:ascii="Cambria Math" w:eastAsiaTheme="minorEastAsia" w:hAnsi="Cambria Math"/>
          </w:rPr>
          <m:t>=</m:t>
        </m:r>
        <m:nary>
          <m:naryPr>
            <m:chr m:val="∑"/>
            <m:ctrlPr>
              <w:rPr>
                <w:rFonts w:ascii="Cambria Math" w:eastAsiaTheme="minorEastAsia" w:hAnsi="Cambria Math"/>
                <w:i/>
              </w:rPr>
            </m:ctrlPr>
          </m:naryPr>
          <m:sub>
            <m:r>
              <w:rPr>
                <w:rFonts w:ascii="Cambria Math" w:eastAsiaTheme="minorEastAsia" w:hAnsi="Cambria Math"/>
              </w:rPr>
              <m:t>i=1</m:t>
            </m:r>
          </m:sub>
          <m:sup>
            <m:r>
              <w:rPr>
                <w:rFonts w:ascii="Cambria Math" w:eastAsiaTheme="minorEastAsia" w:hAnsi="Cambria Math"/>
              </w:rPr>
              <m:t>n</m:t>
            </m:r>
          </m:sup>
          <m:e>
            <m:r>
              <w:rPr>
                <w:rFonts w:ascii="Cambria Math" w:eastAsiaTheme="minorEastAsia" w:hAnsi="Cambria Math"/>
              </w:rPr>
              <m:t>ψ</m:t>
            </m:r>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O</m:t>
                    </m:r>
                  </m:e>
                  <m:sub>
                    <m:r>
                      <w:rPr>
                        <w:rFonts w:ascii="Cambria Math" w:eastAsiaTheme="minorEastAsia" w:hAnsi="Cambria Math"/>
                      </w:rPr>
                      <m:t>i</m:t>
                    </m:r>
                  </m:sub>
                </m:sSub>
                <m:r>
                  <w:rPr>
                    <w:rFonts w:ascii="Cambria Math" w:eastAsiaTheme="minorEastAsia" w:hAnsi="Cambria Math"/>
                  </w:rPr>
                  <m:t>;</m:t>
                </m:r>
                <m:acc>
                  <m:accPr>
                    <m:ctrlPr>
                      <w:rPr>
                        <w:rFonts w:ascii="Cambria Math" w:eastAsiaTheme="minorEastAsia" w:hAnsi="Cambria Math"/>
                        <w:i/>
                      </w:rPr>
                    </m:ctrlPr>
                  </m:accPr>
                  <m:e>
                    <m:r>
                      <w:rPr>
                        <w:rFonts w:ascii="Cambria Math" w:eastAsiaTheme="minorEastAsia" w:hAnsi="Cambria Math"/>
                      </w:rPr>
                      <m:t>θ</m:t>
                    </m:r>
                  </m:e>
                </m:acc>
              </m:e>
            </m:d>
            <m:r>
              <w:rPr>
                <w:rFonts w:ascii="Cambria Math" w:eastAsiaTheme="minorEastAsia" w:hAnsi="Cambria Math"/>
              </w:rPr>
              <m:t>ψ</m:t>
            </m:r>
            <m:sSup>
              <m:sSupPr>
                <m:ctrlPr>
                  <w:rPr>
                    <w:rFonts w:ascii="Cambria Math" w:eastAsiaTheme="minorEastAsia" w:hAnsi="Cambria Math"/>
                    <w:i/>
                  </w:rPr>
                </m:ctrlPr>
              </m:sSupPr>
              <m:e>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O</m:t>
                        </m:r>
                      </m:e>
                      <m:sub>
                        <m:r>
                          <w:rPr>
                            <w:rFonts w:ascii="Cambria Math" w:eastAsiaTheme="minorEastAsia" w:hAnsi="Cambria Math"/>
                          </w:rPr>
                          <m:t>i</m:t>
                        </m:r>
                      </m:sub>
                    </m:sSub>
                    <m:r>
                      <w:rPr>
                        <w:rFonts w:ascii="Cambria Math" w:eastAsiaTheme="minorEastAsia" w:hAnsi="Cambria Math"/>
                      </w:rPr>
                      <m:t>;</m:t>
                    </m:r>
                    <m:acc>
                      <m:accPr>
                        <m:ctrlPr>
                          <w:rPr>
                            <w:rFonts w:ascii="Cambria Math" w:eastAsiaTheme="minorEastAsia" w:hAnsi="Cambria Math"/>
                            <w:i/>
                          </w:rPr>
                        </m:ctrlPr>
                      </m:accPr>
                      <m:e>
                        <m:r>
                          <w:rPr>
                            <w:rFonts w:ascii="Cambria Math" w:eastAsiaTheme="minorEastAsia" w:hAnsi="Cambria Math"/>
                          </w:rPr>
                          <m:t>θ</m:t>
                        </m:r>
                      </m:e>
                    </m:acc>
                  </m:e>
                </m:d>
              </m:e>
              <m:sup>
                <m:r>
                  <w:rPr>
                    <w:rFonts w:ascii="Cambria Math" w:eastAsiaTheme="minorEastAsia" w:hAnsi="Cambria Math"/>
                  </w:rPr>
                  <m:t>T</m:t>
                </m:r>
              </m:sup>
            </m:sSup>
          </m:e>
        </m:nary>
      </m:oMath>
      <w:r w:rsidRPr="00D452A9">
        <w:rPr>
          <w:rFonts w:eastAsiaTheme="minorEastAsia"/>
        </w:rPr>
        <w:t xml:space="preserve">. The bread matrix exactly equals the inverse of the observed information matrix, and the filling matrix equals the residuals of the score function. </w:t>
      </w:r>
    </w:p>
    <w:p w14:paraId="24C2BCBF" w14:textId="4E98090A" w:rsidR="00E86AEE" w:rsidRPr="00D452A9" w:rsidRDefault="00E86AEE" w:rsidP="00A001FF">
      <w:pPr>
        <w:pStyle w:val="BodyText"/>
        <w:ind w:firstLine="0"/>
        <w:rPr>
          <w:rFonts w:eastAsiaTheme="minorEastAsia"/>
        </w:rPr>
      </w:pPr>
      <w:r w:rsidRPr="00D452A9">
        <w:rPr>
          <w:rFonts w:eastAsiaTheme="minorEastAsia"/>
        </w:rPr>
        <w:lastRenderedPageBreak/>
        <w:tab/>
        <w:t xml:space="preserve">The parameter vector </w:t>
      </w:r>
      <m:oMath>
        <m:r>
          <m:rPr>
            <m:sty m:val="p"/>
          </m:rPr>
          <w:rPr>
            <w:rFonts w:ascii="Cambria Math" w:eastAsiaTheme="minorEastAsia" w:hAnsi="Cambria Math"/>
          </w:rPr>
          <m:t>Θ</m:t>
        </m:r>
      </m:oMath>
      <w:r w:rsidRPr="00D452A9">
        <w:rPr>
          <w:rFonts w:eastAsiaTheme="minorEastAsia"/>
        </w:rPr>
        <w:t xml:space="preserve"> c</w:t>
      </w:r>
      <w:r w:rsidR="00A40C78" w:rsidRPr="00D452A9">
        <w:rPr>
          <w:rFonts w:eastAsiaTheme="minorEastAsia"/>
        </w:rPr>
        <w:t>onsists of</w:t>
      </w:r>
      <w:r w:rsidRPr="00D452A9">
        <w:rPr>
          <w:rFonts w:eastAsiaTheme="minorEastAsia"/>
        </w:rPr>
        <w:t xml:space="preserve">: </w:t>
      </w:r>
      <m:oMath>
        <m:r>
          <w:rPr>
            <w:rFonts w:ascii="Cambria Math" w:eastAsiaTheme="minorEastAsia" w:hAnsi="Cambria Math"/>
          </w:rPr>
          <m:t>α</m:t>
        </m:r>
      </m:oMath>
      <w:r w:rsidRPr="00D452A9">
        <w:rPr>
          <w:rFonts w:eastAsiaTheme="minorEastAsia"/>
        </w:rPr>
        <w:t xml:space="preserve">, the logistic regression coefficients for the inverse probability of treatment weights; </w:t>
      </w:r>
      <m:oMath>
        <m:r>
          <w:rPr>
            <w:rFonts w:ascii="Cambria Math" w:eastAsiaTheme="minorEastAsia" w:hAnsi="Cambria Math"/>
          </w:rPr>
          <m:t>β</m:t>
        </m:r>
      </m:oMath>
      <w:r w:rsidRPr="00D452A9">
        <w:rPr>
          <w:rFonts w:eastAsiaTheme="minorEastAsia"/>
        </w:rPr>
        <w:t xml:space="preserve">, the logistic regression coefficients for the inverse odds of sampling weights without treatment; </w:t>
      </w:r>
      <m:oMath>
        <m:r>
          <w:rPr>
            <w:rFonts w:ascii="Cambria Math" w:eastAsiaTheme="minorEastAsia" w:hAnsi="Cambria Math"/>
          </w:rPr>
          <m:t>γ</m:t>
        </m:r>
      </m:oMath>
      <w:r w:rsidRPr="00D452A9">
        <w:rPr>
          <w:rFonts w:eastAsiaTheme="minorEastAsia"/>
        </w:rPr>
        <w:t xml:space="preserve">, the logistic regression coefficients for inverse odds of sampling weights with treatment; and </w:t>
      </w:r>
      <w:commentRangeStart w:id="70"/>
      <m:oMath>
        <m:r>
          <w:rPr>
            <w:rFonts w:ascii="Cambria Math" w:eastAsiaTheme="minorEastAsia" w:hAnsi="Cambria Math"/>
          </w:rPr>
          <m:t>δ</m:t>
        </m:r>
        <w:commentRangeEnd w:id="70"/>
        <m:r>
          <m:rPr>
            <m:sty m:val="p"/>
          </m:rPr>
          <w:rPr>
            <w:rStyle w:val="CommentReference"/>
            <w:rFonts w:ascii="Cambria Math" w:hAnsi="Cambria Math"/>
          </w:rPr>
          <w:commentReference w:id="70"/>
        </m:r>
      </m:oMath>
      <w:r w:rsidRPr="00D452A9">
        <w:rPr>
          <w:rFonts w:eastAsiaTheme="minorEastAsia"/>
        </w:rPr>
        <w:t>, the parameters for the expected risk under no exposure</w:t>
      </w:r>
      <w:r w:rsidR="00FE6382" w:rsidRPr="00D452A9">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δ</m:t>
            </m:r>
          </m:e>
          <m:sub>
            <m:r>
              <w:rPr>
                <w:rFonts w:ascii="Cambria Math" w:eastAsiaTheme="minorEastAsia" w:hAnsi="Cambria Math"/>
              </w:rPr>
              <m:t>1</m:t>
            </m:r>
          </m:sub>
        </m:sSub>
      </m:oMath>
      <w:r w:rsidR="00FE6382" w:rsidRPr="00D452A9">
        <w:rPr>
          <w:rFonts w:eastAsiaTheme="minorEastAsia"/>
        </w:rPr>
        <w:t>)</w:t>
      </w:r>
      <w:r w:rsidRPr="00D452A9">
        <w:rPr>
          <w:rFonts w:eastAsiaTheme="minorEastAsia"/>
        </w:rPr>
        <w:t>, the expected risk under natural course</w:t>
      </w:r>
      <w:r w:rsidR="00FE6382" w:rsidRPr="00D452A9">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δ</m:t>
            </m:r>
          </m:e>
          <m:sub>
            <m:r>
              <w:rPr>
                <w:rFonts w:ascii="Cambria Math" w:eastAsiaTheme="minorEastAsia" w:hAnsi="Cambria Math"/>
              </w:rPr>
              <m:t>2</m:t>
            </m:r>
          </m:sub>
        </m:sSub>
      </m:oMath>
      <w:r w:rsidR="00FE6382" w:rsidRPr="00D452A9">
        <w:rPr>
          <w:rFonts w:eastAsiaTheme="minorEastAsia"/>
        </w:rPr>
        <w:t xml:space="preserve">), </w:t>
      </w:r>
      <w:r w:rsidRPr="00D452A9">
        <w:rPr>
          <w:rFonts w:eastAsiaTheme="minorEastAsia"/>
        </w:rPr>
        <w:t xml:space="preserve"> and the population attributable fraction</w:t>
      </w:r>
      <w:r w:rsidR="00FE6382" w:rsidRPr="00D452A9">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δ</m:t>
            </m:r>
          </m:e>
          <m:sub>
            <m:r>
              <w:rPr>
                <w:rFonts w:ascii="Cambria Math" w:eastAsiaTheme="minorEastAsia" w:hAnsi="Cambria Math"/>
              </w:rPr>
              <m:t>3</m:t>
            </m:r>
          </m:sub>
        </m:sSub>
      </m:oMath>
      <w:r w:rsidR="00FE6382" w:rsidRPr="00D452A9">
        <w:rPr>
          <w:rFonts w:eastAsiaTheme="minorEastAsia"/>
        </w:rPr>
        <w:t>)</w:t>
      </w:r>
      <w:r w:rsidRPr="00D452A9">
        <w:rPr>
          <w:rFonts w:eastAsiaTheme="minorEastAsia"/>
        </w:rPr>
        <w:t xml:space="preserve">. Shorthand, this is written as </w:t>
      </w:r>
      <m:oMath>
        <m:r>
          <m:rPr>
            <m:sty m:val="p"/>
          </m:rPr>
          <w:rPr>
            <w:rFonts w:ascii="Cambria Math" w:eastAsiaTheme="minorEastAsia" w:hAnsi="Cambria Math"/>
          </w:rPr>
          <m:t>Θ</m:t>
        </m:r>
        <m:r>
          <w:rPr>
            <w:rFonts w:ascii="Cambria Math" w:eastAsiaTheme="minorEastAsia" w:hAnsi="Cambria Math"/>
          </w:rPr>
          <m:t>=(α, β, γ, δ)</m:t>
        </m:r>
      </m:oMath>
      <w:r w:rsidRPr="00D452A9">
        <w:rPr>
          <w:rFonts w:eastAsiaTheme="minorEastAsia"/>
        </w:rPr>
        <w:t xml:space="preserve">. </w:t>
      </w:r>
      <w:r w:rsidR="00A40C78" w:rsidRPr="00D452A9">
        <w:rPr>
          <w:rFonts w:eastAsiaTheme="minorEastAsia"/>
        </w:rPr>
        <w:t>The stacked estimating functions are</w:t>
      </w:r>
    </w:p>
    <w:p w14:paraId="7FC777EF" w14:textId="50D2F7C0" w:rsidR="00E86AEE" w:rsidRPr="00D452A9" w:rsidRDefault="00E86AEE" w:rsidP="00A001FF">
      <w:pPr>
        <w:pStyle w:val="BodyText"/>
        <w:ind w:firstLine="0"/>
        <w:rPr>
          <w:rFonts w:eastAsiaTheme="minorEastAsia"/>
        </w:rPr>
      </w:pPr>
      <m:oMathPara>
        <m:oMath>
          <m:r>
            <w:rPr>
              <w:rFonts w:ascii="Cambria Math" w:eastAsiaTheme="minorEastAsia" w:hAnsi="Cambria Math"/>
            </w:rPr>
            <m:t xml:space="preserve"> ψ =</m:t>
          </m:r>
          <m:d>
            <m:dPr>
              <m:ctrlPr>
                <w:rPr>
                  <w:rFonts w:ascii="Cambria Math" w:eastAsiaTheme="minorEastAsia" w:hAnsi="Cambria Math"/>
                  <w:i/>
                </w:rPr>
              </m:ctrlPr>
            </m:dPr>
            <m:e>
              <m:eqArr>
                <m:eqArrPr>
                  <m:ctrlPr>
                    <w:rPr>
                      <w:rFonts w:ascii="Cambria Math" w:eastAsiaTheme="minorEastAsia" w:hAnsi="Cambria Math"/>
                      <w:i/>
                    </w:rPr>
                  </m:ctrlPr>
                </m:eqArrPr>
                <m:e>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A-expit</m:t>
                      </m:r>
                      <m:d>
                        <m:dPr>
                          <m:ctrlPr>
                            <w:rPr>
                              <w:rFonts w:ascii="Cambria Math" w:eastAsiaTheme="minorEastAsia" w:hAnsi="Cambria Math"/>
                              <w:i/>
                            </w:rPr>
                          </m:ctrlPr>
                        </m:dPr>
                        <m:e>
                          <m:r>
                            <w:rPr>
                              <w:rFonts w:ascii="Cambria Math" w:eastAsiaTheme="minorEastAsia" w:hAnsi="Cambria Math"/>
                            </w:rPr>
                            <m:t>X α</m:t>
                          </m:r>
                        </m:e>
                      </m:d>
                    </m:e>
                  </m:d>
                </m:e>
                <m:e>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S-expit</m:t>
                      </m:r>
                      <m:d>
                        <m:dPr>
                          <m:ctrlPr>
                            <w:rPr>
                              <w:rFonts w:ascii="Cambria Math" w:eastAsiaTheme="minorEastAsia" w:hAnsi="Cambria Math"/>
                              <w:i/>
                            </w:rPr>
                          </m:ctrlPr>
                        </m:dPr>
                        <m:e>
                          <m:r>
                            <w:rPr>
                              <w:rFonts w:ascii="Cambria Math" w:eastAsiaTheme="minorEastAsia" w:hAnsi="Cambria Math"/>
                            </w:rPr>
                            <m:t>X β</m:t>
                          </m:r>
                        </m:e>
                      </m:d>
                    </m:e>
                  </m:d>
                  <m:ctrlPr>
                    <w:rPr>
                      <w:rFonts w:ascii="Cambria Math" w:eastAsia="Cambria Math" w:hAnsi="Cambria Math"/>
                      <w:i/>
                    </w:rPr>
                  </m:ctrlPr>
                </m:e>
                <m:e>
                  <m:sSubSup>
                    <m:sSubSupPr>
                      <m:ctrlPr>
                        <w:rPr>
                          <w:rFonts w:ascii="Cambria Math" w:eastAsia="Cambria Math" w:hAnsi="Cambria Math"/>
                          <w:i/>
                        </w:rPr>
                      </m:ctrlPr>
                    </m:sSubSupPr>
                    <m:e>
                      <m:r>
                        <w:rPr>
                          <w:rFonts w:ascii="Cambria Math" w:eastAsia="Cambria Math" w:hAnsi="Cambria Math"/>
                        </w:rPr>
                        <m:t>X</m:t>
                      </m:r>
                    </m:e>
                    <m:sub>
                      <m:r>
                        <w:rPr>
                          <w:rFonts w:ascii="Cambria Math" w:eastAsia="Cambria Math" w:hAnsi="Cambria Math"/>
                        </w:rPr>
                        <m:t>A</m:t>
                      </m:r>
                    </m:sub>
                    <m:sup>
                      <m:r>
                        <w:rPr>
                          <w:rFonts w:ascii="Cambria Math" w:eastAsia="Cambria Math" w:hAnsi="Cambria Math"/>
                        </w:rPr>
                        <m:t>'</m:t>
                      </m:r>
                    </m:sup>
                  </m:sSubSup>
                  <m:d>
                    <m:dPr>
                      <m:ctrlPr>
                        <w:rPr>
                          <w:rFonts w:ascii="Cambria Math" w:eastAsia="Cambria Math" w:hAnsi="Cambria Math"/>
                          <w:i/>
                        </w:rPr>
                      </m:ctrlPr>
                    </m:dPr>
                    <m:e>
                      <m:r>
                        <w:rPr>
                          <w:rFonts w:ascii="Cambria Math" w:eastAsia="Cambria Math" w:hAnsi="Cambria Math"/>
                        </w:rPr>
                        <m:t>S-expit</m:t>
                      </m:r>
                      <m:d>
                        <m:dPr>
                          <m:ctrlPr>
                            <w:rPr>
                              <w:rFonts w:ascii="Cambria Math" w:eastAsia="Cambria Math" w:hAnsi="Cambria Math"/>
                              <w:i/>
                            </w:rPr>
                          </m:ctrlPr>
                        </m:dPr>
                        <m:e>
                          <m:sSub>
                            <m:sSubPr>
                              <m:ctrlPr>
                                <w:rPr>
                                  <w:rFonts w:ascii="Cambria Math" w:eastAsia="Cambria Math" w:hAnsi="Cambria Math"/>
                                  <w:i/>
                                </w:rPr>
                              </m:ctrlPr>
                            </m:sSubPr>
                            <m:e>
                              <m:r>
                                <w:rPr>
                                  <w:rFonts w:ascii="Cambria Math" w:eastAsia="Cambria Math" w:hAnsi="Cambria Math"/>
                                </w:rPr>
                                <m:t>X</m:t>
                              </m:r>
                            </m:e>
                            <m:sub>
                              <m:r>
                                <w:rPr>
                                  <w:rFonts w:ascii="Cambria Math" w:eastAsia="Cambria Math" w:hAnsi="Cambria Math"/>
                                </w:rPr>
                                <m:t>A</m:t>
                              </m:r>
                            </m:sub>
                          </m:sSub>
                          <m:r>
                            <w:rPr>
                              <w:rFonts w:ascii="Cambria Math" w:eastAsia="Cambria Math" w:hAnsi="Cambria Math"/>
                            </w:rPr>
                            <m:t>γ</m:t>
                          </m:r>
                        </m:e>
                      </m:d>
                    </m:e>
                  </m:d>
                  <m:ctrlPr>
                    <w:rPr>
                      <w:rFonts w:ascii="Cambria Math" w:eastAsia="Cambria Math" w:hAnsi="Cambria Math"/>
                      <w:i/>
                    </w:rPr>
                  </m:ctrlPr>
                </m:e>
                <m:e>
                  <m:sSup>
                    <m:sSupPr>
                      <m:ctrlPr>
                        <w:rPr>
                          <w:rFonts w:ascii="Cambria Math" w:eastAsia="Cambria Math" w:hAnsi="Cambria Math"/>
                          <w:i/>
                        </w:rPr>
                      </m:ctrlPr>
                    </m:sSupPr>
                    <m:e>
                      <m:d>
                        <m:dPr>
                          <m:ctrlPr>
                            <w:rPr>
                              <w:rFonts w:ascii="Cambria Math" w:eastAsia="Cambria Math" w:hAnsi="Cambria Math"/>
                              <w:i/>
                            </w:rPr>
                          </m:ctrlPr>
                        </m:dPr>
                        <m:e>
                          <m:r>
                            <w:rPr>
                              <w:rFonts w:ascii="Cambria Math" w:eastAsia="Cambria Math" w:hAnsi="Cambria Math"/>
                            </w:rPr>
                            <m:t>Y-</m:t>
                          </m:r>
                          <m:sSub>
                            <m:sSubPr>
                              <m:ctrlPr>
                                <w:rPr>
                                  <w:rFonts w:ascii="Cambria Math" w:eastAsia="Cambria Math" w:hAnsi="Cambria Math"/>
                                  <w:i/>
                                </w:rPr>
                              </m:ctrlPr>
                            </m:sSubPr>
                            <m:e>
                              <m:r>
                                <w:rPr>
                                  <w:rFonts w:ascii="Cambria Math" w:eastAsia="Cambria Math" w:hAnsi="Cambria Math"/>
                                </w:rPr>
                                <m:t>expit(δ</m:t>
                              </m:r>
                            </m:e>
                            <m:sub>
                              <m:r>
                                <w:rPr>
                                  <w:rFonts w:ascii="Cambria Math" w:eastAsia="Cambria Math" w:hAnsi="Cambria Math"/>
                                </w:rPr>
                                <m:t>1</m:t>
                              </m:r>
                            </m:sub>
                          </m:sSub>
                          <m:r>
                            <w:rPr>
                              <w:rFonts w:ascii="Cambria Math" w:eastAsia="Cambria Math" w:hAnsi="Cambria Math"/>
                            </w:rPr>
                            <m:t>)</m:t>
                          </m:r>
                        </m:e>
                      </m:d>
                    </m:e>
                    <m:sup>
                      <m:r>
                        <w:rPr>
                          <w:rFonts w:ascii="Cambria Math" w:eastAsia="Cambria Math" w:hAnsi="Cambria Math"/>
                        </w:rPr>
                        <m:t>T</m:t>
                      </m:r>
                    </m:sup>
                  </m:sSup>
                  <m:d>
                    <m:dPr>
                      <m:ctrlPr>
                        <w:rPr>
                          <w:rFonts w:ascii="Cambria Math" w:eastAsia="Cambria Math" w:hAnsi="Cambria Math"/>
                          <w:i/>
                        </w:rPr>
                      </m:ctrlPr>
                    </m:dPr>
                    <m:e>
                      <m:f>
                        <m:fPr>
                          <m:ctrlPr>
                            <w:rPr>
                              <w:rFonts w:ascii="Cambria Math" w:eastAsia="Cambria Math" w:hAnsi="Cambria Math"/>
                              <w:i/>
                            </w:rPr>
                          </m:ctrlPr>
                        </m:fPr>
                        <m:num>
                          <m:r>
                            <w:rPr>
                              <w:rFonts w:ascii="Cambria Math" w:eastAsia="Cambria Math" w:hAnsi="Cambria Math"/>
                            </w:rPr>
                            <m:t>1-A</m:t>
                          </m:r>
                        </m:num>
                        <m:den>
                          <m:r>
                            <w:rPr>
                              <w:rFonts w:ascii="Cambria Math" w:eastAsia="Cambria Math" w:hAnsi="Cambria Math"/>
                            </w:rPr>
                            <m:t>1-expit</m:t>
                          </m:r>
                          <m:d>
                            <m:dPr>
                              <m:ctrlPr>
                                <w:rPr>
                                  <w:rFonts w:ascii="Cambria Math" w:eastAsia="Cambria Math" w:hAnsi="Cambria Math"/>
                                  <w:i/>
                                </w:rPr>
                              </m:ctrlPr>
                            </m:dPr>
                            <m:e>
                              <m:r>
                                <w:rPr>
                                  <w:rFonts w:ascii="Cambria Math" w:eastAsia="Cambria Math" w:hAnsi="Cambria Math"/>
                                </w:rPr>
                                <m:t>Xα</m:t>
                              </m:r>
                            </m:e>
                          </m:d>
                        </m:den>
                      </m:f>
                      <m:func>
                        <m:funcPr>
                          <m:ctrlPr>
                            <w:rPr>
                              <w:rFonts w:ascii="Cambria Math" w:eastAsia="Cambria Math" w:hAnsi="Cambria Math"/>
                            </w:rPr>
                          </m:ctrlPr>
                        </m:funcPr>
                        <m:fName>
                          <m:r>
                            <m:rPr>
                              <m:sty m:val="p"/>
                            </m:rPr>
                            <w:rPr>
                              <w:rFonts w:ascii="Cambria Math" w:eastAsia="Cambria Math" w:hAnsi="Cambria Math"/>
                            </w:rPr>
                            <m:t>exp</m:t>
                          </m:r>
                        </m:fName>
                        <m:e>
                          <m:d>
                            <m:dPr>
                              <m:ctrlPr>
                                <w:rPr>
                                  <w:rFonts w:ascii="Cambria Math" w:eastAsia="Cambria Math" w:hAnsi="Cambria Math"/>
                                  <w:i/>
                                </w:rPr>
                              </m:ctrlPr>
                            </m:dPr>
                            <m:e>
                              <m:r>
                                <w:rPr>
                                  <w:rFonts w:ascii="Cambria Math" w:eastAsia="Cambria Math" w:hAnsi="Cambria Math"/>
                                </w:rPr>
                                <m:t>Xβ</m:t>
                              </m:r>
                            </m:e>
                          </m:d>
                        </m:e>
                      </m:func>
                    </m:e>
                  </m:d>
                  <m:ctrlPr>
                    <w:rPr>
                      <w:rFonts w:ascii="Cambria Math" w:eastAsia="Cambria Math" w:hAnsi="Cambria Math"/>
                      <w:i/>
                    </w:rPr>
                  </m:ctrlPr>
                </m:e>
                <m:e>
                  <m:sSup>
                    <m:sSupPr>
                      <m:ctrlPr>
                        <w:rPr>
                          <w:rFonts w:ascii="Cambria Math" w:eastAsia="Cambria Math" w:hAnsi="Cambria Math"/>
                          <w:i/>
                        </w:rPr>
                      </m:ctrlPr>
                    </m:sSupPr>
                    <m:e>
                      <m:d>
                        <m:dPr>
                          <m:ctrlPr>
                            <w:rPr>
                              <w:rFonts w:ascii="Cambria Math" w:eastAsia="Cambria Math" w:hAnsi="Cambria Math"/>
                              <w:i/>
                            </w:rPr>
                          </m:ctrlPr>
                        </m:dPr>
                        <m:e>
                          <m:r>
                            <w:rPr>
                              <w:rFonts w:ascii="Cambria Math" w:eastAsia="Cambria Math" w:hAnsi="Cambria Math"/>
                            </w:rPr>
                            <m:t xml:space="preserve">Y- </m:t>
                          </m:r>
                          <m:sSub>
                            <m:sSubPr>
                              <m:ctrlPr>
                                <w:rPr>
                                  <w:rFonts w:ascii="Cambria Math" w:eastAsia="Cambria Math" w:hAnsi="Cambria Math"/>
                                  <w:i/>
                                </w:rPr>
                              </m:ctrlPr>
                            </m:sSubPr>
                            <m:e>
                              <m:r>
                                <w:rPr>
                                  <w:rFonts w:ascii="Cambria Math" w:eastAsia="Cambria Math" w:hAnsi="Cambria Math"/>
                                </w:rPr>
                                <m:t>expit(δ</m:t>
                              </m:r>
                            </m:e>
                            <m:sub>
                              <m:r>
                                <w:rPr>
                                  <w:rFonts w:ascii="Cambria Math" w:eastAsia="Cambria Math" w:hAnsi="Cambria Math"/>
                                </w:rPr>
                                <m:t>2</m:t>
                              </m:r>
                            </m:sub>
                          </m:sSub>
                          <m:r>
                            <w:rPr>
                              <w:rFonts w:ascii="Cambria Math" w:eastAsia="Cambria Math" w:hAnsi="Cambria Math"/>
                            </w:rPr>
                            <m:t>)</m:t>
                          </m:r>
                        </m:e>
                      </m:d>
                    </m:e>
                    <m:sup>
                      <m:r>
                        <w:rPr>
                          <w:rFonts w:ascii="Cambria Math" w:eastAsia="Cambria Math" w:hAnsi="Cambria Math"/>
                        </w:rPr>
                        <m:t>T</m:t>
                      </m:r>
                    </m:sup>
                  </m:sSup>
                  <m:d>
                    <m:dPr>
                      <m:ctrlPr>
                        <w:rPr>
                          <w:rFonts w:ascii="Cambria Math" w:eastAsia="Cambria Math" w:hAnsi="Cambria Math"/>
                          <w:i/>
                        </w:rPr>
                      </m:ctrlPr>
                    </m:dPr>
                    <m:e>
                      <m:func>
                        <m:funcPr>
                          <m:ctrlPr>
                            <w:rPr>
                              <w:rFonts w:ascii="Cambria Math" w:eastAsia="Cambria Math" w:hAnsi="Cambria Math"/>
                            </w:rPr>
                          </m:ctrlPr>
                        </m:funcPr>
                        <m:fName>
                          <m:r>
                            <m:rPr>
                              <m:sty m:val="p"/>
                            </m:rPr>
                            <w:rPr>
                              <w:rFonts w:ascii="Cambria Math" w:eastAsia="Cambria Math" w:hAnsi="Cambria Math"/>
                            </w:rPr>
                            <m:t>exp</m:t>
                          </m:r>
                          <m:ctrlPr>
                            <w:rPr>
                              <w:rFonts w:ascii="Cambria Math" w:eastAsia="Cambria Math" w:hAnsi="Cambria Math"/>
                              <w:i/>
                            </w:rPr>
                          </m:ctrlPr>
                        </m:fName>
                        <m:e>
                          <m:d>
                            <m:dPr>
                              <m:ctrlPr>
                                <w:rPr>
                                  <w:rFonts w:ascii="Cambria Math" w:eastAsia="Cambria Math" w:hAnsi="Cambria Math"/>
                                  <w:i/>
                                </w:rPr>
                              </m:ctrlPr>
                            </m:dPr>
                            <m:e>
                              <m:sSub>
                                <m:sSubPr>
                                  <m:ctrlPr>
                                    <w:rPr>
                                      <w:rFonts w:ascii="Cambria Math" w:eastAsia="Cambria Math" w:hAnsi="Cambria Math"/>
                                      <w:i/>
                                    </w:rPr>
                                  </m:ctrlPr>
                                </m:sSubPr>
                                <m:e>
                                  <m:r>
                                    <w:rPr>
                                      <w:rFonts w:ascii="Cambria Math" w:eastAsia="Cambria Math" w:hAnsi="Cambria Math"/>
                                    </w:rPr>
                                    <m:t>X</m:t>
                                  </m:r>
                                </m:e>
                                <m:sub>
                                  <m:r>
                                    <w:rPr>
                                      <w:rFonts w:ascii="Cambria Math" w:eastAsia="Cambria Math" w:hAnsi="Cambria Math"/>
                                    </w:rPr>
                                    <m:t>A</m:t>
                                  </m:r>
                                </m:sub>
                              </m:sSub>
                              <m:r>
                                <w:rPr>
                                  <w:rFonts w:ascii="Cambria Math" w:eastAsia="Cambria Math" w:hAnsi="Cambria Math"/>
                                </w:rPr>
                                <m:t>γ</m:t>
                              </m:r>
                            </m:e>
                          </m:d>
                        </m:e>
                      </m:func>
                    </m:e>
                  </m:d>
                  <m:ctrlPr>
                    <w:rPr>
                      <w:rFonts w:ascii="Cambria Math" w:eastAsia="Cambria Math" w:hAnsi="Cambria Math"/>
                      <w:i/>
                    </w:rPr>
                  </m:ctrlPr>
                </m:e>
                <m:e>
                  <m:r>
                    <w:rPr>
                      <w:rFonts w:ascii="Cambria Math" w:eastAsia="Cambria Math" w:hAnsi="Cambria Math"/>
                    </w:rPr>
                    <m:t>expit</m:t>
                  </m:r>
                  <m:d>
                    <m:dPr>
                      <m:ctrlPr>
                        <w:rPr>
                          <w:rFonts w:ascii="Cambria Math" w:eastAsia="Cambria Math" w:hAnsi="Cambria Math"/>
                          <w:i/>
                        </w:rPr>
                      </m:ctrlPr>
                    </m:dPr>
                    <m:e>
                      <m:sSub>
                        <m:sSubPr>
                          <m:ctrlPr>
                            <w:rPr>
                              <w:rFonts w:ascii="Cambria Math" w:eastAsia="Cambria Math" w:hAnsi="Cambria Math"/>
                              <w:i/>
                            </w:rPr>
                          </m:ctrlPr>
                        </m:sSubPr>
                        <m:e>
                          <m:r>
                            <w:rPr>
                              <w:rFonts w:ascii="Cambria Math" w:eastAsia="Cambria Math" w:hAnsi="Cambria Math"/>
                            </w:rPr>
                            <m:t>δ</m:t>
                          </m:r>
                        </m:e>
                        <m:sub>
                          <m:r>
                            <w:rPr>
                              <w:rFonts w:ascii="Cambria Math" w:eastAsia="Cambria Math" w:hAnsi="Cambria Math"/>
                            </w:rPr>
                            <m:t>2</m:t>
                          </m:r>
                        </m:sub>
                      </m:sSub>
                    </m:e>
                  </m:d>
                  <m:r>
                    <w:rPr>
                      <w:rFonts w:ascii="Cambria Math" w:eastAsia="Cambria Math" w:hAnsi="Cambria Math"/>
                    </w:rPr>
                    <m:t>*</m:t>
                  </m:r>
                  <m:d>
                    <m:dPr>
                      <m:ctrlPr>
                        <w:rPr>
                          <w:rFonts w:ascii="Cambria Math" w:eastAsia="Cambria Math" w:hAnsi="Cambria Math"/>
                          <w:i/>
                        </w:rPr>
                      </m:ctrlPr>
                    </m:dPr>
                    <m:e>
                      <m:r>
                        <w:rPr>
                          <w:rFonts w:ascii="Cambria Math" w:eastAsia="Cambria Math" w:hAnsi="Cambria Math"/>
                        </w:rPr>
                        <m:t xml:space="preserve">1- </m:t>
                      </m:r>
                      <m:sSub>
                        <m:sSubPr>
                          <m:ctrlPr>
                            <w:rPr>
                              <w:rFonts w:ascii="Cambria Math" w:eastAsia="Cambria Math" w:hAnsi="Cambria Math"/>
                              <w:i/>
                            </w:rPr>
                          </m:ctrlPr>
                        </m:sSubPr>
                        <m:e>
                          <m:r>
                            <w:rPr>
                              <w:rFonts w:ascii="Cambria Math" w:eastAsia="Cambria Math" w:hAnsi="Cambria Math"/>
                            </w:rPr>
                            <m:t>δ</m:t>
                          </m:r>
                        </m:e>
                        <m:sub>
                          <m:r>
                            <w:rPr>
                              <w:rFonts w:ascii="Cambria Math" w:eastAsia="Cambria Math" w:hAnsi="Cambria Math"/>
                            </w:rPr>
                            <m:t>3</m:t>
                          </m:r>
                        </m:sub>
                      </m:sSub>
                    </m:e>
                  </m:d>
                  <m:r>
                    <w:rPr>
                      <w:rFonts w:ascii="Cambria Math" w:eastAsia="Cambria Math" w:hAnsi="Cambria Math"/>
                    </w:rPr>
                    <m:t>-expit(</m:t>
                  </m:r>
                  <m:sSub>
                    <m:sSubPr>
                      <m:ctrlPr>
                        <w:rPr>
                          <w:rFonts w:ascii="Cambria Math" w:eastAsia="Cambria Math" w:hAnsi="Cambria Math"/>
                          <w:i/>
                        </w:rPr>
                      </m:ctrlPr>
                    </m:sSubPr>
                    <m:e>
                      <m:r>
                        <w:rPr>
                          <w:rFonts w:ascii="Cambria Math" w:eastAsia="Cambria Math" w:hAnsi="Cambria Math"/>
                        </w:rPr>
                        <m:t>δ</m:t>
                      </m:r>
                    </m:e>
                    <m:sub>
                      <m:r>
                        <w:rPr>
                          <w:rFonts w:ascii="Cambria Math" w:eastAsia="Cambria Math" w:hAnsi="Cambria Math"/>
                        </w:rPr>
                        <m:t>1</m:t>
                      </m:r>
                    </m:sub>
                  </m:sSub>
                  <m:r>
                    <w:rPr>
                      <w:rFonts w:ascii="Cambria Math" w:eastAsia="Cambria Math" w:hAnsi="Cambria Math"/>
                    </w:rPr>
                    <m:t>)</m:t>
                  </m:r>
                </m:e>
              </m:eqArr>
            </m:e>
          </m:d>
          <m:r>
            <w:rPr>
              <w:rFonts w:ascii="Cambria Math" w:eastAsiaTheme="minorEastAsia" w:hAnsi="Cambria Math"/>
            </w:rPr>
            <m:t xml:space="preserve"> </m:t>
          </m:r>
        </m:oMath>
      </m:oMathPara>
    </w:p>
    <w:p w14:paraId="4AA40CB8" w14:textId="58787603" w:rsidR="0084561F" w:rsidRPr="00AF2B2A" w:rsidRDefault="007C402A" w:rsidP="00A001FF">
      <w:pPr>
        <w:pStyle w:val="BodyText"/>
        <w:ind w:firstLine="0"/>
      </w:pPr>
      <w:r w:rsidRPr="00D452A9">
        <w:t xml:space="preserve"> </w:t>
      </w:r>
      <w:r w:rsidR="00DE4FB1" w:rsidRPr="00D452A9">
        <w:t xml:space="preserve">The first three lines correspond to logistic regression estimating functions, the fourth line corresponds to the estimated counterfactual risk under no exposure, the fifth line corresponds to the estimated risk under natural course, and the final line corresponds to the population </w:t>
      </w:r>
      <w:r w:rsidR="00DE4FB1" w:rsidRPr="00AF2B2A">
        <w:t xml:space="preserve">attributable fraction estimating function. </w:t>
      </w:r>
    </w:p>
    <w:p w14:paraId="1C933969" w14:textId="2EFD6A9D" w:rsidR="003C7DA5" w:rsidRPr="00AF2B2A" w:rsidRDefault="00253212" w:rsidP="00DA649B">
      <w:pPr>
        <w:pStyle w:val="BodyText"/>
        <w:ind w:firstLine="0"/>
      </w:pPr>
      <w:r w:rsidRPr="00AF2B2A">
        <w:tab/>
        <w:t>Solutions to the stacked estimating functions are found via root-finding algorithm</w:t>
      </w:r>
      <w:r w:rsidR="00050CE9" w:rsidRPr="00AF2B2A">
        <w:t>s</w:t>
      </w:r>
      <w:r w:rsidR="00D24AB4" w:rsidRPr="00AF2B2A">
        <w:t xml:space="preserve"> (such as </w:t>
      </w:r>
      <w:proofErr w:type="spellStart"/>
      <w:r w:rsidR="00D24AB4" w:rsidRPr="00AF2B2A">
        <w:rPr>
          <w:rStyle w:val="HTMLCode"/>
          <w:rFonts w:asciiTheme="majorHAnsi" w:hAnsiTheme="majorHAnsi" w:cstheme="majorHAnsi"/>
          <w:sz w:val="24"/>
          <w:szCs w:val="24"/>
        </w:rPr>
        <w:t>rootSolve</w:t>
      </w:r>
      <w:proofErr w:type="spellEnd"/>
      <w:r w:rsidR="00D24AB4" w:rsidRPr="00AF2B2A">
        <w:rPr>
          <w:rStyle w:val="HTMLCode"/>
          <w:rFonts w:asciiTheme="majorHAnsi" w:hAnsiTheme="majorHAnsi" w:cstheme="majorHAnsi"/>
          <w:sz w:val="24"/>
          <w:szCs w:val="24"/>
        </w:rPr>
        <w:t>::</w:t>
      </w:r>
      <w:proofErr w:type="spellStart"/>
      <w:r w:rsidR="00D24AB4" w:rsidRPr="00AF2B2A">
        <w:rPr>
          <w:rStyle w:val="HTMLCode"/>
          <w:rFonts w:asciiTheme="majorHAnsi" w:hAnsiTheme="majorHAnsi" w:cstheme="majorHAnsi"/>
          <w:sz w:val="24"/>
          <w:szCs w:val="24"/>
        </w:rPr>
        <w:t>multiroot</w:t>
      </w:r>
      <w:proofErr w:type="spellEnd"/>
      <w:r w:rsidR="00D24AB4" w:rsidRPr="00AF2B2A">
        <w:t xml:space="preserve"> in </w:t>
      </w:r>
      <w:r w:rsidR="00D24AB4" w:rsidRPr="00AF2B2A">
        <w:rPr>
          <w:rStyle w:val="HTMLCode"/>
          <w:rFonts w:asciiTheme="majorHAnsi" w:hAnsiTheme="majorHAnsi" w:cstheme="majorHAnsi"/>
          <w:sz w:val="24"/>
          <w:szCs w:val="24"/>
        </w:rPr>
        <w:t>R</w:t>
      </w:r>
      <w:r w:rsidR="00D24AB4" w:rsidRPr="00AF2B2A">
        <w:t>).</w:t>
      </w:r>
      <w:r w:rsidR="00050CE9" w:rsidRPr="00AF2B2A">
        <w:t xml:space="preserve"> </w:t>
      </w:r>
      <w:r w:rsidR="00D24AB4" w:rsidRPr="00AF2B2A">
        <w:t xml:space="preserve">The derivatives within the bread matrix are found via numerical approximations to the gradient or Jacobian matrix (such as </w:t>
      </w:r>
      <w:proofErr w:type="spellStart"/>
      <w:r w:rsidR="00D24AB4" w:rsidRPr="00AF2B2A">
        <w:rPr>
          <w:rStyle w:val="HTMLCode"/>
          <w:rFonts w:asciiTheme="majorHAnsi" w:hAnsiTheme="majorHAnsi" w:cstheme="majorHAnsi"/>
          <w:sz w:val="24"/>
          <w:szCs w:val="24"/>
        </w:rPr>
        <w:t>numDeriv</w:t>
      </w:r>
      <w:proofErr w:type="spellEnd"/>
      <w:r w:rsidR="00D24AB4" w:rsidRPr="00AF2B2A">
        <w:rPr>
          <w:rStyle w:val="HTMLCode"/>
          <w:rFonts w:asciiTheme="majorHAnsi" w:hAnsiTheme="majorHAnsi" w:cstheme="majorHAnsi"/>
          <w:sz w:val="24"/>
          <w:szCs w:val="24"/>
        </w:rPr>
        <w:t>::</w:t>
      </w:r>
      <w:commentRangeStart w:id="71"/>
      <w:proofErr w:type="spellStart"/>
      <w:r w:rsidR="00D24AB4" w:rsidRPr="00AF2B2A">
        <w:rPr>
          <w:rStyle w:val="HTMLCode"/>
          <w:rFonts w:asciiTheme="majorHAnsi" w:hAnsiTheme="majorHAnsi" w:cstheme="majorHAnsi"/>
          <w:sz w:val="24"/>
          <w:szCs w:val="24"/>
        </w:rPr>
        <w:t>jacobian</w:t>
      </w:r>
      <w:proofErr w:type="spellEnd"/>
      <w:r w:rsidR="00D24AB4" w:rsidRPr="00AF2B2A">
        <w:t xml:space="preserve"> in </w:t>
      </w:r>
      <w:r w:rsidR="00D24AB4" w:rsidRPr="00AF2B2A">
        <w:rPr>
          <w:rStyle w:val="HTMLCode"/>
          <w:rFonts w:asciiTheme="majorHAnsi" w:hAnsiTheme="majorHAnsi" w:cstheme="majorHAnsi"/>
          <w:sz w:val="24"/>
          <w:szCs w:val="24"/>
        </w:rPr>
        <w:t>R</w:t>
      </w:r>
      <w:r w:rsidR="00D24AB4" w:rsidRPr="00AF2B2A">
        <w:t xml:space="preserve">). </w:t>
      </w:r>
      <w:bookmarkEnd w:id="61"/>
      <w:bookmarkEnd w:id="67"/>
      <w:commentRangeEnd w:id="71"/>
      <w:r w:rsidR="00DA649B" w:rsidRPr="00AF2B2A">
        <w:rPr>
          <w:rStyle w:val="CommentReference"/>
          <w:sz w:val="24"/>
          <w:szCs w:val="24"/>
        </w:rPr>
        <w:commentReference w:id="71"/>
      </w:r>
    </w:p>
    <w:sectPr w:rsidR="003C7DA5" w:rsidRPr="00AF2B2A">
      <w:headerReference w:type="default" r:id="rId12"/>
      <w:footerReference w:type="default" r:id="rId13"/>
      <w:pgSz w:w="12240" w:h="15840"/>
      <w:pgMar w:top="1440" w:right="1440" w:bottom="1440" w:left="1440" w:header="720" w:footer="720" w:gutter="0"/>
      <w:cols w:space="72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8" w:author="Klose, Mark Walter" w:date="2023-04-12T16:13:00Z" w:initials="KMW">
    <w:p w14:paraId="2B39E5B8" w14:textId="77777777" w:rsidR="00C22718" w:rsidRDefault="00C22718" w:rsidP="00355BF4">
      <w:r>
        <w:rPr>
          <w:rStyle w:val="CommentReference"/>
        </w:rPr>
        <w:annotationRef/>
      </w:r>
      <w:r>
        <w:rPr>
          <w:sz w:val="20"/>
          <w:szCs w:val="20"/>
        </w:rPr>
        <w:t>Suzuki 2023 paper does this better than us, but still misses the point that the PAF is for target population, not study population (people treat study=target usually)</w:t>
      </w:r>
    </w:p>
  </w:comment>
  <w:comment w:id="9" w:author="Cole, Stephen R" w:date="2023-05-30T09:51:00Z" w:initials="CSR">
    <w:p w14:paraId="69B5BE5D" w14:textId="77777777" w:rsidR="00401971" w:rsidRDefault="00401971" w:rsidP="00C4137B">
      <w:pPr>
        <w:pStyle w:val="CommentText"/>
      </w:pPr>
      <w:r>
        <w:rPr>
          <w:rStyle w:val="CommentReference"/>
        </w:rPr>
        <w:annotationRef/>
      </w:r>
      <w:r>
        <w:t>Mark, can you please remove all comments that are no longer pertinent?</w:t>
      </w:r>
    </w:p>
  </w:comment>
  <w:comment w:id="11" w:author="Klose, Mark Walter" w:date="2023-08-15T14:53:00Z" w:initials="KMW">
    <w:p w14:paraId="14D01DEE" w14:textId="77777777" w:rsidR="00017471" w:rsidRDefault="00017471" w:rsidP="00017471">
      <w:r>
        <w:rPr>
          <w:rStyle w:val="CommentReference"/>
        </w:rPr>
        <w:annotationRef/>
      </w:r>
      <w:r>
        <w:rPr>
          <w:sz w:val="20"/>
          <w:szCs w:val="20"/>
        </w:rPr>
        <w:t xml:space="preserve">unsure if this clause adds anything of value. </w:t>
      </w:r>
    </w:p>
  </w:comment>
  <w:comment w:id="12" w:author="Klose, Mark Walter" w:date="2023-08-15T14:35:00Z" w:initials="KMW">
    <w:p w14:paraId="29A70538" w14:textId="77777777" w:rsidR="00017471" w:rsidRDefault="00017471" w:rsidP="00017471">
      <w:r>
        <w:rPr>
          <w:rStyle w:val="CommentReference"/>
        </w:rPr>
        <w:annotationRef/>
      </w:r>
      <w:r>
        <w:rPr>
          <w:sz w:val="20"/>
          <w:szCs w:val="20"/>
        </w:rPr>
        <w:t>Not most important sentence.</w:t>
      </w:r>
    </w:p>
  </w:comment>
  <w:comment w:id="14" w:author="Klose, Mark" w:date="2023-09-08T07:28:00Z" w:initials="MK">
    <w:p w14:paraId="3100778B" w14:textId="77777777" w:rsidR="00B600D4" w:rsidRDefault="00B600D4" w:rsidP="006A17D1">
      <w:r>
        <w:rPr>
          <w:rStyle w:val="CommentReference"/>
        </w:rPr>
        <w:annotationRef/>
      </w:r>
      <w:r>
        <w:rPr>
          <w:sz w:val="20"/>
          <w:szCs w:val="20"/>
        </w:rPr>
        <w:t>Added sentence, assuming “new” direction</w:t>
      </w:r>
    </w:p>
  </w:comment>
  <w:comment w:id="15" w:author="Klose, Mark Walter" w:date="2023-02-11T13:55:00Z" w:initials="KMW">
    <w:p w14:paraId="6A4C6C0B" w14:textId="45194FFA" w:rsidR="00D240B1" w:rsidRDefault="00D240B1" w:rsidP="00FD0BBE">
      <w:r>
        <w:rPr>
          <w:rStyle w:val="CommentReference"/>
        </w:rPr>
        <w:annotationRef/>
      </w:r>
      <w:r>
        <w:rPr>
          <w:sz w:val="20"/>
          <w:szCs w:val="20"/>
        </w:rPr>
        <w:t xml:space="preserve">Specifically say R code? Can eventually do in SAS/Python, but that is not 1st priority. </w:t>
      </w:r>
    </w:p>
  </w:comment>
  <w:comment w:id="16" w:author="Klose, Mark Walter" w:date="2023-03-23T12:47:00Z" w:initials="KMW">
    <w:p w14:paraId="54F53513" w14:textId="77777777" w:rsidR="00B956F2" w:rsidRDefault="00B956F2" w:rsidP="00904B9D">
      <w:r>
        <w:rPr>
          <w:rStyle w:val="CommentReference"/>
        </w:rPr>
        <w:annotationRef/>
      </w:r>
      <w:r>
        <w:rPr>
          <w:sz w:val="20"/>
          <w:szCs w:val="20"/>
        </w:rPr>
        <w:t>Not first priority right this second</w:t>
      </w:r>
    </w:p>
  </w:comment>
  <w:comment w:id="19" w:author="Paul Zivich" w:date="2023-05-29T08:39:00Z" w:initials="PZ">
    <w:p w14:paraId="770AB685" w14:textId="6CF1619E" w:rsidR="004830AB" w:rsidRDefault="004830AB">
      <w:pPr>
        <w:pStyle w:val="CommentText"/>
      </w:pPr>
      <w:r>
        <w:rPr>
          <w:rStyle w:val="CommentReference"/>
        </w:rPr>
        <w:annotationRef/>
      </w:r>
      <w:r>
        <w:t>Over what period of time?</w:t>
      </w:r>
    </w:p>
  </w:comment>
  <w:comment w:id="20" w:author="Paul Zivich" w:date="2023-05-29T08:41:00Z" w:initials="PZ">
    <w:p w14:paraId="7859FD27" w14:textId="77777777" w:rsidR="004830AB" w:rsidRDefault="004830AB">
      <w:pPr>
        <w:pStyle w:val="CommentText"/>
      </w:pPr>
      <w:r>
        <w:rPr>
          <w:rStyle w:val="CommentReference"/>
        </w:rPr>
        <w:annotationRef/>
      </w:r>
      <w:r>
        <w:t xml:space="preserve">In or after this sentence, may want to also state the two data sources. Also might consider leading with WIHS instead of the CDC. </w:t>
      </w:r>
      <w:r w:rsidR="008D1F43">
        <w:t>I think that order is helpful because</w:t>
      </w:r>
    </w:p>
    <w:p w14:paraId="7DA5F545" w14:textId="77777777" w:rsidR="008D1F43" w:rsidRDefault="008D1F43" w:rsidP="008D1F43">
      <w:pPr>
        <w:pStyle w:val="CommentText"/>
        <w:numPr>
          <w:ilvl w:val="0"/>
          <w:numId w:val="29"/>
        </w:numPr>
      </w:pPr>
      <w:r>
        <w:t>Describe what we want to estimate with WIHS</w:t>
      </w:r>
    </w:p>
    <w:p w14:paraId="402AADD7" w14:textId="77777777" w:rsidR="008D1F43" w:rsidRDefault="008D1F43" w:rsidP="008D1F43">
      <w:pPr>
        <w:pStyle w:val="CommentText"/>
        <w:numPr>
          <w:ilvl w:val="0"/>
          <w:numId w:val="29"/>
        </w:numPr>
      </w:pPr>
      <w:r>
        <w:t>Why WIHS does not work (differences over time)</w:t>
      </w:r>
    </w:p>
    <w:p w14:paraId="59F5F499" w14:textId="11FA4B68" w:rsidR="008D1F43" w:rsidRDefault="008D1F43" w:rsidP="008D1F43">
      <w:pPr>
        <w:pStyle w:val="CommentText"/>
        <w:numPr>
          <w:ilvl w:val="0"/>
          <w:numId w:val="29"/>
        </w:numPr>
      </w:pPr>
      <w:r>
        <w:t>Extend WIHS with the CDC data</w:t>
      </w:r>
    </w:p>
  </w:comment>
  <w:comment w:id="21" w:author="Paul Zivich" w:date="2023-05-29T08:40:00Z" w:initials="PZ">
    <w:p w14:paraId="21CFEBD8" w14:textId="305347EC" w:rsidR="004830AB" w:rsidRDefault="004830AB">
      <w:pPr>
        <w:pStyle w:val="CommentText"/>
      </w:pPr>
      <w:r>
        <w:rPr>
          <w:rStyle w:val="CommentReference"/>
        </w:rPr>
        <w:annotationRef/>
      </w:r>
      <w:r>
        <w:t>I would say we do several different sizes. 1000, 2000, 10000 (or something like that).</w:t>
      </w:r>
    </w:p>
  </w:comment>
  <w:comment w:id="28" w:author="Klose, Mark Walter" w:date="2023-02-08T11:30:00Z" w:initials="KMW">
    <w:p w14:paraId="296FB1EA" w14:textId="039315A8" w:rsidR="00D03720" w:rsidRDefault="00D03720" w:rsidP="00D03720">
      <w:r>
        <w:rPr>
          <w:rStyle w:val="CommentReference"/>
        </w:rPr>
        <w:annotationRef/>
      </w:r>
      <w:r>
        <w:rPr>
          <w:sz w:val="20"/>
          <w:szCs w:val="20"/>
        </w:rPr>
        <w:t xml:space="preserve">added because this closely matches the form of the estimator, which is written like this because otherwise everything goes off the page. </w:t>
      </w:r>
    </w:p>
  </w:comment>
  <w:comment w:id="29" w:author="Klose, Mark Walter" w:date="2023-02-11T14:16:00Z" w:initials="KMW">
    <w:p w14:paraId="1C326F6B" w14:textId="77777777" w:rsidR="00BB5DE8" w:rsidRDefault="00BB5DE8" w:rsidP="007C7154">
      <w:r>
        <w:rPr>
          <w:rStyle w:val="CommentReference"/>
        </w:rPr>
        <w:annotationRef/>
      </w:r>
      <w:r>
        <w:rPr>
          <w:sz w:val="20"/>
          <w:szCs w:val="20"/>
        </w:rPr>
        <w:t xml:space="preserve">Trying to convey: S=1 is target population (CDC data), and S=2 is study population (WIHS data). Trying to remove “auxiliary” phrasing from below, as Paul pointed out inconsistencies. </w:t>
      </w:r>
    </w:p>
  </w:comment>
  <w:comment w:id="30" w:author="Klose, Mark Walter" w:date="2023-04-12T16:00:00Z" w:initials="KMW">
    <w:p w14:paraId="46B5257C" w14:textId="77777777" w:rsidR="00551C28" w:rsidRDefault="00551C28" w:rsidP="00274200">
      <w:r>
        <w:rPr>
          <w:rStyle w:val="CommentReference"/>
        </w:rPr>
        <w:annotationRef/>
      </w:r>
      <w:r>
        <w:rPr>
          <w:sz w:val="20"/>
          <w:szCs w:val="20"/>
        </w:rPr>
        <w:t>added since last draft</w:t>
      </w:r>
    </w:p>
  </w:comment>
  <w:comment w:id="31" w:author="Klose, Mark Walter" w:date="2022-12-02T09:06:00Z" w:initials="KMW">
    <w:p w14:paraId="05286C59" w14:textId="03C4D7F8" w:rsidR="0098738B" w:rsidRDefault="0098738B" w:rsidP="0098738B">
      <w:r>
        <w:rPr>
          <w:rStyle w:val="CommentReference"/>
        </w:rPr>
        <w:annotationRef/>
      </w:r>
      <w:r>
        <w:rPr>
          <w:sz w:val="20"/>
          <w:szCs w:val="20"/>
        </w:rPr>
        <w:t>Greenland+Robins 1986, 2009, and then Hernan Robins 2006?</w:t>
      </w:r>
    </w:p>
  </w:comment>
  <w:comment w:id="32" w:author="Cole, Stephen R" w:date="2022-12-05T09:19:00Z" w:initials="CSR">
    <w:p w14:paraId="7AD13F5C" w14:textId="77777777" w:rsidR="0098738B" w:rsidRDefault="0098738B" w:rsidP="0098738B">
      <w:pPr>
        <w:pStyle w:val="CommentText"/>
      </w:pPr>
      <w:r>
        <w:rPr>
          <w:rStyle w:val="CommentReference"/>
        </w:rPr>
        <w:annotationRef/>
      </w:r>
      <w:r>
        <w:t>Yes these seem appropriate</w:t>
      </w:r>
    </w:p>
  </w:comment>
  <w:comment w:id="33" w:author="Paul Zivich" w:date="2023-05-29T08:46:00Z" w:initials="PZ">
    <w:p w14:paraId="37EAE6DF" w14:textId="29AE5EDF" w:rsidR="008D1F43" w:rsidRDefault="008D1F43">
      <w:pPr>
        <w:pStyle w:val="CommentText"/>
      </w:pPr>
      <w:r>
        <w:rPr>
          <w:rStyle w:val="CommentReference"/>
        </w:rPr>
        <w:annotationRef/>
      </w:r>
      <w:r>
        <w:t xml:space="preserve">This might not be the best place, but want to state what data is observed where. </w:t>
      </w:r>
    </w:p>
  </w:comment>
  <w:comment w:id="35" w:author="Klose, Mark Walter" w:date="2023-04-17T11:50:00Z" w:initials="KMW">
    <w:p w14:paraId="7517EE42" w14:textId="77777777" w:rsidR="008D1F43" w:rsidRDefault="008D1F43" w:rsidP="008D1F43">
      <w:r>
        <w:rPr>
          <w:rStyle w:val="CommentReference"/>
        </w:rPr>
        <w:annotationRef/>
      </w:r>
      <w:r>
        <w:rPr>
          <w:sz w:val="20"/>
          <w:szCs w:val="20"/>
        </w:rPr>
        <w:t xml:space="preserve">Purpose of sentence: this summarizes what the weights ultimately do. This is mainly for convenience and if researchers struggle in knowing IOSW or IPTW. Trying to make this as entry level as possible. </w:t>
      </w:r>
    </w:p>
  </w:comment>
  <w:comment w:id="36" w:author="Klose, Mark" w:date="2023-08-11T14:55:00Z" w:initials="MK">
    <w:p w14:paraId="577BA47C" w14:textId="77777777" w:rsidR="00D259C2" w:rsidRDefault="00D259C2" w:rsidP="00B767CC">
      <w:r>
        <w:rPr>
          <w:rStyle w:val="CommentReference"/>
        </w:rPr>
        <w:annotationRef/>
      </w:r>
      <w:r>
        <w:rPr>
          <w:sz w:val="20"/>
          <w:szCs w:val="20"/>
        </w:rPr>
        <w:t>used to be “treatment propensity”</w:t>
      </w:r>
    </w:p>
  </w:comment>
  <w:comment w:id="37" w:author="Klose, Mark Walter" w:date="2023-02-08T11:56:00Z" w:initials="KMW">
    <w:p w14:paraId="35DBFA27" w14:textId="4597204B" w:rsidR="009C7E43" w:rsidRDefault="009C7E43" w:rsidP="00417793">
      <w:r>
        <w:rPr>
          <w:rStyle w:val="CommentReference"/>
        </w:rPr>
        <w:annotationRef/>
      </w:r>
      <w:r>
        <w:rPr>
          <w:sz w:val="20"/>
          <w:szCs w:val="20"/>
        </w:rPr>
        <w:t xml:space="preserve">out of place - thinking of a fix. </w:t>
      </w:r>
    </w:p>
  </w:comment>
  <w:comment w:id="38" w:author="Klose, Mark Walter" w:date="2022-11-09T19:40:00Z" w:initials="KMW">
    <w:p w14:paraId="38673E6A" w14:textId="36BD33F3" w:rsidR="00D07662" w:rsidRDefault="00D07662" w:rsidP="00D07662">
      <w:r>
        <w:rPr>
          <w:rStyle w:val="CommentReference"/>
        </w:rPr>
        <w:annotationRef/>
      </w:r>
      <w:r>
        <w:rPr>
          <w:sz w:val="20"/>
          <w:szCs w:val="20"/>
        </w:rPr>
        <w:t>Attempting to communicate:</w:t>
      </w:r>
    </w:p>
    <w:p w14:paraId="6BD2384E" w14:textId="77777777" w:rsidR="00D07662" w:rsidRDefault="00D07662" w:rsidP="00D07662">
      <w:r>
        <w:rPr>
          <w:sz w:val="20"/>
          <w:szCs w:val="20"/>
        </w:rPr>
        <w:t>0) Heuristic, plug bounds of RR into PAF to get variance (mentioned in Greenland 2004)</w:t>
      </w:r>
    </w:p>
    <w:p w14:paraId="7AC6F355" w14:textId="77777777" w:rsidR="00D07662" w:rsidRDefault="00D07662" w:rsidP="00D07662"/>
    <w:p w14:paraId="3D71EC68" w14:textId="77777777" w:rsidR="00D07662" w:rsidRDefault="00D07662" w:rsidP="00D07662">
      <w:r>
        <w:rPr>
          <w:sz w:val="20"/>
          <w:szCs w:val="20"/>
        </w:rPr>
        <w:t>1) Delta method</w:t>
      </w:r>
    </w:p>
    <w:p w14:paraId="5687143E" w14:textId="77777777" w:rsidR="00D07662" w:rsidRDefault="00D07662" w:rsidP="00D07662"/>
    <w:p w14:paraId="17206CC9" w14:textId="77777777" w:rsidR="00D07662" w:rsidRDefault="00D07662" w:rsidP="00D07662">
      <w:r>
        <w:rPr>
          <w:sz w:val="20"/>
          <w:szCs w:val="20"/>
        </w:rPr>
        <w:t>2) Bootstrap</w:t>
      </w:r>
    </w:p>
    <w:p w14:paraId="51FA21D3" w14:textId="77777777" w:rsidR="00D07662" w:rsidRDefault="00D07662" w:rsidP="00D07662"/>
    <w:p w14:paraId="03F08E72" w14:textId="77777777" w:rsidR="00D07662" w:rsidRDefault="00D07662" w:rsidP="00D07662">
      <w:r>
        <w:rPr>
          <w:sz w:val="20"/>
          <w:szCs w:val="20"/>
        </w:rPr>
        <w:t>3) M-Estimation</w:t>
      </w:r>
    </w:p>
  </w:comment>
  <w:comment w:id="39" w:author="Cole, Stephen R" w:date="2022-11-10T08:37:00Z" w:initials="CSR">
    <w:p w14:paraId="3E956961" w14:textId="77777777" w:rsidR="00D07662" w:rsidRDefault="00D07662" w:rsidP="00D07662">
      <w:pPr>
        <w:pStyle w:val="CommentText"/>
      </w:pPr>
      <w:r>
        <w:rPr>
          <w:rStyle w:val="CommentReference"/>
        </w:rPr>
        <w:annotationRef/>
      </w:r>
      <w:r>
        <w:t>Bounds are great but not here.</w:t>
      </w:r>
    </w:p>
  </w:comment>
  <w:comment w:id="40" w:author="Cole, Stephen R" w:date="2022-12-05T09:23:00Z" w:initials="CSR">
    <w:p w14:paraId="04F89066" w14:textId="77777777" w:rsidR="00D07662" w:rsidRDefault="00D07662" w:rsidP="00D07662">
      <w:pPr>
        <w:pStyle w:val="CommentText"/>
      </w:pPr>
      <w:r>
        <w:rPr>
          <w:rStyle w:val="CommentReference"/>
        </w:rPr>
        <w:annotationRef/>
      </w:r>
      <w:r>
        <w:t>Oh, the bounds you are talking about are plugging in the CI limits of say pi into the formula for theta. I would push this to the discussion.</w:t>
      </w:r>
    </w:p>
  </w:comment>
  <w:comment w:id="42" w:author="Cole, Stephen R" w:date="2022-12-05T09:29:00Z" w:initials="CSR">
    <w:p w14:paraId="48C683AF" w14:textId="77777777" w:rsidR="00AA5565" w:rsidRDefault="00AA5565" w:rsidP="00AA5565">
      <w:pPr>
        <w:pStyle w:val="CommentText"/>
      </w:pPr>
      <w:r>
        <w:rPr>
          <w:rStyle w:val="CommentReference"/>
        </w:rPr>
        <w:annotationRef/>
      </w:r>
      <w:r>
        <w:t>Similar structure for second paragraph. But give a sentence with some details about IPW, mean, mix/max.</w:t>
      </w:r>
    </w:p>
  </w:comment>
  <w:comment w:id="43" w:author="Cole, Stephen R" w:date="2023-05-30T10:01:00Z" w:initials="CSR">
    <w:p w14:paraId="500A8C37" w14:textId="7D7D8DB9" w:rsidR="005B48BD" w:rsidRDefault="005B48BD" w:rsidP="00D64946">
      <w:pPr>
        <w:pStyle w:val="CommentText"/>
      </w:pPr>
      <w:r>
        <w:rPr>
          <w:rStyle w:val="CommentReference"/>
        </w:rPr>
        <w:annotationRef/>
      </w:r>
      <w:r>
        <w:t>Should we give some results that don’t transport the data to show how biased it is? I assume by the .31 to .22 that it might be large.</w:t>
      </w:r>
    </w:p>
  </w:comment>
  <w:comment w:id="44" w:author="Klose, Mark" w:date="2023-08-15T15:54:00Z" w:initials="MK">
    <w:p w14:paraId="2C8D5B22" w14:textId="77777777" w:rsidR="00734658" w:rsidRDefault="00734658" w:rsidP="0001618A">
      <w:r>
        <w:rPr>
          <w:rStyle w:val="CommentReference"/>
        </w:rPr>
        <w:annotationRef/>
      </w:r>
      <w:r>
        <w:rPr>
          <w:sz w:val="20"/>
          <w:szCs w:val="20"/>
        </w:rPr>
        <w:t xml:space="preserve">Added paragraph below - unsure if this is the best way to visualize this information however. </w:t>
      </w:r>
    </w:p>
  </w:comment>
  <w:comment w:id="45" w:author="Klose, Mark Walter" w:date="2023-09-08T10:49:00Z" w:initials="KMW">
    <w:p w14:paraId="27D8FAF5" w14:textId="77777777" w:rsidR="00C76D74" w:rsidRDefault="00C76D74" w:rsidP="00D12303">
      <w:r>
        <w:rPr>
          <w:rStyle w:val="CommentReference"/>
        </w:rPr>
        <w:annotationRef/>
      </w:r>
      <w:r>
        <w:rPr>
          <w:sz w:val="20"/>
          <w:szCs w:val="20"/>
        </w:rPr>
        <w:t>missing one word here</w:t>
      </w:r>
    </w:p>
  </w:comment>
  <w:comment w:id="46" w:author="Klose, Mark Walter" w:date="2023-04-17T11:58:00Z" w:initials="KMW">
    <w:p w14:paraId="475109C5" w14:textId="73866FB7" w:rsidR="006948D4" w:rsidRDefault="006948D4" w:rsidP="008F5B01">
      <w:r>
        <w:rPr>
          <w:rStyle w:val="CommentReference"/>
        </w:rPr>
        <w:annotationRef/>
      </w:r>
      <w:r>
        <w:rPr>
          <w:sz w:val="20"/>
          <w:szCs w:val="20"/>
        </w:rPr>
        <w:t>Changed to reflect Paul’s comment, try to say this is limitation.</w:t>
      </w:r>
    </w:p>
  </w:comment>
  <w:comment w:id="47" w:author="Klose, Mark Walter" w:date="2023-04-12T16:11:00Z" w:initials="KMW">
    <w:p w14:paraId="4CB8D7AC" w14:textId="723C0206" w:rsidR="00C22718" w:rsidRDefault="00C22718" w:rsidP="00DF6AEA">
      <w:r>
        <w:rPr>
          <w:rStyle w:val="CommentReference"/>
        </w:rPr>
        <w:annotationRef/>
      </w:r>
      <w:r>
        <w:rPr>
          <w:sz w:val="20"/>
          <w:szCs w:val="20"/>
        </w:rPr>
        <w:t xml:space="preserve">Was “prevent”, but “prevention prevents” reads weird. </w:t>
      </w:r>
    </w:p>
  </w:comment>
  <w:comment w:id="48" w:author="Cole, Stephen R" w:date="2023-05-30T10:03:00Z" w:initials="CSR">
    <w:p w14:paraId="107838D2" w14:textId="77777777" w:rsidR="005B48BD" w:rsidRDefault="005B48BD" w:rsidP="009B0C6A">
      <w:pPr>
        <w:pStyle w:val="CommentText"/>
      </w:pPr>
      <w:r>
        <w:rPr>
          <w:rStyle w:val="CommentReference"/>
        </w:rPr>
        <w:annotationRef/>
      </w:r>
      <w:r>
        <w:t>Wait. What changed? AIDS diagnosis did. But did HIV diagnosis change? The CDC data are HIV diagnoses right?</w:t>
      </w:r>
    </w:p>
  </w:comment>
  <w:comment w:id="49" w:author="Klose, Mark Walter" w:date="2023-08-11T15:16:00Z" w:initials="KMW">
    <w:p w14:paraId="721E9C16" w14:textId="77777777" w:rsidR="001602F5" w:rsidRDefault="001602F5" w:rsidP="00EB001A">
      <w:r>
        <w:rPr>
          <w:rStyle w:val="CommentReference"/>
        </w:rPr>
        <w:annotationRef/>
      </w:r>
      <w:r>
        <w:rPr>
          <w:sz w:val="20"/>
          <w:szCs w:val="20"/>
        </w:rPr>
        <w:t xml:space="preserve">Changed from HIV/AIDS diagnosis to AIDS diagnosis -&gt; AIDS case definition changed. </w:t>
      </w:r>
    </w:p>
  </w:comment>
  <w:comment w:id="50" w:author="Klose, Mark Walter" w:date="2023-08-11T15:15:00Z" w:initials="KMW">
    <w:p w14:paraId="32F55385" w14:textId="2242AF7A" w:rsidR="001602F5" w:rsidRDefault="001602F5" w:rsidP="001117CD">
      <w:r>
        <w:rPr>
          <w:rStyle w:val="CommentReference"/>
        </w:rPr>
        <w:annotationRef/>
      </w:r>
      <w:r>
        <w:rPr>
          <w:sz w:val="20"/>
          <w:szCs w:val="20"/>
        </w:rPr>
        <w:t>Itreate</w:t>
      </w:r>
    </w:p>
  </w:comment>
  <w:comment w:id="53" w:author="Klose, Mark Walter" w:date="2023-08-11T15:18:00Z" w:initials="KMW">
    <w:p w14:paraId="32705980" w14:textId="77777777" w:rsidR="001602F5" w:rsidRDefault="001602F5" w:rsidP="009C2312">
      <w:r>
        <w:rPr>
          <w:rStyle w:val="CommentReference"/>
        </w:rPr>
        <w:annotationRef/>
      </w:r>
      <w:r>
        <w:rPr>
          <w:sz w:val="20"/>
          <w:szCs w:val="20"/>
        </w:rPr>
        <w:t>Need to update table, if not, remove it</w:t>
      </w:r>
    </w:p>
  </w:comment>
  <w:comment w:id="55" w:author="Paul Zivich" w:date="2023-05-29T08:52:00Z" w:initials="PZ">
    <w:p w14:paraId="370D5310" w14:textId="67064D2D" w:rsidR="008D1F43" w:rsidRDefault="008D1F43">
      <w:pPr>
        <w:pStyle w:val="CommentText"/>
      </w:pPr>
      <w:r>
        <w:rPr>
          <w:rStyle w:val="CommentReference"/>
        </w:rPr>
        <w:annotationRef/>
      </w:r>
      <w:r>
        <w:t xml:space="preserve">More than that! </w:t>
      </w:r>
      <w:r w:rsidR="00F435D3">
        <w:t xml:space="preserve">We usually always assume this. </w:t>
      </w:r>
    </w:p>
    <w:p w14:paraId="47F1E398" w14:textId="77777777" w:rsidR="00F435D3" w:rsidRDefault="00F435D3">
      <w:pPr>
        <w:pStyle w:val="CommentText"/>
      </w:pPr>
    </w:p>
    <w:p w14:paraId="3286F39D" w14:textId="41F73459" w:rsidR="00F435D3" w:rsidRDefault="00F435D3">
      <w:pPr>
        <w:pStyle w:val="CommentText"/>
      </w:pPr>
      <w:r>
        <w:t>Maybe replace ‘Purpose’ with some other term. I think you want to describe each mathematically and with words. At least that is my interpretation of what you are trying to do here.</w:t>
      </w:r>
    </w:p>
  </w:comment>
  <w:comment w:id="56" w:author="Klose, Mark Walter" w:date="2023-09-14T14:37:00Z" w:initials="KMW">
    <w:p w14:paraId="3D6F8991" w14:textId="77777777" w:rsidR="00DA649B" w:rsidRDefault="00DA649B" w:rsidP="009018E6">
      <w:r>
        <w:rPr>
          <w:rStyle w:val="CommentReference"/>
        </w:rPr>
        <w:annotationRef/>
      </w:r>
      <w:r>
        <w:rPr>
          <w:sz w:val="20"/>
          <w:szCs w:val="20"/>
        </w:rPr>
        <w:t xml:space="preserve">Currently keeping open: unable to find better reason for why no measurement error is assumed. </w:t>
      </w:r>
    </w:p>
  </w:comment>
  <w:comment w:id="59" w:author="Cole, Stephen R" w:date="2023-05-30T10:11:00Z" w:initials="CSR">
    <w:p w14:paraId="3BBD782C" w14:textId="3B020531" w:rsidR="00D408C9" w:rsidRDefault="00D408C9" w:rsidP="007856CB">
      <w:pPr>
        <w:pStyle w:val="CommentText"/>
      </w:pPr>
      <w:r>
        <w:rPr>
          <w:rStyle w:val="CommentReference"/>
        </w:rPr>
        <w:annotationRef/>
      </w:r>
      <w:r>
        <w:t>I suppose I would add a column on the left that told us what amount of the CDC data was used.</w:t>
      </w:r>
    </w:p>
  </w:comment>
  <w:comment w:id="60" w:author="Klose, Mark" w:date="2023-08-11T14:51:00Z" w:initials="MK">
    <w:p w14:paraId="1C7AAC7E" w14:textId="77777777" w:rsidR="00541DF6" w:rsidRDefault="00541DF6" w:rsidP="000D2FDD">
      <w:r>
        <w:rPr>
          <w:rStyle w:val="CommentReference"/>
        </w:rPr>
        <w:annotationRef/>
      </w:r>
      <w:r>
        <w:rPr>
          <w:sz w:val="20"/>
          <w:szCs w:val="20"/>
        </w:rPr>
        <w:t xml:space="preserve">Added - unsure if “Target Population” and “M=####” is clear enough for what we mean. </w:t>
      </w:r>
    </w:p>
  </w:comment>
  <w:comment w:id="63" w:author="Klose, Mark Walter" w:date="2023-04-26T14:31:00Z" w:initials="KMW">
    <w:p w14:paraId="62690714" w14:textId="4BBEADC6" w:rsidR="00F00565" w:rsidRDefault="00F00565" w:rsidP="00976803">
      <w:r>
        <w:rPr>
          <w:rStyle w:val="CommentReference"/>
        </w:rPr>
        <w:annotationRef/>
      </w:r>
      <w:r>
        <w:rPr>
          <w:sz w:val="20"/>
          <w:szCs w:val="20"/>
        </w:rPr>
        <w:t xml:space="preserve">Will delete as no longer have Delta method. </w:t>
      </w:r>
    </w:p>
  </w:comment>
  <w:comment w:id="65" w:author="Paul Zivich" w:date="2023-05-29T08:56:00Z" w:initials="PZ">
    <w:p w14:paraId="7DBC4881" w14:textId="2DDB759E" w:rsidR="00F435D3" w:rsidRDefault="00F435D3">
      <w:pPr>
        <w:pStyle w:val="CommentText"/>
      </w:pPr>
      <w:r>
        <w:rPr>
          <w:rStyle w:val="CommentReference"/>
        </w:rPr>
        <w:annotationRef/>
      </w:r>
      <w:r>
        <w:t>Might want to clarify that they are independently sampled.</w:t>
      </w:r>
    </w:p>
  </w:comment>
  <w:comment w:id="66" w:author="Paul Zivich" w:date="2023-01-02T08:37:00Z" w:initials="PZ">
    <w:p w14:paraId="18590DDA" w14:textId="596A492E" w:rsidR="008915D6" w:rsidRDefault="008915D6">
      <w:pPr>
        <w:pStyle w:val="CommentText"/>
      </w:pPr>
      <w:r>
        <w:rPr>
          <w:rStyle w:val="CommentReference"/>
        </w:rPr>
        <w:annotationRef/>
      </w:r>
      <w:r>
        <w:t>Add reference</w:t>
      </w:r>
    </w:p>
  </w:comment>
  <w:comment w:id="68" w:author="Paul Zivich" w:date="2023-01-02T08:49:00Z" w:initials="PZ">
    <w:p w14:paraId="4704282B" w14:textId="6F83DB42" w:rsidR="00F31F9E" w:rsidRDefault="00F31F9E">
      <w:pPr>
        <w:pStyle w:val="CommentText"/>
      </w:pPr>
      <w:r>
        <w:rPr>
          <w:rStyle w:val="CommentReference"/>
        </w:rPr>
        <w:annotationRef/>
      </w:r>
      <w:r>
        <w:t>I think this section needs to describe the sandwich variance</w:t>
      </w:r>
    </w:p>
  </w:comment>
  <w:comment w:id="69" w:author="Paul Zivich" w:date="2023-05-29T08:59:00Z" w:initials="PZ">
    <w:p w14:paraId="466E43BF" w14:textId="631A06AE" w:rsidR="00F435D3" w:rsidRDefault="00F435D3">
      <w:pPr>
        <w:pStyle w:val="CommentText"/>
      </w:pPr>
      <w:r>
        <w:rPr>
          <w:rStyle w:val="CommentReference"/>
        </w:rPr>
        <w:annotationRef/>
      </w:r>
      <w:r>
        <w:t xml:space="preserve">Use something besides \theta. Above we use \theta for the parameter of interest, but this is more general. </w:t>
      </w:r>
    </w:p>
  </w:comment>
  <w:comment w:id="70" w:author="Paul Zivich" w:date="2023-05-29T09:03:00Z" w:initials="PZ">
    <w:p w14:paraId="6AC851B8" w14:textId="78328C98" w:rsidR="00A40C78" w:rsidRDefault="00A40C78">
      <w:pPr>
        <w:pStyle w:val="CommentText"/>
      </w:pPr>
      <w:r>
        <w:rPr>
          <w:rStyle w:val="CommentReference"/>
        </w:rPr>
        <w:annotationRef/>
      </w:r>
      <w:r>
        <w:t>Would give subscripts here to clarify which is which</w:t>
      </w:r>
    </w:p>
  </w:comment>
  <w:comment w:id="71" w:author="Klose, Mark Walter" w:date="2023-09-14T14:39:00Z" w:initials="KMW">
    <w:p w14:paraId="3C462886" w14:textId="77777777" w:rsidR="00DA649B" w:rsidRDefault="00DA649B" w:rsidP="007467D8">
      <w:r>
        <w:rPr>
          <w:rStyle w:val="CommentReference"/>
        </w:rPr>
        <w:annotationRef/>
      </w:r>
      <w:r>
        <w:rPr>
          <w:sz w:val="20"/>
          <w:szCs w:val="20"/>
        </w:rPr>
        <w:t xml:space="preserve">Note: DAG removed from final page. Will remove this comment on next draft.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2B39E5B8" w15:done="1"/>
  <w15:commentEx w15:paraId="69B5BE5D" w15:done="1"/>
  <w15:commentEx w15:paraId="14D01DEE" w15:done="1"/>
  <w15:commentEx w15:paraId="29A70538" w15:done="1"/>
  <w15:commentEx w15:paraId="3100778B" w15:done="1"/>
  <w15:commentEx w15:paraId="6A4C6C0B" w15:done="1"/>
  <w15:commentEx w15:paraId="54F53513" w15:paraIdParent="6A4C6C0B" w15:done="1"/>
  <w15:commentEx w15:paraId="770AB685" w15:done="1"/>
  <w15:commentEx w15:paraId="59F5F499" w15:done="1"/>
  <w15:commentEx w15:paraId="21CFEBD8" w15:done="1"/>
  <w15:commentEx w15:paraId="296FB1EA" w15:done="1"/>
  <w15:commentEx w15:paraId="1C326F6B" w15:done="1"/>
  <w15:commentEx w15:paraId="46B5257C" w15:done="1"/>
  <w15:commentEx w15:paraId="05286C59" w15:done="1"/>
  <w15:commentEx w15:paraId="7AD13F5C" w15:paraIdParent="05286C59" w15:done="1"/>
  <w15:commentEx w15:paraId="37EAE6DF" w15:done="1"/>
  <w15:commentEx w15:paraId="7517EE42" w15:done="1"/>
  <w15:commentEx w15:paraId="577BA47C" w15:done="1"/>
  <w15:commentEx w15:paraId="35DBFA27" w15:done="1"/>
  <w15:commentEx w15:paraId="03F08E72" w15:done="1"/>
  <w15:commentEx w15:paraId="3E956961" w15:paraIdParent="03F08E72" w15:done="1"/>
  <w15:commentEx w15:paraId="04F89066" w15:paraIdParent="03F08E72" w15:done="1"/>
  <w15:commentEx w15:paraId="48C683AF" w15:done="1"/>
  <w15:commentEx w15:paraId="500A8C37" w15:done="1"/>
  <w15:commentEx w15:paraId="2C8D5B22" w15:paraIdParent="500A8C37" w15:done="1"/>
  <w15:commentEx w15:paraId="27D8FAF5" w15:done="1"/>
  <w15:commentEx w15:paraId="475109C5" w15:done="1"/>
  <w15:commentEx w15:paraId="4CB8D7AC" w15:done="1"/>
  <w15:commentEx w15:paraId="107838D2" w15:done="1"/>
  <w15:commentEx w15:paraId="721E9C16" w15:paraIdParent="107838D2" w15:done="1"/>
  <w15:commentEx w15:paraId="32F55385" w15:done="1"/>
  <w15:commentEx w15:paraId="32705980" w15:done="1"/>
  <w15:commentEx w15:paraId="3286F39D" w15:done="0"/>
  <w15:commentEx w15:paraId="3D6F8991" w15:paraIdParent="3286F39D" w15:done="0"/>
  <w15:commentEx w15:paraId="3BBD782C" w15:done="1"/>
  <w15:commentEx w15:paraId="1C7AAC7E" w15:paraIdParent="3BBD782C" w15:done="1"/>
  <w15:commentEx w15:paraId="62690714" w15:done="1"/>
  <w15:commentEx w15:paraId="7DBC4881" w15:done="1"/>
  <w15:commentEx w15:paraId="18590DDA" w15:done="1"/>
  <w15:commentEx w15:paraId="4704282B" w15:done="1"/>
  <w15:commentEx w15:paraId="466E43BF" w15:done="1"/>
  <w15:commentEx w15:paraId="6AC851B8" w15:done="1"/>
  <w15:commentEx w15:paraId="3C462886"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7E15726" w16cex:dateUtc="2023-04-12T20:13:00Z"/>
  <w16cex:commentExtensible w16cex:durableId="282045B8" w16cex:dateUtc="2023-05-30T13:51:00Z"/>
  <w16cex:commentExtensible w16cex:durableId="28860FFA" w16cex:dateUtc="2023-08-15T18:53:00Z"/>
  <w16cex:commentExtensible w16cex:durableId="28860D79" w16cex:dateUtc="2023-08-15T18:35:00Z"/>
  <w16cex:commentExtensible w16cex:durableId="1D2C0D8F" w16cex:dateUtc="2023-09-08T11:28:00Z"/>
  <w16cex:commentExtensible w16cex:durableId="27921CCD" w16cex:dateUtc="2023-02-11T18:55:00Z"/>
  <w16cex:commentExtensible w16cex:durableId="27C6C8CF" w16cex:dateUtc="2023-03-23T16:47:00Z"/>
  <w16cex:commentExtensible w16cex:durableId="281EE331" w16cex:dateUtc="2023-05-29T12:39:00Z"/>
  <w16cex:commentExtensible w16cex:durableId="281EE3C5" w16cex:dateUtc="2023-05-29T12:41:00Z"/>
  <w16cex:commentExtensible w16cex:durableId="281EE36B" w16cex:dateUtc="2023-05-29T12:40:00Z"/>
  <w16cex:commentExtensible w16cex:durableId="278E0650" w16cex:dateUtc="2023-02-08T16:30:00Z"/>
  <w16cex:commentExtensible w16cex:durableId="279221A7" w16cex:dateUtc="2023-02-11T19:16:00Z"/>
  <w16cex:commentExtensible w16cex:durableId="27E1542A" w16cex:dateUtc="2023-04-12T20:00:00Z"/>
  <w16cex:commentExtensible w16cex:durableId="27860086" w16cex:dateUtc="2022-12-02T14:06:00Z"/>
  <w16cex:commentExtensible w16cex:durableId="27860085" w16cex:dateUtc="2022-12-05T14:19:00Z"/>
  <w16cex:commentExtensible w16cex:durableId="281EE4CD" w16cex:dateUtc="2023-05-29T12:46:00Z"/>
  <w16cex:commentExtensible w16cex:durableId="281EE566" w16cex:dateUtc="2023-04-17T15:50:00Z"/>
  <w16cex:commentExtensible w16cex:durableId="2880CA7C" w16cex:dateUtc="2023-08-11T18:55:00Z"/>
  <w16cex:commentExtensible w16cex:durableId="278E0C57" w16cex:dateUtc="2023-02-08T16:56:00Z"/>
  <w16cex:commentExtensible w16cex:durableId="2739D0AF" w16cex:dateUtc="2022-11-10T00:40:00Z"/>
  <w16cex:commentExtensible w16cex:durableId="2739D0AE" w16cex:dateUtc="2022-11-10T13:37:00Z"/>
  <w16cex:commentExtensible w16cex:durableId="27383700" w16cex:dateUtc="2022-12-05T14:23:00Z"/>
  <w16cex:commentExtensible w16cex:durableId="2738387D" w16cex:dateUtc="2022-12-05T14:29:00Z"/>
  <w16cex:commentExtensible w16cex:durableId="282047E6" w16cex:dateUtc="2023-05-30T14:01:00Z"/>
  <w16cex:commentExtensible w16cex:durableId="28861E44" w16cex:dateUtc="2023-08-15T19:54:00Z"/>
  <w16cex:commentExtensible w16cex:durableId="41644610" w16cex:dateUtc="2023-09-08T14:49:00Z"/>
  <w16cex:commentExtensible w16cex:durableId="27E7B2E9" w16cex:dateUtc="2023-04-17T15:58:00Z"/>
  <w16cex:commentExtensible w16cex:durableId="27E1569C" w16cex:dateUtc="2023-04-12T20:11:00Z"/>
  <w16cex:commentExtensible w16cex:durableId="28204866" w16cex:dateUtc="2023-05-30T14:03:00Z"/>
  <w16cex:commentExtensible w16cex:durableId="2880CF5D" w16cex:dateUtc="2023-08-11T19:16:00Z"/>
  <w16cex:commentExtensible w16cex:durableId="2880CF03" w16cex:dateUtc="2023-08-11T19:15:00Z"/>
  <w16cex:commentExtensible w16cex:durableId="2880CFC9" w16cex:dateUtc="2023-08-11T19:18:00Z"/>
  <w16cex:commentExtensible w16cex:durableId="281EE632" w16cex:dateUtc="2023-05-29T12:52:00Z"/>
  <w16cex:commentExtensible w16cex:durableId="22BA481F" w16cex:dateUtc="2023-09-14T18:37:00Z"/>
  <w16cex:commentExtensible w16cex:durableId="28204A40" w16cex:dateUtc="2023-05-30T14:11:00Z"/>
  <w16cex:commentExtensible w16cex:durableId="2880C98D" w16cex:dateUtc="2023-08-11T18:51:00Z"/>
  <w16cex:commentExtensible w16cex:durableId="27F3B451" w16cex:dateUtc="2023-04-26T18:31:00Z"/>
  <w16cex:commentExtensible w16cex:durableId="281EE732" w16cex:dateUtc="2023-05-29T12:56:00Z"/>
  <w16cex:commentExtensible w16cex:durableId="275D163E" w16cex:dateUtc="2023-01-02T13:37:00Z"/>
  <w16cex:commentExtensible w16cex:durableId="275D192B" w16cex:dateUtc="2023-01-02T13:49:00Z"/>
  <w16cex:commentExtensible w16cex:durableId="281EE80C" w16cex:dateUtc="2023-05-29T12:59:00Z"/>
  <w16cex:commentExtensible w16cex:durableId="281EE8CB" w16cex:dateUtc="2023-05-29T13:03:00Z"/>
  <w16cex:commentExtensible w16cex:durableId="0A9B4125" w16cex:dateUtc="2023-09-14T18:39: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2B39E5B8" w16cid:durableId="27E15726"/>
  <w16cid:commentId w16cid:paraId="69B5BE5D" w16cid:durableId="282045B8"/>
  <w16cid:commentId w16cid:paraId="14D01DEE" w16cid:durableId="28860FFA"/>
  <w16cid:commentId w16cid:paraId="29A70538" w16cid:durableId="28860D79"/>
  <w16cid:commentId w16cid:paraId="3100778B" w16cid:durableId="1D2C0D8F"/>
  <w16cid:commentId w16cid:paraId="6A4C6C0B" w16cid:durableId="27921CCD"/>
  <w16cid:commentId w16cid:paraId="54F53513" w16cid:durableId="27C6C8CF"/>
  <w16cid:commentId w16cid:paraId="770AB685" w16cid:durableId="281EE331"/>
  <w16cid:commentId w16cid:paraId="59F5F499" w16cid:durableId="281EE3C5"/>
  <w16cid:commentId w16cid:paraId="21CFEBD8" w16cid:durableId="281EE36B"/>
  <w16cid:commentId w16cid:paraId="296FB1EA" w16cid:durableId="278E0650"/>
  <w16cid:commentId w16cid:paraId="1C326F6B" w16cid:durableId="279221A7"/>
  <w16cid:commentId w16cid:paraId="46B5257C" w16cid:durableId="27E1542A"/>
  <w16cid:commentId w16cid:paraId="05286C59" w16cid:durableId="27860086"/>
  <w16cid:commentId w16cid:paraId="7AD13F5C" w16cid:durableId="27860085"/>
  <w16cid:commentId w16cid:paraId="37EAE6DF" w16cid:durableId="281EE4CD"/>
  <w16cid:commentId w16cid:paraId="7517EE42" w16cid:durableId="281EE566"/>
  <w16cid:commentId w16cid:paraId="577BA47C" w16cid:durableId="2880CA7C"/>
  <w16cid:commentId w16cid:paraId="35DBFA27" w16cid:durableId="278E0C57"/>
  <w16cid:commentId w16cid:paraId="03F08E72" w16cid:durableId="2739D0AF"/>
  <w16cid:commentId w16cid:paraId="3E956961" w16cid:durableId="2739D0AE"/>
  <w16cid:commentId w16cid:paraId="04F89066" w16cid:durableId="27383700"/>
  <w16cid:commentId w16cid:paraId="48C683AF" w16cid:durableId="2738387D"/>
  <w16cid:commentId w16cid:paraId="500A8C37" w16cid:durableId="282047E6"/>
  <w16cid:commentId w16cid:paraId="2C8D5B22" w16cid:durableId="28861E44"/>
  <w16cid:commentId w16cid:paraId="27D8FAF5" w16cid:durableId="41644610"/>
  <w16cid:commentId w16cid:paraId="475109C5" w16cid:durableId="27E7B2E9"/>
  <w16cid:commentId w16cid:paraId="4CB8D7AC" w16cid:durableId="27E1569C"/>
  <w16cid:commentId w16cid:paraId="107838D2" w16cid:durableId="28204866"/>
  <w16cid:commentId w16cid:paraId="721E9C16" w16cid:durableId="2880CF5D"/>
  <w16cid:commentId w16cid:paraId="32F55385" w16cid:durableId="2880CF03"/>
  <w16cid:commentId w16cid:paraId="32705980" w16cid:durableId="2880CFC9"/>
  <w16cid:commentId w16cid:paraId="3286F39D" w16cid:durableId="281EE632"/>
  <w16cid:commentId w16cid:paraId="3D6F8991" w16cid:durableId="22BA481F"/>
  <w16cid:commentId w16cid:paraId="3BBD782C" w16cid:durableId="28204A40"/>
  <w16cid:commentId w16cid:paraId="1C7AAC7E" w16cid:durableId="2880C98D"/>
  <w16cid:commentId w16cid:paraId="62690714" w16cid:durableId="27F3B451"/>
  <w16cid:commentId w16cid:paraId="7DBC4881" w16cid:durableId="281EE732"/>
  <w16cid:commentId w16cid:paraId="18590DDA" w16cid:durableId="275D163E"/>
  <w16cid:commentId w16cid:paraId="4704282B" w16cid:durableId="275D192B"/>
  <w16cid:commentId w16cid:paraId="466E43BF" w16cid:durableId="281EE80C"/>
  <w16cid:commentId w16cid:paraId="6AC851B8" w16cid:durableId="281EE8CB"/>
  <w16cid:commentId w16cid:paraId="3C462886" w16cid:durableId="0A9B412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194BA1E" w14:textId="77777777" w:rsidR="0029645F" w:rsidRDefault="0029645F">
      <w:pPr>
        <w:spacing w:after="0"/>
      </w:pPr>
      <w:r>
        <w:separator/>
      </w:r>
    </w:p>
  </w:endnote>
  <w:endnote w:type="continuationSeparator" w:id="0">
    <w:p w14:paraId="149586B9" w14:textId="77777777" w:rsidR="0029645F" w:rsidRDefault="0029645F">
      <w:pPr>
        <w:spacing w:after="0"/>
      </w:pPr>
      <w:r>
        <w:continuationSeparator/>
      </w:r>
    </w:p>
  </w:endnote>
  <w:endnote w:type="continuationNotice" w:id="1">
    <w:p w14:paraId="01FB9FB1" w14:textId="77777777" w:rsidR="0029645F" w:rsidRDefault="0029645F">
      <w:pPr>
        <w:spacing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Headings)">
    <w:altName w:val="Calibri"/>
    <w:panose1 w:val="020B0604020202020204"/>
    <w:charset w:val="00"/>
    <w:family w:val="roman"/>
    <w:pitch w:val="default"/>
  </w:font>
  <w:font w:name="Consolas">
    <w:panose1 w:val="020B0609020204030204"/>
    <w:charset w:val="00"/>
    <w:family w:val="modern"/>
    <w:pitch w:val="fixed"/>
    <w:sig w:usb0="E10006FF" w:usb1="4000FCFF" w:usb2="00000009"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4FB186" w14:textId="77777777" w:rsidR="0058695C" w:rsidRDefault="00000000" w:rsidP="00BE31DF">
    <w:pPr>
      <w:pStyle w:val="Footer"/>
      <w:jc w:val="right"/>
    </w:pPr>
    <w:r>
      <w:t>Attributable Fractions</w:t>
    </w:r>
    <w:r>
      <w:tab/>
    </w:r>
    <w:r>
      <w:tab/>
    </w:r>
    <w:sdt>
      <w:sdtPr>
        <w:id w:val="-1433429496"/>
        <w:docPartObj>
          <w:docPartGallery w:val="Page Numbers (Bottom of Page)"/>
          <w:docPartUnique/>
        </w:docPartObj>
      </w:sdtPr>
      <w:sdtEndPr>
        <w:rPr>
          <w:noProof/>
        </w:rPr>
      </w:sdtEndPr>
      <w:sdtContent>
        <w:r>
          <w:fldChar w:fldCharType="begin"/>
        </w:r>
        <w:r>
          <w:instrText xml:space="preserve"> PAGE   \* MERGEFORMAT </w:instrText>
        </w:r>
        <w:r>
          <w:fldChar w:fldCharType="separate"/>
        </w:r>
        <w:r>
          <w:rPr>
            <w:noProof/>
          </w:rPr>
          <w:t>2</w:t>
        </w:r>
        <w:r>
          <w:rPr>
            <w:noProof/>
          </w:rPr>
          <w:fldChar w:fldCharType="end"/>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912CB54" w14:textId="77777777" w:rsidR="0029645F" w:rsidRDefault="0029645F">
      <w:r>
        <w:separator/>
      </w:r>
    </w:p>
  </w:footnote>
  <w:footnote w:type="continuationSeparator" w:id="0">
    <w:p w14:paraId="0FEE9858" w14:textId="77777777" w:rsidR="0029645F" w:rsidRDefault="0029645F">
      <w:r>
        <w:continuationSeparator/>
      </w:r>
    </w:p>
  </w:footnote>
  <w:footnote w:type="continuationNotice" w:id="1">
    <w:p w14:paraId="5CF28881" w14:textId="77777777" w:rsidR="0029645F" w:rsidRDefault="0029645F">
      <w:pPr>
        <w:spacing w:after="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3F003E" w14:textId="77777777" w:rsidR="0016231E" w:rsidRDefault="0016231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33E50B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BC4663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E9A8EB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44DE640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10B4430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BD4ED1F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7038813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4A62261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B9A8694"/>
    <w:lvl w:ilvl="0">
      <w:start w:val="1"/>
      <w:numFmt w:val="decimal"/>
      <w:lvlText w:val="%1."/>
      <w:lvlJc w:val="left"/>
      <w:pPr>
        <w:tabs>
          <w:tab w:val="num" w:pos="360"/>
        </w:tabs>
        <w:ind w:left="360" w:hanging="360"/>
      </w:pPr>
    </w:lvl>
  </w:abstractNum>
  <w:abstractNum w:abstractNumId="9" w15:restartNumberingAfterBreak="0">
    <w:nsid w:val="0000A991"/>
    <w:multiLevelType w:val="multilevel"/>
    <w:tmpl w:val="50484C8A"/>
    <w:lvl w:ilvl="0">
      <w:numFmt w:val="bullet"/>
      <w:pStyle w:val="ListBullet"/>
      <w:lvlText w:val="•"/>
      <w:lvlJc w:val="left"/>
      <w:pPr>
        <w:ind w:left="720" w:hanging="480"/>
      </w:pPr>
    </w:lvl>
    <w:lvl w:ilvl="1">
      <w:numFmt w:val="bullet"/>
      <w:lvlText w:val="–"/>
      <w:lvlJc w:val="left"/>
      <w:pPr>
        <w:ind w:left="1440" w:hanging="480"/>
      </w:pPr>
    </w:lvl>
    <w:lvl w:ilvl="2">
      <w:numFmt w:val="bullet"/>
      <w:lvlText w:val="•"/>
      <w:lvlJc w:val="left"/>
      <w:pPr>
        <w:ind w:left="2160" w:hanging="480"/>
      </w:pPr>
    </w:lvl>
    <w:lvl w:ilvl="3">
      <w:numFmt w:val="bullet"/>
      <w:lvlText w:val="–"/>
      <w:lvlJc w:val="left"/>
      <w:pPr>
        <w:ind w:left="2880" w:hanging="480"/>
      </w:pPr>
    </w:lvl>
    <w:lvl w:ilvl="4">
      <w:numFmt w:val="bullet"/>
      <w:lvlText w:val="•"/>
      <w:lvlJc w:val="left"/>
      <w:pPr>
        <w:ind w:left="3600" w:hanging="480"/>
      </w:pPr>
    </w:lvl>
    <w:lvl w:ilvl="5">
      <w:numFmt w:val="bullet"/>
      <w:lvlText w:val="–"/>
      <w:lvlJc w:val="left"/>
      <w:pPr>
        <w:ind w:left="4320" w:hanging="480"/>
      </w:pPr>
    </w:lvl>
    <w:lvl w:ilvl="6">
      <w:numFmt w:val="bullet"/>
      <w:lvlText w:val="•"/>
      <w:lvlJc w:val="left"/>
      <w:pPr>
        <w:ind w:left="5040" w:hanging="480"/>
      </w:pPr>
    </w:lvl>
    <w:lvl w:ilvl="7">
      <w:numFmt w:val="bullet"/>
      <w:lvlText w:val="–"/>
      <w:lvlJc w:val="left"/>
      <w:pPr>
        <w:ind w:left="5760" w:hanging="480"/>
      </w:pPr>
    </w:lvl>
    <w:lvl w:ilvl="8">
      <w:numFmt w:val="bullet"/>
      <w:lvlText w:val="•"/>
      <w:lvlJc w:val="left"/>
      <w:pPr>
        <w:ind w:left="6480" w:hanging="480"/>
      </w:pPr>
    </w:lvl>
  </w:abstractNum>
  <w:abstractNum w:abstractNumId="10" w15:restartNumberingAfterBreak="0">
    <w:nsid w:val="10B6396E"/>
    <w:multiLevelType w:val="hybridMultilevel"/>
    <w:tmpl w:val="DB747F2C"/>
    <w:lvl w:ilvl="0" w:tplc="0F28E86A">
      <w:start w:val="1"/>
      <w:numFmt w:val="bullet"/>
      <w:lvlText w:val="-"/>
      <w:lvlJc w:val="left"/>
      <w:pPr>
        <w:ind w:left="720" w:hanging="360"/>
      </w:pPr>
      <w:rPr>
        <w:rFonts w:ascii="Calibri" w:eastAsiaTheme="minorHAnsi" w:hAnsi="Calibri" w:cs="Calibri"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42464A1"/>
    <w:multiLevelType w:val="multilevel"/>
    <w:tmpl w:val="04090023"/>
    <w:styleLink w:val="CurrentList1"/>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2" w15:restartNumberingAfterBreak="0">
    <w:nsid w:val="148C7494"/>
    <w:multiLevelType w:val="hybridMultilevel"/>
    <w:tmpl w:val="105CD952"/>
    <w:lvl w:ilvl="0" w:tplc="42F8AD62">
      <w:start w:val="5"/>
      <w:numFmt w:val="bullet"/>
      <w:lvlText w:val="-"/>
      <w:lvlJc w:val="left"/>
      <w:pPr>
        <w:ind w:left="720" w:hanging="360"/>
      </w:pPr>
      <w:rPr>
        <w:rFonts w:ascii="Cambria" w:eastAsiaTheme="minorHAnsi" w:hAnsi="Cambria"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F791730"/>
    <w:multiLevelType w:val="hybridMultilevel"/>
    <w:tmpl w:val="42702C9E"/>
    <w:lvl w:ilvl="0" w:tplc="478AF2E8">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0D2435A"/>
    <w:multiLevelType w:val="multilevel"/>
    <w:tmpl w:val="0409001D"/>
    <w:styleLink w:val="CurrentList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20F6426E"/>
    <w:multiLevelType w:val="hybridMultilevel"/>
    <w:tmpl w:val="547EE262"/>
    <w:lvl w:ilvl="0" w:tplc="B9F80260">
      <w:start w:val="4"/>
      <w:numFmt w:val="bullet"/>
      <w:lvlText w:val="-"/>
      <w:lvlJc w:val="left"/>
      <w:pPr>
        <w:ind w:left="1080" w:hanging="360"/>
      </w:pPr>
      <w:rPr>
        <w:rFonts w:ascii="Calibri" w:eastAsiaTheme="minorHAnsi" w:hAnsi="Calibri" w:cs="Calibri"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6" w15:restartNumberingAfterBreak="0">
    <w:nsid w:val="239F51AF"/>
    <w:multiLevelType w:val="hybridMultilevel"/>
    <w:tmpl w:val="38F6A504"/>
    <w:lvl w:ilvl="0" w:tplc="7D92D836">
      <w:numFmt w:val="bullet"/>
      <w:lvlText w:val="-"/>
      <w:lvlJc w:val="left"/>
      <w:pPr>
        <w:ind w:left="720" w:hanging="360"/>
      </w:pPr>
      <w:rPr>
        <w:rFonts w:ascii="Cambria" w:eastAsiaTheme="minorHAnsi" w:hAnsi="Cambria" w:cstheme="minorBidi"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5D21EA3"/>
    <w:multiLevelType w:val="hybridMultilevel"/>
    <w:tmpl w:val="92E0310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30241CAC"/>
    <w:multiLevelType w:val="hybridMultilevel"/>
    <w:tmpl w:val="EBC81532"/>
    <w:lvl w:ilvl="0" w:tplc="110AF3FE">
      <w:numFmt w:val="bullet"/>
      <w:lvlText w:val="-"/>
      <w:lvlJc w:val="left"/>
      <w:pPr>
        <w:ind w:left="1080" w:hanging="360"/>
      </w:pPr>
      <w:rPr>
        <w:rFonts w:ascii="Calibri" w:eastAsiaTheme="minorHAnsi" w:hAnsi="Calibri" w:cs="Calibri"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9" w15:restartNumberingAfterBreak="0">
    <w:nsid w:val="3DD96636"/>
    <w:multiLevelType w:val="multilevel"/>
    <w:tmpl w:val="0409001D"/>
    <w:styleLink w:val="CurrentList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479569A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4F7F775F"/>
    <w:multiLevelType w:val="hybridMultilevel"/>
    <w:tmpl w:val="8F645498"/>
    <w:lvl w:ilvl="0" w:tplc="A1FA7186">
      <w:start w:val="1"/>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550E3839"/>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pStyle w:val="Heading6"/>
      <w:lvlText w:val="%6)"/>
      <w:lvlJc w:val="left"/>
      <w:pPr>
        <w:ind w:left="1152" w:hanging="432"/>
      </w:pPr>
    </w:lvl>
    <w:lvl w:ilvl="6">
      <w:start w:val="1"/>
      <w:numFmt w:val="lowerRoman"/>
      <w:pStyle w:val="Heading7"/>
      <w:lvlText w:val="%7)"/>
      <w:lvlJc w:val="right"/>
      <w:pPr>
        <w:ind w:left="1296" w:hanging="288"/>
      </w:pPr>
    </w:lvl>
    <w:lvl w:ilvl="7">
      <w:start w:val="1"/>
      <w:numFmt w:val="lowerLetter"/>
      <w:pStyle w:val="Heading8"/>
      <w:lvlText w:val="%8."/>
      <w:lvlJc w:val="left"/>
      <w:pPr>
        <w:ind w:left="1440" w:hanging="432"/>
      </w:pPr>
    </w:lvl>
    <w:lvl w:ilvl="8">
      <w:start w:val="1"/>
      <w:numFmt w:val="lowerRoman"/>
      <w:pStyle w:val="Heading9"/>
      <w:lvlText w:val="%9."/>
      <w:lvlJc w:val="right"/>
      <w:pPr>
        <w:ind w:left="1584" w:hanging="144"/>
      </w:pPr>
    </w:lvl>
  </w:abstractNum>
  <w:abstractNum w:abstractNumId="23" w15:restartNumberingAfterBreak="0">
    <w:nsid w:val="77D92344"/>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7FCC009A"/>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16cid:durableId="1954172280">
    <w:abstractNumId w:val="9"/>
  </w:num>
  <w:num w:numId="2" w16cid:durableId="1255625184">
    <w:abstractNumId w:val="9"/>
  </w:num>
  <w:num w:numId="3" w16cid:durableId="886913161">
    <w:abstractNumId w:val="9"/>
  </w:num>
  <w:num w:numId="4" w16cid:durableId="233588566">
    <w:abstractNumId w:val="9"/>
  </w:num>
  <w:num w:numId="5" w16cid:durableId="2065713000">
    <w:abstractNumId w:val="9"/>
  </w:num>
  <w:num w:numId="6" w16cid:durableId="226572753">
    <w:abstractNumId w:val="9"/>
  </w:num>
  <w:num w:numId="7" w16cid:durableId="827984131">
    <w:abstractNumId w:val="9"/>
  </w:num>
  <w:num w:numId="8" w16cid:durableId="798299963">
    <w:abstractNumId w:val="9"/>
  </w:num>
  <w:num w:numId="9" w16cid:durableId="1706055828">
    <w:abstractNumId w:val="9"/>
  </w:num>
  <w:num w:numId="10" w16cid:durableId="1187403956">
    <w:abstractNumId w:val="9"/>
  </w:num>
  <w:num w:numId="11" w16cid:durableId="1174223248">
    <w:abstractNumId w:val="9"/>
  </w:num>
  <w:num w:numId="12" w16cid:durableId="876966452">
    <w:abstractNumId w:val="9"/>
  </w:num>
  <w:num w:numId="13" w16cid:durableId="93985004">
    <w:abstractNumId w:val="15"/>
  </w:num>
  <w:num w:numId="14" w16cid:durableId="1948997655">
    <w:abstractNumId w:val="0"/>
  </w:num>
  <w:num w:numId="15" w16cid:durableId="1973048502">
    <w:abstractNumId w:val="1"/>
  </w:num>
  <w:num w:numId="16" w16cid:durableId="107969401">
    <w:abstractNumId w:val="2"/>
  </w:num>
  <w:num w:numId="17" w16cid:durableId="598104962">
    <w:abstractNumId w:val="3"/>
  </w:num>
  <w:num w:numId="18" w16cid:durableId="677775681">
    <w:abstractNumId w:val="8"/>
  </w:num>
  <w:num w:numId="19" w16cid:durableId="950941808">
    <w:abstractNumId w:val="4"/>
  </w:num>
  <w:num w:numId="20" w16cid:durableId="1344553530">
    <w:abstractNumId w:val="5"/>
  </w:num>
  <w:num w:numId="21" w16cid:durableId="1648820628">
    <w:abstractNumId w:val="6"/>
  </w:num>
  <w:num w:numId="22" w16cid:durableId="1605959781">
    <w:abstractNumId w:val="7"/>
  </w:num>
  <w:num w:numId="23" w16cid:durableId="568540624">
    <w:abstractNumId w:val="13"/>
  </w:num>
  <w:num w:numId="24" w16cid:durableId="690495559">
    <w:abstractNumId w:val="10"/>
  </w:num>
  <w:num w:numId="25" w16cid:durableId="1343825925">
    <w:abstractNumId w:val="18"/>
  </w:num>
  <w:num w:numId="26" w16cid:durableId="110788234">
    <w:abstractNumId w:val="17"/>
  </w:num>
  <w:num w:numId="27" w16cid:durableId="682166387">
    <w:abstractNumId w:val="21"/>
  </w:num>
  <w:num w:numId="28" w16cid:durableId="1077285082">
    <w:abstractNumId w:val="16"/>
  </w:num>
  <w:num w:numId="29" w16cid:durableId="1043869445">
    <w:abstractNumId w:val="12"/>
  </w:num>
  <w:num w:numId="30" w16cid:durableId="708262028">
    <w:abstractNumId w:val="23"/>
  </w:num>
  <w:num w:numId="31" w16cid:durableId="1964648894">
    <w:abstractNumId w:val="20"/>
  </w:num>
  <w:num w:numId="32" w16cid:durableId="520707037">
    <w:abstractNumId w:val="24"/>
  </w:num>
  <w:num w:numId="33" w16cid:durableId="2019774061">
    <w:abstractNumId w:val="22"/>
  </w:num>
  <w:num w:numId="34" w16cid:durableId="644817929">
    <w:abstractNumId w:val="7"/>
  </w:num>
  <w:num w:numId="35" w16cid:durableId="160312547">
    <w:abstractNumId w:val="6"/>
  </w:num>
  <w:num w:numId="36" w16cid:durableId="60953659">
    <w:abstractNumId w:val="5"/>
  </w:num>
  <w:num w:numId="37" w16cid:durableId="71053688">
    <w:abstractNumId w:val="4"/>
  </w:num>
  <w:num w:numId="38" w16cid:durableId="543251097">
    <w:abstractNumId w:val="8"/>
  </w:num>
  <w:num w:numId="39" w16cid:durableId="108859473">
    <w:abstractNumId w:val="3"/>
  </w:num>
  <w:num w:numId="40" w16cid:durableId="553078490">
    <w:abstractNumId w:val="2"/>
  </w:num>
  <w:num w:numId="41" w16cid:durableId="472676488">
    <w:abstractNumId w:val="1"/>
  </w:num>
  <w:num w:numId="42" w16cid:durableId="2091846681">
    <w:abstractNumId w:val="0"/>
  </w:num>
  <w:num w:numId="43" w16cid:durableId="1271086576">
    <w:abstractNumId w:val="11"/>
  </w:num>
  <w:num w:numId="44" w16cid:durableId="1237401591">
    <w:abstractNumId w:val="14"/>
  </w:num>
  <w:num w:numId="45" w16cid:durableId="1104954440">
    <w:abstractNumId w:val="19"/>
  </w:num>
  <w:numIdMacAtCleanup w:val="12"/>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Klose, Mark Walter">
    <w15:presenceInfo w15:providerId="AD" w15:userId="S::mwklose@ad.unc.edu::0c8510bb-da42-474c-806e-0f99a27a0988"/>
  </w15:person>
  <w15:person w15:author="Cole, Stephen R">
    <w15:presenceInfo w15:providerId="AD" w15:userId="S::colesr@ad.unc.edu::b9222123-48da-48c9-8b84-fdbe81760455"/>
  </w15:person>
  <w15:person w15:author="Klose, Mark">
    <w15:presenceInfo w15:providerId="AD" w15:userId="S::mwklose@ad.unc.edu::0c8510bb-da42-474c-806e-0f99a27a0988"/>
  </w15:person>
  <w15:person w15:author="Paul Zivich">
    <w15:presenceInfo w15:providerId="Windows Live" w15:userId="7b1f61697848ecff"/>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embedSystemFonts/>
  <w:activeWritingStyle w:appName="MSWord" w:lang="en-US" w:vendorID="64" w:dllVersion="0" w:nlCheck="1" w:checkStyle="0"/>
  <w:proofState w:spelling="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NotTrackMoves/>
  <w:defaultTabStop w:val="720"/>
  <w:drawingGridHorizontalSpacing w:val="360"/>
  <w:drawingGridVerticalSpacing w:val="360"/>
  <w:displayHorizontalDrawingGridEvery w:val="0"/>
  <w:displayVerticalDrawingGridEvery w:val="0"/>
  <w:doNotShadeFormData/>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7401"/>
    <w:rsid w:val="00017471"/>
    <w:rsid w:val="00017779"/>
    <w:rsid w:val="000209B7"/>
    <w:rsid w:val="0002396C"/>
    <w:rsid w:val="00026E30"/>
    <w:rsid w:val="00032392"/>
    <w:rsid w:val="000328B4"/>
    <w:rsid w:val="000435F8"/>
    <w:rsid w:val="00050CE9"/>
    <w:rsid w:val="00060EA3"/>
    <w:rsid w:val="000725F3"/>
    <w:rsid w:val="00076278"/>
    <w:rsid w:val="0007650D"/>
    <w:rsid w:val="000925E1"/>
    <w:rsid w:val="0009454C"/>
    <w:rsid w:val="000A0B4A"/>
    <w:rsid w:val="000A278D"/>
    <w:rsid w:val="000B0F5A"/>
    <w:rsid w:val="000B2246"/>
    <w:rsid w:val="000B6F86"/>
    <w:rsid w:val="000B75F7"/>
    <w:rsid w:val="000C5025"/>
    <w:rsid w:val="000E0E9E"/>
    <w:rsid w:val="000E63A2"/>
    <w:rsid w:val="000F2D3F"/>
    <w:rsid w:val="000F6438"/>
    <w:rsid w:val="00101077"/>
    <w:rsid w:val="001049C2"/>
    <w:rsid w:val="00106E0E"/>
    <w:rsid w:val="00115B2A"/>
    <w:rsid w:val="00123FE9"/>
    <w:rsid w:val="0012583C"/>
    <w:rsid w:val="001301E1"/>
    <w:rsid w:val="0013263D"/>
    <w:rsid w:val="00134E3A"/>
    <w:rsid w:val="00136D74"/>
    <w:rsid w:val="00141037"/>
    <w:rsid w:val="001425BF"/>
    <w:rsid w:val="00147EEC"/>
    <w:rsid w:val="001602F5"/>
    <w:rsid w:val="0016231E"/>
    <w:rsid w:val="00164FEA"/>
    <w:rsid w:val="00167F3C"/>
    <w:rsid w:val="0017186D"/>
    <w:rsid w:val="001775D1"/>
    <w:rsid w:val="00177C48"/>
    <w:rsid w:val="00183269"/>
    <w:rsid w:val="00185207"/>
    <w:rsid w:val="00185C3E"/>
    <w:rsid w:val="001867DA"/>
    <w:rsid w:val="001958CE"/>
    <w:rsid w:val="00197C0E"/>
    <w:rsid w:val="001A0704"/>
    <w:rsid w:val="001A2FAC"/>
    <w:rsid w:val="001B4B6E"/>
    <w:rsid w:val="001B5563"/>
    <w:rsid w:val="001B7022"/>
    <w:rsid w:val="001C2037"/>
    <w:rsid w:val="001D0038"/>
    <w:rsid w:val="001D1E74"/>
    <w:rsid w:val="001E08D4"/>
    <w:rsid w:val="001F59CE"/>
    <w:rsid w:val="00202A61"/>
    <w:rsid w:val="00202F37"/>
    <w:rsid w:val="0020351F"/>
    <w:rsid w:val="00203DD6"/>
    <w:rsid w:val="00222E23"/>
    <w:rsid w:val="00227BD0"/>
    <w:rsid w:val="00233446"/>
    <w:rsid w:val="00240557"/>
    <w:rsid w:val="00241938"/>
    <w:rsid w:val="0024488C"/>
    <w:rsid w:val="00253212"/>
    <w:rsid w:val="0025674D"/>
    <w:rsid w:val="002649D9"/>
    <w:rsid w:val="00272269"/>
    <w:rsid w:val="002763E2"/>
    <w:rsid w:val="002778EE"/>
    <w:rsid w:val="00277AF9"/>
    <w:rsid w:val="002854E5"/>
    <w:rsid w:val="0029541F"/>
    <w:rsid w:val="0029645F"/>
    <w:rsid w:val="00297768"/>
    <w:rsid w:val="002A2753"/>
    <w:rsid w:val="002B59EB"/>
    <w:rsid w:val="002C25D1"/>
    <w:rsid w:val="002D0535"/>
    <w:rsid w:val="002D11D5"/>
    <w:rsid w:val="002D4E72"/>
    <w:rsid w:val="002F73FF"/>
    <w:rsid w:val="0030059C"/>
    <w:rsid w:val="00304496"/>
    <w:rsid w:val="00306F10"/>
    <w:rsid w:val="003156E3"/>
    <w:rsid w:val="003277CC"/>
    <w:rsid w:val="003339FE"/>
    <w:rsid w:val="00335582"/>
    <w:rsid w:val="00335992"/>
    <w:rsid w:val="00337116"/>
    <w:rsid w:val="0034067A"/>
    <w:rsid w:val="003409B6"/>
    <w:rsid w:val="0034647C"/>
    <w:rsid w:val="003525B7"/>
    <w:rsid w:val="003547B8"/>
    <w:rsid w:val="00355E9E"/>
    <w:rsid w:val="00357AE4"/>
    <w:rsid w:val="003615B0"/>
    <w:rsid w:val="00362E4C"/>
    <w:rsid w:val="0036309C"/>
    <w:rsid w:val="00377E3B"/>
    <w:rsid w:val="0039395E"/>
    <w:rsid w:val="003A1870"/>
    <w:rsid w:val="003B1509"/>
    <w:rsid w:val="003B24A7"/>
    <w:rsid w:val="003B273B"/>
    <w:rsid w:val="003B2A98"/>
    <w:rsid w:val="003C7D14"/>
    <w:rsid w:val="003C7DA5"/>
    <w:rsid w:val="003D25E2"/>
    <w:rsid w:val="003D2BB4"/>
    <w:rsid w:val="003D7039"/>
    <w:rsid w:val="003E1870"/>
    <w:rsid w:val="003E6EE3"/>
    <w:rsid w:val="003F3316"/>
    <w:rsid w:val="003F3AFC"/>
    <w:rsid w:val="00401971"/>
    <w:rsid w:val="00403FDC"/>
    <w:rsid w:val="00404CF0"/>
    <w:rsid w:val="0041048E"/>
    <w:rsid w:val="00411974"/>
    <w:rsid w:val="0041241F"/>
    <w:rsid w:val="00414328"/>
    <w:rsid w:val="004144AB"/>
    <w:rsid w:val="00421840"/>
    <w:rsid w:val="0042729F"/>
    <w:rsid w:val="004304CB"/>
    <w:rsid w:val="00431851"/>
    <w:rsid w:val="0044587C"/>
    <w:rsid w:val="00447FB4"/>
    <w:rsid w:val="00451407"/>
    <w:rsid w:val="00462D62"/>
    <w:rsid w:val="004720E1"/>
    <w:rsid w:val="0047746A"/>
    <w:rsid w:val="0047752D"/>
    <w:rsid w:val="004830AB"/>
    <w:rsid w:val="0048513E"/>
    <w:rsid w:val="004918CC"/>
    <w:rsid w:val="00493A03"/>
    <w:rsid w:val="00495646"/>
    <w:rsid w:val="004965AC"/>
    <w:rsid w:val="004A19DD"/>
    <w:rsid w:val="004A53EC"/>
    <w:rsid w:val="004A7224"/>
    <w:rsid w:val="004B2A0C"/>
    <w:rsid w:val="004B7541"/>
    <w:rsid w:val="004C2996"/>
    <w:rsid w:val="004D1A74"/>
    <w:rsid w:val="004D4906"/>
    <w:rsid w:val="004D546B"/>
    <w:rsid w:val="004D62FA"/>
    <w:rsid w:val="004D6F1E"/>
    <w:rsid w:val="004E2460"/>
    <w:rsid w:val="004E4CC3"/>
    <w:rsid w:val="004E69DA"/>
    <w:rsid w:val="004E6A19"/>
    <w:rsid w:val="004E6CFB"/>
    <w:rsid w:val="004F1CF8"/>
    <w:rsid w:val="004F7F7E"/>
    <w:rsid w:val="00502093"/>
    <w:rsid w:val="0050314A"/>
    <w:rsid w:val="0050383F"/>
    <w:rsid w:val="0050753F"/>
    <w:rsid w:val="00512894"/>
    <w:rsid w:val="00514AF2"/>
    <w:rsid w:val="00530DA0"/>
    <w:rsid w:val="0053103F"/>
    <w:rsid w:val="00535F2A"/>
    <w:rsid w:val="00537F1B"/>
    <w:rsid w:val="00541DF6"/>
    <w:rsid w:val="00551C28"/>
    <w:rsid w:val="00567500"/>
    <w:rsid w:val="0057241F"/>
    <w:rsid w:val="00572E06"/>
    <w:rsid w:val="00575EF8"/>
    <w:rsid w:val="00584DF9"/>
    <w:rsid w:val="0058695C"/>
    <w:rsid w:val="00591B2F"/>
    <w:rsid w:val="00591CFF"/>
    <w:rsid w:val="00591E36"/>
    <w:rsid w:val="0059251F"/>
    <w:rsid w:val="005960B7"/>
    <w:rsid w:val="005979C4"/>
    <w:rsid w:val="005A65D5"/>
    <w:rsid w:val="005B4322"/>
    <w:rsid w:val="005B48BD"/>
    <w:rsid w:val="005B7D5D"/>
    <w:rsid w:val="005C3D85"/>
    <w:rsid w:val="005E5180"/>
    <w:rsid w:val="005E55AC"/>
    <w:rsid w:val="005F35C8"/>
    <w:rsid w:val="00616CD1"/>
    <w:rsid w:val="0062001E"/>
    <w:rsid w:val="006209DD"/>
    <w:rsid w:val="00630998"/>
    <w:rsid w:val="0064062A"/>
    <w:rsid w:val="00643780"/>
    <w:rsid w:val="006509F1"/>
    <w:rsid w:val="00653343"/>
    <w:rsid w:val="0065704F"/>
    <w:rsid w:val="00663534"/>
    <w:rsid w:val="006809ED"/>
    <w:rsid w:val="00687FCA"/>
    <w:rsid w:val="006914C2"/>
    <w:rsid w:val="006916AB"/>
    <w:rsid w:val="00693CE8"/>
    <w:rsid w:val="00693E1D"/>
    <w:rsid w:val="006948D4"/>
    <w:rsid w:val="00695AFC"/>
    <w:rsid w:val="006969F7"/>
    <w:rsid w:val="006A0C9B"/>
    <w:rsid w:val="006A3E49"/>
    <w:rsid w:val="006B5467"/>
    <w:rsid w:val="006B61A8"/>
    <w:rsid w:val="006B7502"/>
    <w:rsid w:val="006C002E"/>
    <w:rsid w:val="006C37B9"/>
    <w:rsid w:val="006C6C93"/>
    <w:rsid w:val="006D5072"/>
    <w:rsid w:val="006D62C9"/>
    <w:rsid w:val="006E777A"/>
    <w:rsid w:val="006F1FF8"/>
    <w:rsid w:val="006F30E7"/>
    <w:rsid w:val="006F3E20"/>
    <w:rsid w:val="00700EA3"/>
    <w:rsid w:val="00707D08"/>
    <w:rsid w:val="0071260C"/>
    <w:rsid w:val="007157D8"/>
    <w:rsid w:val="00722408"/>
    <w:rsid w:val="007228DD"/>
    <w:rsid w:val="00734658"/>
    <w:rsid w:val="00736DF4"/>
    <w:rsid w:val="00742390"/>
    <w:rsid w:val="007435BA"/>
    <w:rsid w:val="00743A08"/>
    <w:rsid w:val="0074466B"/>
    <w:rsid w:val="00766BF2"/>
    <w:rsid w:val="0077628B"/>
    <w:rsid w:val="0078067A"/>
    <w:rsid w:val="00781404"/>
    <w:rsid w:val="00794779"/>
    <w:rsid w:val="0079676D"/>
    <w:rsid w:val="007B22A7"/>
    <w:rsid w:val="007B442C"/>
    <w:rsid w:val="007B758E"/>
    <w:rsid w:val="007C1323"/>
    <w:rsid w:val="007C2087"/>
    <w:rsid w:val="007C3B48"/>
    <w:rsid w:val="007C402A"/>
    <w:rsid w:val="007C5323"/>
    <w:rsid w:val="007D24E2"/>
    <w:rsid w:val="007D3E33"/>
    <w:rsid w:val="007E07FE"/>
    <w:rsid w:val="007E0929"/>
    <w:rsid w:val="007E1F41"/>
    <w:rsid w:val="007E4E8C"/>
    <w:rsid w:val="007E5D29"/>
    <w:rsid w:val="008000B6"/>
    <w:rsid w:val="008006B5"/>
    <w:rsid w:val="008045EC"/>
    <w:rsid w:val="008122FB"/>
    <w:rsid w:val="00821C83"/>
    <w:rsid w:val="00822ED3"/>
    <w:rsid w:val="00824D52"/>
    <w:rsid w:val="00835BE7"/>
    <w:rsid w:val="008376B6"/>
    <w:rsid w:val="0084561F"/>
    <w:rsid w:val="0085169A"/>
    <w:rsid w:val="00852A0A"/>
    <w:rsid w:val="00853D5B"/>
    <w:rsid w:val="008618CC"/>
    <w:rsid w:val="0086408A"/>
    <w:rsid w:val="0087189B"/>
    <w:rsid w:val="008768BD"/>
    <w:rsid w:val="008768BF"/>
    <w:rsid w:val="00877FC0"/>
    <w:rsid w:val="008811D2"/>
    <w:rsid w:val="00884338"/>
    <w:rsid w:val="00887539"/>
    <w:rsid w:val="008915D6"/>
    <w:rsid w:val="00892EDA"/>
    <w:rsid w:val="00894AD4"/>
    <w:rsid w:val="0089736B"/>
    <w:rsid w:val="00897DA1"/>
    <w:rsid w:val="008A0152"/>
    <w:rsid w:val="008A0AFC"/>
    <w:rsid w:val="008B3A21"/>
    <w:rsid w:val="008B5955"/>
    <w:rsid w:val="008B72EA"/>
    <w:rsid w:val="008D1F43"/>
    <w:rsid w:val="008D72DC"/>
    <w:rsid w:val="008D7401"/>
    <w:rsid w:val="008E15AF"/>
    <w:rsid w:val="008E1A65"/>
    <w:rsid w:val="008E6A47"/>
    <w:rsid w:val="008E71F2"/>
    <w:rsid w:val="008E7A19"/>
    <w:rsid w:val="008F005D"/>
    <w:rsid w:val="008F3E9C"/>
    <w:rsid w:val="008F7A29"/>
    <w:rsid w:val="009007FC"/>
    <w:rsid w:val="009040C2"/>
    <w:rsid w:val="00907687"/>
    <w:rsid w:val="00910C0E"/>
    <w:rsid w:val="00911399"/>
    <w:rsid w:val="00912792"/>
    <w:rsid w:val="00916F87"/>
    <w:rsid w:val="009267FA"/>
    <w:rsid w:val="0094619C"/>
    <w:rsid w:val="00957F3A"/>
    <w:rsid w:val="00971A01"/>
    <w:rsid w:val="009757B8"/>
    <w:rsid w:val="0097591E"/>
    <w:rsid w:val="009800B7"/>
    <w:rsid w:val="0098738B"/>
    <w:rsid w:val="00993BD4"/>
    <w:rsid w:val="009946F9"/>
    <w:rsid w:val="009B246B"/>
    <w:rsid w:val="009B5FF9"/>
    <w:rsid w:val="009B71AF"/>
    <w:rsid w:val="009C0A0A"/>
    <w:rsid w:val="009C3587"/>
    <w:rsid w:val="009C3E52"/>
    <w:rsid w:val="009C7E43"/>
    <w:rsid w:val="009D0969"/>
    <w:rsid w:val="009D1982"/>
    <w:rsid w:val="009D6261"/>
    <w:rsid w:val="009F135A"/>
    <w:rsid w:val="009F7207"/>
    <w:rsid w:val="009F75E2"/>
    <w:rsid w:val="00A001FF"/>
    <w:rsid w:val="00A162E1"/>
    <w:rsid w:val="00A22F0B"/>
    <w:rsid w:val="00A24F17"/>
    <w:rsid w:val="00A337F5"/>
    <w:rsid w:val="00A40C78"/>
    <w:rsid w:val="00A458D1"/>
    <w:rsid w:val="00A54569"/>
    <w:rsid w:val="00A55BB3"/>
    <w:rsid w:val="00A56C99"/>
    <w:rsid w:val="00A57ED9"/>
    <w:rsid w:val="00A619D5"/>
    <w:rsid w:val="00A707FF"/>
    <w:rsid w:val="00A74C62"/>
    <w:rsid w:val="00A75D82"/>
    <w:rsid w:val="00A8175B"/>
    <w:rsid w:val="00A85850"/>
    <w:rsid w:val="00A87558"/>
    <w:rsid w:val="00A90C96"/>
    <w:rsid w:val="00AA3CB7"/>
    <w:rsid w:val="00AA5565"/>
    <w:rsid w:val="00AA6CA0"/>
    <w:rsid w:val="00AC6859"/>
    <w:rsid w:val="00AD07CD"/>
    <w:rsid w:val="00AD1399"/>
    <w:rsid w:val="00AD6E32"/>
    <w:rsid w:val="00AE0F62"/>
    <w:rsid w:val="00AE11A6"/>
    <w:rsid w:val="00AE41C0"/>
    <w:rsid w:val="00AF2B2A"/>
    <w:rsid w:val="00AF3F14"/>
    <w:rsid w:val="00AF4099"/>
    <w:rsid w:val="00B06111"/>
    <w:rsid w:val="00B07B29"/>
    <w:rsid w:val="00B10373"/>
    <w:rsid w:val="00B1121E"/>
    <w:rsid w:val="00B131C5"/>
    <w:rsid w:val="00B13465"/>
    <w:rsid w:val="00B15657"/>
    <w:rsid w:val="00B218DA"/>
    <w:rsid w:val="00B23656"/>
    <w:rsid w:val="00B354D5"/>
    <w:rsid w:val="00B4643E"/>
    <w:rsid w:val="00B465EF"/>
    <w:rsid w:val="00B50D79"/>
    <w:rsid w:val="00B53711"/>
    <w:rsid w:val="00B600D4"/>
    <w:rsid w:val="00B63E20"/>
    <w:rsid w:val="00B762DF"/>
    <w:rsid w:val="00B82F9C"/>
    <w:rsid w:val="00B84146"/>
    <w:rsid w:val="00B86797"/>
    <w:rsid w:val="00B870D0"/>
    <w:rsid w:val="00B92BF2"/>
    <w:rsid w:val="00B956F2"/>
    <w:rsid w:val="00B96D48"/>
    <w:rsid w:val="00BA2080"/>
    <w:rsid w:val="00BA3DAF"/>
    <w:rsid w:val="00BB07B8"/>
    <w:rsid w:val="00BB5DE8"/>
    <w:rsid w:val="00BC46BF"/>
    <w:rsid w:val="00BD3173"/>
    <w:rsid w:val="00BD47A0"/>
    <w:rsid w:val="00BE109B"/>
    <w:rsid w:val="00BE1C31"/>
    <w:rsid w:val="00BE7A72"/>
    <w:rsid w:val="00BF49B2"/>
    <w:rsid w:val="00BF7430"/>
    <w:rsid w:val="00C03210"/>
    <w:rsid w:val="00C0632A"/>
    <w:rsid w:val="00C072C6"/>
    <w:rsid w:val="00C149BF"/>
    <w:rsid w:val="00C202F9"/>
    <w:rsid w:val="00C22718"/>
    <w:rsid w:val="00C25851"/>
    <w:rsid w:val="00C25A7F"/>
    <w:rsid w:val="00C3374D"/>
    <w:rsid w:val="00C33BC3"/>
    <w:rsid w:val="00C346F3"/>
    <w:rsid w:val="00C36C29"/>
    <w:rsid w:val="00C40987"/>
    <w:rsid w:val="00C4479A"/>
    <w:rsid w:val="00C45B61"/>
    <w:rsid w:val="00C469FC"/>
    <w:rsid w:val="00C55B69"/>
    <w:rsid w:val="00C562CC"/>
    <w:rsid w:val="00C70440"/>
    <w:rsid w:val="00C72CD3"/>
    <w:rsid w:val="00C76D74"/>
    <w:rsid w:val="00C8467B"/>
    <w:rsid w:val="00C94963"/>
    <w:rsid w:val="00C950F9"/>
    <w:rsid w:val="00C96CFB"/>
    <w:rsid w:val="00C96EC0"/>
    <w:rsid w:val="00CA3237"/>
    <w:rsid w:val="00CA4E97"/>
    <w:rsid w:val="00CA66D4"/>
    <w:rsid w:val="00CA674C"/>
    <w:rsid w:val="00CB21DB"/>
    <w:rsid w:val="00CB2F69"/>
    <w:rsid w:val="00CB74D2"/>
    <w:rsid w:val="00CC1065"/>
    <w:rsid w:val="00CC4D14"/>
    <w:rsid w:val="00CC588E"/>
    <w:rsid w:val="00CD1696"/>
    <w:rsid w:val="00CE7604"/>
    <w:rsid w:val="00CF44DC"/>
    <w:rsid w:val="00CF7BC2"/>
    <w:rsid w:val="00D0292B"/>
    <w:rsid w:val="00D03720"/>
    <w:rsid w:val="00D057CD"/>
    <w:rsid w:val="00D06102"/>
    <w:rsid w:val="00D07662"/>
    <w:rsid w:val="00D240B1"/>
    <w:rsid w:val="00D24AB4"/>
    <w:rsid w:val="00D259AD"/>
    <w:rsid w:val="00D259C2"/>
    <w:rsid w:val="00D2702B"/>
    <w:rsid w:val="00D27F86"/>
    <w:rsid w:val="00D408C9"/>
    <w:rsid w:val="00D44783"/>
    <w:rsid w:val="00D452A9"/>
    <w:rsid w:val="00D55824"/>
    <w:rsid w:val="00D60AF1"/>
    <w:rsid w:val="00D62F0D"/>
    <w:rsid w:val="00D6402E"/>
    <w:rsid w:val="00D70285"/>
    <w:rsid w:val="00D74307"/>
    <w:rsid w:val="00D75120"/>
    <w:rsid w:val="00D7685E"/>
    <w:rsid w:val="00D86F93"/>
    <w:rsid w:val="00DA649B"/>
    <w:rsid w:val="00DB2864"/>
    <w:rsid w:val="00DD22CC"/>
    <w:rsid w:val="00DD5307"/>
    <w:rsid w:val="00DD726D"/>
    <w:rsid w:val="00DE0211"/>
    <w:rsid w:val="00DE13B6"/>
    <w:rsid w:val="00DE4FB1"/>
    <w:rsid w:val="00DF1009"/>
    <w:rsid w:val="00DF38F4"/>
    <w:rsid w:val="00DF3ED3"/>
    <w:rsid w:val="00DF6B08"/>
    <w:rsid w:val="00E000EA"/>
    <w:rsid w:val="00E018A4"/>
    <w:rsid w:val="00E027B7"/>
    <w:rsid w:val="00E0462F"/>
    <w:rsid w:val="00E10C97"/>
    <w:rsid w:val="00E16A8A"/>
    <w:rsid w:val="00E20FAF"/>
    <w:rsid w:val="00E21B06"/>
    <w:rsid w:val="00E22A2A"/>
    <w:rsid w:val="00E31F1F"/>
    <w:rsid w:val="00E35265"/>
    <w:rsid w:val="00E36A29"/>
    <w:rsid w:val="00E45DB9"/>
    <w:rsid w:val="00E54463"/>
    <w:rsid w:val="00E548D1"/>
    <w:rsid w:val="00E56F4E"/>
    <w:rsid w:val="00E573DF"/>
    <w:rsid w:val="00E60FFA"/>
    <w:rsid w:val="00E64DB9"/>
    <w:rsid w:val="00E74180"/>
    <w:rsid w:val="00E86AEE"/>
    <w:rsid w:val="00EA07C8"/>
    <w:rsid w:val="00EA0F22"/>
    <w:rsid w:val="00EA12FA"/>
    <w:rsid w:val="00EB592B"/>
    <w:rsid w:val="00EB5D94"/>
    <w:rsid w:val="00EC2193"/>
    <w:rsid w:val="00EC324D"/>
    <w:rsid w:val="00EC7DE9"/>
    <w:rsid w:val="00EE3BDD"/>
    <w:rsid w:val="00EF2305"/>
    <w:rsid w:val="00F00565"/>
    <w:rsid w:val="00F0425E"/>
    <w:rsid w:val="00F10533"/>
    <w:rsid w:val="00F14239"/>
    <w:rsid w:val="00F22E45"/>
    <w:rsid w:val="00F249BB"/>
    <w:rsid w:val="00F250D5"/>
    <w:rsid w:val="00F319A2"/>
    <w:rsid w:val="00F31BC6"/>
    <w:rsid w:val="00F31F9E"/>
    <w:rsid w:val="00F435D3"/>
    <w:rsid w:val="00F44237"/>
    <w:rsid w:val="00F45E32"/>
    <w:rsid w:val="00F4603B"/>
    <w:rsid w:val="00F556E0"/>
    <w:rsid w:val="00F617D3"/>
    <w:rsid w:val="00F61F36"/>
    <w:rsid w:val="00F6226D"/>
    <w:rsid w:val="00F632EA"/>
    <w:rsid w:val="00F63A32"/>
    <w:rsid w:val="00F653C8"/>
    <w:rsid w:val="00F95CC8"/>
    <w:rsid w:val="00F96AD6"/>
    <w:rsid w:val="00FB0908"/>
    <w:rsid w:val="00FB2200"/>
    <w:rsid w:val="00FC265E"/>
    <w:rsid w:val="00FC3A0B"/>
    <w:rsid w:val="00FD0EE5"/>
    <w:rsid w:val="00FD3300"/>
    <w:rsid w:val="00FE5232"/>
    <w:rsid w:val="00FE5359"/>
    <w:rsid w:val="00FE6382"/>
    <w:rsid w:val="00FF4551"/>
    <w:rsid w:val="00FF5F07"/>
  </w:rsids>
  <m:mathPr>
    <m:mathFont m:val="Cambria Math"/>
    <m:brkBin m:val="before"/>
    <m:brkBinSub m:val="--"/>
    <m:smallFrac m:val="0"/>
    <m:dispDef/>
    <m:lMargin m:val="0"/>
    <m:rMargin m:val="0"/>
    <m:defJc m:val="centerGroup"/>
    <m:wrapRight/>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0E069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A22F0B"/>
    <w:rPr>
      <w:rFonts w:asciiTheme="majorHAnsi" w:hAnsiTheme="majorHAnsi"/>
    </w:rPr>
  </w:style>
  <w:style w:type="paragraph" w:styleId="Heading1">
    <w:name w:val="heading 1"/>
    <w:basedOn w:val="BodyText"/>
    <w:next w:val="BodyText"/>
    <w:uiPriority w:val="9"/>
    <w:qFormat/>
    <w:rsid w:val="00F45E32"/>
    <w:pPr>
      <w:ind w:firstLine="0"/>
      <w:outlineLvl w:val="0"/>
    </w:pPr>
    <w:rPr>
      <w:rFonts w:cs="Calibri (Headings)"/>
      <w:caps/>
    </w:rPr>
  </w:style>
  <w:style w:type="paragraph" w:styleId="Heading2">
    <w:name w:val="heading 2"/>
    <w:basedOn w:val="Heading1"/>
    <w:next w:val="BodyText"/>
    <w:uiPriority w:val="9"/>
    <w:unhideWhenUsed/>
    <w:qFormat/>
    <w:rsid w:val="00F45E32"/>
    <w:pPr>
      <w:outlineLvl w:val="1"/>
    </w:pPr>
    <w:rPr>
      <w:i/>
      <w:iCs/>
    </w:rPr>
  </w:style>
  <w:style w:type="paragraph" w:styleId="Heading3">
    <w:name w:val="heading 3"/>
    <w:basedOn w:val="Heading2"/>
    <w:next w:val="BodyText"/>
    <w:uiPriority w:val="9"/>
    <w:unhideWhenUsed/>
    <w:qFormat/>
    <w:rsid w:val="00F45E32"/>
    <w:pPr>
      <w:outlineLvl w:val="2"/>
    </w:pPr>
    <w:rPr>
      <w:caps w:val="0"/>
    </w:rPr>
  </w:style>
  <w:style w:type="paragraph" w:styleId="Heading4">
    <w:name w:val="heading 4"/>
    <w:basedOn w:val="Normal"/>
    <w:next w:val="BodyText"/>
    <w:uiPriority w:val="9"/>
    <w:unhideWhenUsed/>
    <w:qFormat/>
    <w:rsid w:val="00DF1009"/>
    <w:pPr>
      <w:keepNext/>
      <w:keepLines/>
      <w:numPr>
        <w:ilvl w:val="3"/>
        <w:numId w:val="33"/>
      </w:numPr>
      <w:spacing w:before="200" w:after="0"/>
      <w:outlineLvl w:val="3"/>
    </w:pPr>
    <w:rPr>
      <w:rFonts w:eastAsiaTheme="majorEastAsia" w:cstheme="majorBidi"/>
      <w:bCs/>
      <w:i/>
    </w:rPr>
  </w:style>
  <w:style w:type="paragraph" w:styleId="Heading5">
    <w:name w:val="heading 5"/>
    <w:basedOn w:val="Normal"/>
    <w:next w:val="BodyText"/>
    <w:uiPriority w:val="9"/>
    <w:unhideWhenUsed/>
    <w:qFormat/>
    <w:rsid w:val="00DF1009"/>
    <w:pPr>
      <w:keepNext/>
      <w:keepLines/>
      <w:numPr>
        <w:ilvl w:val="4"/>
        <w:numId w:val="33"/>
      </w:numPr>
      <w:spacing w:before="200" w:after="0"/>
      <w:outlineLvl w:val="4"/>
    </w:pPr>
    <w:rPr>
      <w:rFonts w:eastAsiaTheme="majorEastAsia" w:cstheme="majorBidi"/>
      <w:iCs/>
    </w:rPr>
  </w:style>
  <w:style w:type="paragraph" w:styleId="Heading6">
    <w:name w:val="heading 6"/>
    <w:basedOn w:val="Normal"/>
    <w:next w:val="BodyText"/>
    <w:uiPriority w:val="9"/>
    <w:unhideWhenUsed/>
    <w:qFormat/>
    <w:pPr>
      <w:keepNext/>
      <w:keepLines/>
      <w:numPr>
        <w:ilvl w:val="5"/>
        <w:numId w:val="33"/>
      </w:numPr>
      <w:spacing w:before="200" w:after="0"/>
      <w:outlineLvl w:val="5"/>
    </w:pPr>
    <w:rPr>
      <w:rFonts w:eastAsiaTheme="majorEastAsia" w:cstheme="majorBidi"/>
      <w:color w:val="4F81BD" w:themeColor="accent1"/>
    </w:rPr>
  </w:style>
  <w:style w:type="paragraph" w:styleId="Heading7">
    <w:name w:val="heading 7"/>
    <w:basedOn w:val="Normal"/>
    <w:next w:val="BodyText"/>
    <w:uiPriority w:val="9"/>
    <w:unhideWhenUsed/>
    <w:qFormat/>
    <w:pPr>
      <w:keepNext/>
      <w:keepLines/>
      <w:numPr>
        <w:ilvl w:val="6"/>
        <w:numId w:val="33"/>
      </w:numPr>
      <w:spacing w:before="200" w:after="0"/>
      <w:outlineLvl w:val="6"/>
    </w:pPr>
    <w:rPr>
      <w:rFonts w:eastAsiaTheme="majorEastAsia" w:cstheme="majorBidi"/>
      <w:color w:val="4F81BD" w:themeColor="accent1"/>
    </w:rPr>
  </w:style>
  <w:style w:type="paragraph" w:styleId="Heading8">
    <w:name w:val="heading 8"/>
    <w:basedOn w:val="Normal"/>
    <w:next w:val="BodyText"/>
    <w:uiPriority w:val="9"/>
    <w:unhideWhenUsed/>
    <w:qFormat/>
    <w:pPr>
      <w:keepNext/>
      <w:keepLines/>
      <w:numPr>
        <w:ilvl w:val="7"/>
        <w:numId w:val="33"/>
      </w:numPr>
      <w:spacing w:before="200" w:after="0"/>
      <w:outlineLvl w:val="7"/>
    </w:pPr>
    <w:rPr>
      <w:rFonts w:eastAsiaTheme="majorEastAsia" w:cstheme="majorBidi"/>
      <w:color w:val="4F81BD" w:themeColor="accent1"/>
    </w:rPr>
  </w:style>
  <w:style w:type="paragraph" w:styleId="Heading9">
    <w:name w:val="heading 9"/>
    <w:basedOn w:val="Normal"/>
    <w:next w:val="BodyText"/>
    <w:uiPriority w:val="9"/>
    <w:unhideWhenUsed/>
    <w:qFormat/>
    <w:pPr>
      <w:keepNext/>
      <w:keepLines/>
      <w:numPr>
        <w:ilvl w:val="8"/>
        <w:numId w:val="33"/>
      </w:numPr>
      <w:spacing w:before="200" w:after="0"/>
      <w:outlineLvl w:val="8"/>
    </w:pPr>
    <w:rPr>
      <w:rFonts w:eastAsiaTheme="majorEastAsia"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8E2FDD"/>
    <w:pPr>
      <w:spacing w:before="120" w:after="0" w:line="480" w:lineRule="auto"/>
      <w:ind w:firstLine="720"/>
    </w:pPr>
    <w:rPr>
      <w:rFonts w:cstheme="majorHAnsi"/>
    </w:rPr>
  </w:style>
  <w:style w:type="paragraph" w:customStyle="1" w:styleId="FirstParagraph">
    <w:name w:val="First Paragraph"/>
    <w:basedOn w:val="BodyText"/>
    <w:next w:val="BodyText"/>
    <w:rsid w:val="00736473"/>
    <w:pPr>
      <w:ind w:firstLine="0"/>
    </w:pPr>
  </w:style>
  <w:style w:type="paragraph" w:customStyle="1" w:styleId="Compact">
    <w:name w:val="Compact"/>
    <w:basedOn w:val="BodyText"/>
    <w:qFormat/>
    <w:pPr>
      <w:spacing w:before="36" w:after="36"/>
    </w:pPr>
  </w:style>
  <w:style w:type="paragraph" w:styleId="Title">
    <w:name w:val="Title"/>
    <w:basedOn w:val="Normal"/>
    <w:next w:val="BodyText"/>
    <w:qFormat/>
    <w:rsid w:val="000820F1"/>
    <w:pPr>
      <w:keepNext/>
      <w:keepLines/>
      <w:spacing w:before="240" w:after="240"/>
      <w:jc w:val="center"/>
    </w:pPr>
    <w:rPr>
      <w:rFonts w:eastAsiaTheme="majorEastAsia" w:cstheme="majorBidi"/>
      <w:b/>
      <w:bCs/>
      <w:szCs w:val="36"/>
    </w:rPr>
  </w:style>
  <w:style w:type="paragraph" w:styleId="Subtitle">
    <w:name w:val="Subtitle"/>
    <w:basedOn w:val="Title"/>
    <w:next w:val="BodyText"/>
    <w:qFormat/>
    <w:rPr>
      <w:sz w:val="30"/>
      <w:szCs w:val="30"/>
    </w:rPr>
  </w:style>
  <w:style w:type="paragraph" w:customStyle="1" w:styleId="Author">
    <w:name w:val="Author"/>
    <w:next w:val="BodyText"/>
    <w:qFormat/>
    <w:rsid w:val="000820F1"/>
    <w:pPr>
      <w:keepNext/>
      <w:keepLines/>
      <w:spacing w:before="120" w:after="120"/>
      <w:jc w:val="center"/>
    </w:pPr>
    <w:rPr>
      <w:rFonts w:asciiTheme="majorHAnsi" w:hAnsiTheme="majorHAnsi"/>
    </w:rPr>
  </w:style>
  <w:style w:type="paragraph" w:styleId="Date">
    <w:name w:val="Date"/>
    <w:next w:val="BodyText"/>
    <w:qFormat/>
    <w:rsid w:val="000820F1"/>
    <w:pPr>
      <w:keepNext/>
      <w:keepLines/>
      <w:spacing w:before="120" w:after="120"/>
      <w:jc w:val="center"/>
    </w:pPr>
    <w:rPr>
      <w:rFonts w:asciiTheme="majorHAnsi" w:hAnsiTheme="majorHAnsi"/>
    </w:r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pPr>
      <w:tabs>
        <w:tab w:val="left" w:pos="500"/>
      </w:tabs>
      <w:spacing w:after="240"/>
      <w:ind w:left="504" w:hanging="504"/>
    </w:pPr>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sid w:val="001072D5"/>
    <w:rPr>
      <w:color w:val="auto"/>
    </w:rPr>
  </w:style>
  <w:style w:type="paragraph" w:styleId="TOCHeading">
    <w:name w:val="TOC Heading"/>
    <w:basedOn w:val="Heading1"/>
    <w:next w:val="BodyText"/>
    <w:uiPriority w:val="39"/>
    <w:unhideWhenUsed/>
    <w:qFormat/>
    <w:pPr>
      <w:spacing w:before="240" w:line="259" w:lineRule="auto"/>
      <w:outlineLvl w:val="9"/>
    </w:pPr>
    <w:rPr>
      <w:b/>
      <w:bCs/>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paragraph" w:styleId="Revision">
    <w:name w:val="Revision"/>
    <w:hidden/>
    <w:semiHidden/>
    <w:rsid w:val="00272141"/>
    <w:pPr>
      <w:spacing w:after="0"/>
    </w:pPr>
  </w:style>
  <w:style w:type="character" w:styleId="CommentReference">
    <w:name w:val="annotation reference"/>
    <w:basedOn w:val="DefaultParagraphFont"/>
    <w:semiHidden/>
    <w:unhideWhenUsed/>
    <w:rsid w:val="00272141"/>
    <w:rPr>
      <w:sz w:val="16"/>
      <w:szCs w:val="16"/>
    </w:rPr>
  </w:style>
  <w:style w:type="paragraph" w:styleId="CommentText">
    <w:name w:val="annotation text"/>
    <w:basedOn w:val="Normal"/>
    <w:link w:val="CommentTextChar"/>
    <w:unhideWhenUsed/>
    <w:rsid w:val="00272141"/>
    <w:rPr>
      <w:sz w:val="20"/>
      <w:szCs w:val="20"/>
    </w:rPr>
  </w:style>
  <w:style w:type="character" w:customStyle="1" w:styleId="CommentTextChar">
    <w:name w:val="Comment Text Char"/>
    <w:basedOn w:val="DefaultParagraphFont"/>
    <w:link w:val="CommentText"/>
    <w:rsid w:val="00272141"/>
    <w:rPr>
      <w:sz w:val="20"/>
      <w:szCs w:val="20"/>
    </w:rPr>
  </w:style>
  <w:style w:type="paragraph" w:styleId="CommentSubject">
    <w:name w:val="annotation subject"/>
    <w:basedOn w:val="CommentText"/>
    <w:next w:val="CommentText"/>
    <w:link w:val="CommentSubjectChar"/>
    <w:semiHidden/>
    <w:unhideWhenUsed/>
    <w:rsid w:val="00272141"/>
    <w:rPr>
      <w:b/>
      <w:bCs/>
    </w:rPr>
  </w:style>
  <w:style w:type="character" w:customStyle="1" w:styleId="CommentSubjectChar">
    <w:name w:val="Comment Subject Char"/>
    <w:basedOn w:val="CommentTextChar"/>
    <w:link w:val="CommentSubject"/>
    <w:semiHidden/>
    <w:rsid w:val="00272141"/>
    <w:rPr>
      <w:b/>
      <w:bCs/>
      <w:sz w:val="20"/>
      <w:szCs w:val="20"/>
    </w:rPr>
  </w:style>
  <w:style w:type="paragraph" w:styleId="Header">
    <w:name w:val="header"/>
    <w:basedOn w:val="Normal"/>
    <w:link w:val="HeaderChar"/>
    <w:unhideWhenUsed/>
    <w:rsid w:val="00AE6A17"/>
    <w:pPr>
      <w:tabs>
        <w:tab w:val="center" w:pos="4680"/>
        <w:tab w:val="right" w:pos="9360"/>
      </w:tabs>
      <w:spacing w:after="0"/>
    </w:pPr>
  </w:style>
  <w:style w:type="character" w:customStyle="1" w:styleId="HeaderChar">
    <w:name w:val="Header Char"/>
    <w:basedOn w:val="DefaultParagraphFont"/>
    <w:link w:val="Header"/>
    <w:rsid w:val="00AE6A17"/>
  </w:style>
  <w:style w:type="paragraph" w:styleId="Footer">
    <w:name w:val="footer"/>
    <w:basedOn w:val="Normal"/>
    <w:link w:val="FooterChar"/>
    <w:uiPriority w:val="99"/>
    <w:unhideWhenUsed/>
    <w:rsid w:val="00AE6A17"/>
    <w:pPr>
      <w:tabs>
        <w:tab w:val="center" w:pos="4680"/>
        <w:tab w:val="right" w:pos="9360"/>
      </w:tabs>
      <w:spacing w:after="0"/>
    </w:pPr>
  </w:style>
  <w:style w:type="character" w:customStyle="1" w:styleId="FooterChar">
    <w:name w:val="Footer Char"/>
    <w:basedOn w:val="DefaultParagraphFont"/>
    <w:link w:val="Footer"/>
    <w:uiPriority w:val="99"/>
    <w:rsid w:val="00AE6A17"/>
  </w:style>
  <w:style w:type="paragraph" w:styleId="ListBullet">
    <w:name w:val="List Bullet"/>
    <w:basedOn w:val="Compact"/>
    <w:unhideWhenUsed/>
    <w:rsid w:val="0055374F"/>
    <w:pPr>
      <w:numPr>
        <w:numId w:val="1"/>
      </w:numPr>
      <w:spacing w:line="276" w:lineRule="auto"/>
    </w:pPr>
  </w:style>
  <w:style w:type="character" w:customStyle="1" w:styleId="BodyTextChar">
    <w:name w:val="Body Text Char"/>
    <w:basedOn w:val="DefaultParagraphFont"/>
    <w:link w:val="BodyText"/>
    <w:rsid w:val="008E2FDD"/>
    <w:rPr>
      <w:rFonts w:asciiTheme="majorHAnsi" w:hAnsiTheme="majorHAnsi" w:cstheme="majorHAnsi"/>
    </w:rPr>
  </w:style>
  <w:style w:type="character" w:styleId="FollowedHyperlink">
    <w:name w:val="FollowedHyperlink"/>
    <w:basedOn w:val="DefaultParagraphFont"/>
    <w:semiHidden/>
    <w:unhideWhenUsed/>
    <w:rsid w:val="006B313B"/>
    <w:rPr>
      <w:color w:val="800080" w:themeColor="followedHyperlink"/>
      <w:u w:val="single"/>
    </w:rPr>
  </w:style>
  <w:style w:type="table" w:styleId="TableGrid">
    <w:name w:val="Table Grid"/>
    <w:basedOn w:val="TableNormal"/>
    <w:rsid w:val="00A75D82"/>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l-310d1fb6">
    <w:name w:val="cl-310d1fb6"/>
    <w:basedOn w:val="DefaultParagraphFont"/>
    <w:rsid w:val="00A75D82"/>
  </w:style>
  <w:style w:type="table" w:styleId="PlainTable5">
    <w:name w:val="Plain Table 5"/>
    <w:basedOn w:val="TableNormal"/>
    <w:rsid w:val="00A75D82"/>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GridTable1Light">
    <w:name w:val="Grid Table 1 Light"/>
    <w:basedOn w:val="TableNormal"/>
    <w:rsid w:val="00A75D82"/>
    <w:pPr>
      <w:spacing w:after="0"/>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2">
    <w:name w:val="Grid Table 2"/>
    <w:basedOn w:val="TableNormal"/>
    <w:rsid w:val="00A75D82"/>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PlainTable2">
    <w:name w:val="Plain Table 2"/>
    <w:basedOn w:val="TableNormal"/>
    <w:rsid w:val="00A75D82"/>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cl-724499b8">
    <w:name w:val="cl-724499b8"/>
    <w:basedOn w:val="DefaultParagraphFont"/>
    <w:rsid w:val="00D55824"/>
  </w:style>
  <w:style w:type="character" w:styleId="PlaceholderText">
    <w:name w:val="Placeholder Text"/>
    <w:basedOn w:val="DefaultParagraphFont"/>
    <w:semiHidden/>
    <w:rsid w:val="00C25A7F"/>
    <w:rPr>
      <w:color w:val="808080"/>
    </w:rPr>
  </w:style>
  <w:style w:type="character" w:styleId="HTMLCode">
    <w:name w:val="HTML Code"/>
    <w:basedOn w:val="DefaultParagraphFont"/>
    <w:unhideWhenUsed/>
    <w:rsid w:val="00355E9E"/>
    <w:rPr>
      <w:rFonts w:ascii="Consolas" w:hAnsi="Consolas" w:cs="Consolas"/>
      <w:sz w:val="20"/>
      <w:szCs w:val="20"/>
    </w:rPr>
  </w:style>
  <w:style w:type="character" w:customStyle="1" w:styleId="cl-7f30a2f2">
    <w:name w:val="cl-7f30a2f2"/>
    <w:basedOn w:val="DefaultParagraphFont"/>
    <w:rsid w:val="00892EDA"/>
  </w:style>
  <w:style w:type="paragraph" w:customStyle="1" w:styleId="cl-7f333026">
    <w:name w:val="cl-7f333026"/>
    <w:basedOn w:val="Normal"/>
    <w:rsid w:val="006C37B9"/>
    <w:pPr>
      <w:spacing w:before="100" w:beforeAutospacing="1" w:after="100" w:afterAutospacing="1"/>
    </w:pPr>
    <w:rPr>
      <w:rFonts w:ascii="Times New Roman" w:eastAsia="Times New Roman" w:hAnsi="Times New Roman" w:cs="Times New Roman"/>
    </w:rPr>
  </w:style>
  <w:style w:type="paragraph" w:customStyle="1" w:styleId="cl-7f33304e">
    <w:name w:val="cl-7f33304e"/>
    <w:basedOn w:val="Normal"/>
    <w:rsid w:val="006C37B9"/>
    <w:pPr>
      <w:spacing w:before="100" w:beforeAutospacing="1" w:after="100" w:afterAutospacing="1"/>
    </w:pPr>
    <w:rPr>
      <w:rFonts w:ascii="Times New Roman" w:eastAsia="Times New Roman" w:hAnsi="Times New Roman" w:cs="Times New Roman"/>
    </w:rPr>
  </w:style>
  <w:style w:type="table" w:styleId="ListTable6Colorful">
    <w:name w:val="List Table 6 Colorful"/>
    <w:basedOn w:val="TableNormal"/>
    <w:uiPriority w:val="51"/>
    <w:rsid w:val="006C37B9"/>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styleId="UnresolvedMention">
    <w:name w:val="Unresolved Mention"/>
    <w:basedOn w:val="DefaultParagraphFont"/>
    <w:uiPriority w:val="99"/>
    <w:semiHidden/>
    <w:unhideWhenUsed/>
    <w:rsid w:val="006916AB"/>
    <w:rPr>
      <w:color w:val="605E5C"/>
      <w:shd w:val="clear" w:color="auto" w:fill="E1DFDD"/>
    </w:rPr>
  </w:style>
  <w:style w:type="paragraph" w:styleId="ListParagraph">
    <w:name w:val="List Paragraph"/>
    <w:basedOn w:val="Normal"/>
    <w:rsid w:val="004D546B"/>
    <w:pPr>
      <w:ind w:left="720"/>
      <w:contextualSpacing/>
    </w:pPr>
  </w:style>
  <w:style w:type="table" w:styleId="PlainTable3">
    <w:name w:val="Plain Table 3"/>
    <w:basedOn w:val="TableNormal"/>
    <w:rsid w:val="002D4E72"/>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TOC2">
    <w:name w:val="toc 2"/>
    <w:basedOn w:val="Normal"/>
    <w:next w:val="Normal"/>
    <w:autoRedefine/>
    <w:semiHidden/>
    <w:unhideWhenUsed/>
    <w:rsid w:val="00DF1009"/>
    <w:pPr>
      <w:spacing w:after="100"/>
      <w:ind w:left="240"/>
    </w:pPr>
  </w:style>
  <w:style w:type="numbering" w:customStyle="1" w:styleId="CurrentList1">
    <w:name w:val="Current List1"/>
    <w:uiPriority w:val="99"/>
    <w:rsid w:val="00F45E32"/>
    <w:pPr>
      <w:numPr>
        <w:numId w:val="43"/>
      </w:numPr>
    </w:pPr>
  </w:style>
  <w:style w:type="numbering" w:customStyle="1" w:styleId="CurrentList2">
    <w:name w:val="Current List2"/>
    <w:uiPriority w:val="99"/>
    <w:rsid w:val="00F45E32"/>
    <w:pPr>
      <w:numPr>
        <w:numId w:val="44"/>
      </w:numPr>
    </w:pPr>
  </w:style>
  <w:style w:type="numbering" w:customStyle="1" w:styleId="CurrentList3">
    <w:name w:val="Current List3"/>
    <w:uiPriority w:val="99"/>
    <w:rsid w:val="00F45E32"/>
    <w:pPr>
      <w:numPr>
        <w:numId w:val="45"/>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7924530">
      <w:bodyDiv w:val="1"/>
      <w:marLeft w:val="0"/>
      <w:marRight w:val="0"/>
      <w:marTop w:val="0"/>
      <w:marBottom w:val="0"/>
      <w:divBdr>
        <w:top w:val="none" w:sz="0" w:space="0" w:color="auto"/>
        <w:left w:val="none" w:sz="0" w:space="0" w:color="auto"/>
        <w:bottom w:val="none" w:sz="0" w:space="0" w:color="auto"/>
        <w:right w:val="none" w:sz="0" w:space="0" w:color="auto"/>
      </w:divBdr>
      <w:divsChild>
        <w:div w:id="71857300">
          <w:marLeft w:val="0"/>
          <w:marRight w:val="0"/>
          <w:marTop w:val="0"/>
          <w:marBottom w:val="0"/>
          <w:divBdr>
            <w:top w:val="none" w:sz="0" w:space="0" w:color="auto"/>
            <w:left w:val="none" w:sz="0" w:space="0" w:color="auto"/>
            <w:bottom w:val="none" w:sz="0" w:space="0" w:color="auto"/>
            <w:right w:val="none" w:sz="0" w:space="0" w:color="auto"/>
          </w:divBdr>
          <w:divsChild>
            <w:div w:id="282276377">
              <w:marLeft w:val="0"/>
              <w:marRight w:val="0"/>
              <w:marTop w:val="0"/>
              <w:marBottom w:val="0"/>
              <w:divBdr>
                <w:top w:val="none" w:sz="0" w:space="0" w:color="auto"/>
                <w:left w:val="none" w:sz="0" w:space="0" w:color="auto"/>
                <w:bottom w:val="none" w:sz="0" w:space="0" w:color="auto"/>
                <w:right w:val="none" w:sz="0" w:space="0" w:color="auto"/>
              </w:divBdr>
              <w:divsChild>
                <w:div w:id="192002006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9342518">
      <w:bodyDiv w:val="1"/>
      <w:marLeft w:val="0"/>
      <w:marRight w:val="0"/>
      <w:marTop w:val="0"/>
      <w:marBottom w:val="0"/>
      <w:divBdr>
        <w:top w:val="none" w:sz="0" w:space="0" w:color="auto"/>
        <w:left w:val="none" w:sz="0" w:space="0" w:color="auto"/>
        <w:bottom w:val="none" w:sz="0" w:space="0" w:color="auto"/>
        <w:right w:val="none" w:sz="0" w:space="0" w:color="auto"/>
      </w:divBdr>
    </w:div>
    <w:div w:id="261568989">
      <w:bodyDiv w:val="1"/>
      <w:marLeft w:val="0"/>
      <w:marRight w:val="0"/>
      <w:marTop w:val="0"/>
      <w:marBottom w:val="0"/>
      <w:divBdr>
        <w:top w:val="none" w:sz="0" w:space="0" w:color="auto"/>
        <w:left w:val="none" w:sz="0" w:space="0" w:color="auto"/>
        <w:bottom w:val="none" w:sz="0" w:space="0" w:color="auto"/>
        <w:right w:val="none" w:sz="0" w:space="0" w:color="auto"/>
      </w:divBdr>
    </w:div>
    <w:div w:id="296028056">
      <w:bodyDiv w:val="1"/>
      <w:marLeft w:val="0"/>
      <w:marRight w:val="0"/>
      <w:marTop w:val="0"/>
      <w:marBottom w:val="0"/>
      <w:divBdr>
        <w:top w:val="none" w:sz="0" w:space="0" w:color="auto"/>
        <w:left w:val="none" w:sz="0" w:space="0" w:color="auto"/>
        <w:bottom w:val="none" w:sz="0" w:space="0" w:color="auto"/>
        <w:right w:val="none" w:sz="0" w:space="0" w:color="auto"/>
      </w:divBdr>
    </w:div>
    <w:div w:id="973561961">
      <w:bodyDiv w:val="1"/>
      <w:marLeft w:val="0"/>
      <w:marRight w:val="0"/>
      <w:marTop w:val="0"/>
      <w:marBottom w:val="0"/>
      <w:divBdr>
        <w:top w:val="none" w:sz="0" w:space="0" w:color="auto"/>
        <w:left w:val="none" w:sz="0" w:space="0" w:color="auto"/>
        <w:bottom w:val="none" w:sz="0" w:space="0" w:color="auto"/>
        <w:right w:val="none" w:sz="0" w:space="0" w:color="auto"/>
      </w:divBdr>
    </w:div>
    <w:div w:id="1050114694">
      <w:bodyDiv w:val="1"/>
      <w:marLeft w:val="0"/>
      <w:marRight w:val="0"/>
      <w:marTop w:val="0"/>
      <w:marBottom w:val="0"/>
      <w:divBdr>
        <w:top w:val="none" w:sz="0" w:space="0" w:color="auto"/>
        <w:left w:val="none" w:sz="0" w:space="0" w:color="auto"/>
        <w:bottom w:val="none" w:sz="0" w:space="0" w:color="auto"/>
        <w:right w:val="none" w:sz="0" w:space="0" w:color="auto"/>
      </w:divBdr>
    </w:div>
    <w:div w:id="1271276829">
      <w:bodyDiv w:val="1"/>
      <w:marLeft w:val="0"/>
      <w:marRight w:val="0"/>
      <w:marTop w:val="0"/>
      <w:marBottom w:val="0"/>
      <w:divBdr>
        <w:top w:val="none" w:sz="0" w:space="0" w:color="auto"/>
        <w:left w:val="none" w:sz="0" w:space="0" w:color="auto"/>
        <w:bottom w:val="none" w:sz="0" w:space="0" w:color="auto"/>
        <w:right w:val="none" w:sz="0" w:space="0" w:color="auto"/>
      </w:divBdr>
    </w:div>
    <w:div w:id="1451045884">
      <w:bodyDiv w:val="1"/>
      <w:marLeft w:val="0"/>
      <w:marRight w:val="0"/>
      <w:marTop w:val="0"/>
      <w:marBottom w:val="0"/>
      <w:divBdr>
        <w:top w:val="none" w:sz="0" w:space="0" w:color="auto"/>
        <w:left w:val="none" w:sz="0" w:space="0" w:color="auto"/>
        <w:bottom w:val="none" w:sz="0" w:space="0" w:color="auto"/>
        <w:right w:val="none" w:sz="0" w:space="0" w:color="auto"/>
      </w:divBdr>
    </w:div>
    <w:div w:id="1592161561">
      <w:bodyDiv w:val="1"/>
      <w:marLeft w:val="0"/>
      <w:marRight w:val="0"/>
      <w:marTop w:val="0"/>
      <w:marBottom w:val="0"/>
      <w:divBdr>
        <w:top w:val="none" w:sz="0" w:space="0" w:color="auto"/>
        <w:left w:val="none" w:sz="0" w:space="0" w:color="auto"/>
        <w:bottom w:val="none" w:sz="0" w:space="0" w:color="auto"/>
        <w:right w:val="none" w:sz="0" w:space="0" w:color="auto"/>
      </w:divBdr>
    </w:div>
    <w:div w:id="1693722429">
      <w:bodyDiv w:val="1"/>
      <w:marLeft w:val="0"/>
      <w:marRight w:val="0"/>
      <w:marTop w:val="0"/>
      <w:marBottom w:val="0"/>
      <w:divBdr>
        <w:top w:val="none" w:sz="0" w:space="0" w:color="auto"/>
        <w:left w:val="none" w:sz="0" w:space="0" w:color="auto"/>
        <w:bottom w:val="none" w:sz="0" w:space="0" w:color="auto"/>
        <w:right w:val="none" w:sz="0" w:space="0" w:color="auto"/>
      </w:divBdr>
    </w:div>
    <w:div w:id="1964649739">
      <w:bodyDiv w:val="1"/>
      <w:marLeft w:val="0"/>
      <w:marRight w:val="0"/>
      <w:marTop w:val="0"/>
      <w:marBottom w:val="0"/>
      <w:divBdr>
        <w:top w:val="none" w:sz="0" w:space="0" w:color="auto"/>
        <w:left w:val="none" w:sz="0" w:space="0" w:color="auto"/>
        <w:bottom w:val="none" w:sz="0" w:space="0" w:color="auto"/>
        <w:right w:val="none" w:sz="0" w:space="0" w:color="auto"/>
      </w:divBdr>
    </w:div>
    <w:div w:id="20201521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microsoft.com/office/2011/relationships/people" Target="people.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EC36051-B927-6F43-983E-5E0E37BBA6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steve_word_template.dotx</Template>
  <TotalTime>8</TotalTime>
  <Pages>22</Pages>
  <Words>15078</Words>
  <Characters>85948</Characters>
  <Application>Microsoft Office Word</Application>
  <DocSecurity>0</DocSecurity>
  <Lines>716</Lines>
  <Paragraphs>201</Paragraphs>
  <ScaleCrop>false</ScaleCrop>
  <HeadingPairs>
    <vt:vector size="2" baseType="variant">
      <vt:variant>
        <vt:lpstr>Title</vt:lpstr>
      </vt:variant>
      <vt:variant>
        <vt:i4>1</vt:i4>
      </vt:variant>
    </vt:vector>
  </HeadingPairs>
  <TitlesOfParts>
    <vt:vector size="1" baseType="lpstr">
      <vt:lpstr>Revisiting the Population Attributable Fraction</vt:lpstr>
    </vt:vector>
  </TitlesOfParts>
  <Company/>
  <LinksUpToDate>false</LinksUpToDate>
  <CharactersWithSpaces>100825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Revisiting the Population Attributable Fraction</dc:title>
  <dc:creator>Mark Klose1, Stephen R. Cole1, and Paul N. Zivich1,2</dc:creator>
  <cp:keywords/>
  <cp:lastModifiedBy>Klose, Mark Walter</cp:lastModifiedBy>
  <cp:revision>6</cp:revision>
  <dcterms:created xsi:type="dcterms:W3CDTF">2023-09-15T02:17:00Z</dcterms:created>
  <dcterms:modified xsi:type="dcterms:W3CDTF">2023-09-15T02:26:00Z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graphy">
    <vt:lpwstr>citations/2022_PAFs.bib</vt:lpwstr>
  </property>
  <property fmtid="{D5CDD505-2E9C-101B-9397-08002B2CF9AE}" pid="3" name="csl">
    <vt:lpwstr>citations/american-medical-association.csl</vt:lpwstr>
  </property>
  <property fmtid="{D5CDD505-2E9C-101B-9397-08002B2CF9AE}" pid="4" name="date">
    <vt:lpwstr>2022-11-09</vt:lpwstr>
  </property>
  <property fmtid="{D5CDD505-2E9C-101B-9397-08002B2CF9AE}" pid="5" name="link-citations">
    <vt:lpwstr>True</vt:lpwstr>
  </property>
  <property fmtid="{D5CDD505-2E9C-101B-9397-08002B2CF9AE}" pid="6" name="output">
    <vt:lpwstr/>
  </property>
  <property fmtid="{D5CDD505-2E9C-101B-9397-08002B2CF9AE}" pid="7" name="ZOTERO_PREF_1">
    <vt:lpwstr>&lt;data data-version="3" zotero-version="6.0.26"&gt;&lt;session id="kgqUohAp"/&gt;&lt;style id="http://www.zotero.org/styles/american-journal-of-epidemiology" hasBibliography="1" bibliographyStyleHasBeenSet="1"/&gt;&lt;prefs&gt;&lt;pref name="fieldType" value="Field"/&gt;&lt;pref name="</vt:lpwstr>
  </property>
  <property fmtid="{D5CDD505-2E9C-101B-9397-08002B2CF9AE}" pid="8" name="ZOTERO_PREF_2">
    <vt:lpwstr>automaticJournalAbbreviations" value="true"/&gt;&lt;/prefs&gt;&lt;/data&gt;</vt:lpwstr>
  </property>
</Properties>
</file>