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565312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17F65">
        <w:rPr>
          <w:rFonts w:ascii="Verdana" w:hAnsi="Verdana"/>
          <w:b/>
          <w:sz w:val="24"/>
          <w:szCs w:val="24"/>
        </w:rPr>
        <w:t>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7E8FEA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44FD6F45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 xml:space="preserve">effects of </w:t>
      </w:r>
      <w:r w:rsidR="00424A3B">
        <w:rPr>
          <w:rFonts w:ascii="Verdana" w:hAnsi="Verdana"/>
          <w:sz w:val="20"/>
          <w:szCs w:val="20"/>
        </w:rPr>
        <w:t xml:space="preserve">a </w:t>
      </w:r>
      <w:r w:rsidR="00517F65">
        <w:rPr>
          <w:rFonts w:ascii="Verdana" w:hAnsi="Verdana"/>
          <w:sz w:val="20"/>
          <w:szCs w:val="20"/>
        </w:rPr>
        <w:t>series</w:t>
      </w:r>
      <w:r w:rsidR="00D24A97">
        <w:rPr>
          <w:rFonts w:ascii="Verdana" w:hAnsi="Verdana"/>
          <w:sz w:val="20"/>
          <w:szCs w:val="20"/>
        </w:rPr>
        <w:t xml:space="preserve"> circuit</w:t>
      </w:r>
      <w:r w:rsidR="00517F65">
        <w:rPr>
          <w:rFonts w:ascii="Verdana" w:hAnsi="Verdana"/>
          <w:sz w:val="20"/>
          <w:szCs w:val="20"/>
        </w:rPr>
        <w:t xml:space="preserve"> as a voltage divider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00D80779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24A3B">
        <w:rPr>
          <w:rFonts w:ascii="Verdana" w:hAnsi="Verdana"/>
          <w:sz w:val="20"/>
          <w:szCs w:val="20"/>
        </w:rPr>
        <w:t xml:space="preserve">a </w:t>
      </w:r>
      <w:r w:rsidR="00517F65">
        <w:rPr>
          <w:rFonts w:ascii="Verdana" w:hAnsi="Verdana"/>
          <w:sz w:val="20"/>
          <w:szCs w:val="20"/>
        </w:rPr>
        <w:t>voltage divider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B6EB00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17F65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EBDE8C8" w:rsidR="00C2060B" w:rsidRDefault="00CE34B4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515544411"/>
            <w:r w:rsidRPr="00CE34B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C6DE9DD" wp14:editId="23AE731A">
                  <wp:extent cx="1274328" cy="253177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990" cy="255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E04F4" w14:textId="77777777" w:rsidR="00B431CB" w:rsidRDefault="00B431CB" w:rsidP="00CE34B4">
      <w:pPr>
        <w:spacing w:after="60"/>
        <w:ind w:left="360"/>
        <w:rPr>
          <w:rFonts w:ascii="Verdana" w:hAnsi="Verdana"/>
          <w:sz w:val="20"/>
          <w:szCs w:val="20"/>
        </w:rPr>
      </w:pPr>
      <w:bookmarkStart w:id="1" w:name="_Hlk515657822"/>
      <w:bookmarkStart w:id="2" w:name="_GoBack"/>
      <w:bookmarkEnd w:id="0"/>
      <w:r>
        <w:rPr>
          <w:rFonts w:ascii="Verdana" w:hAnsi="Verdana"/>
          <w:sz w:val="20"/>
          <w:szCs w:val="20"/>
        </w:rPr>
        <w:t>Where;</w:t>
      </w:r>
    </w:p>
    <w:p w14:paraId="6CE0C7A0" w14:textId="51F4024D" w:rsidR="00B431CB" w:rsidRPr="00CC14BC" w:rsidRDefault="00084783" w:rsidP="00CE34B4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=4.7kΩ,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=1.8kΩ,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=6.8kΩ,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=10kΩ,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=5.6kΩ </m:t>
          </m:r>
        </m:oMath>
      </m:oMathPara>
    </w:p>
    <w:p w14:paraId="364768E5" w14:textId="03F7221D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bookmarkStart w:id="3" w:name="_Hlk515652736"/>
      <w:bookmarkEnd w:id="1"/>
      <w:bookmarkEnd w:id="2"/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591E67">
        <w:rPr>
          <w:rFonts w:ascii="Verdana" w:hAnsi="Verdana"/>
          <w:sz w:val="20"/>
          <w:szCs w:val="20"/>
          <w:u w:val="single"/>
        </w:rPr>
        <w:t>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4465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CE34B4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10785" w:rsidRPr="00DD3F5F" w14:paraId="5A629C61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0FE6E85B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431CB" w:rsidRPr="00DD3F5F" w14:paraId="2A288B33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27767C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3F91F09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28414A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5D5D05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657F1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431CB" w:rsidRPr="00DD3F5F" w14:paraId="22B4E532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10E0E0" w14:textId="6F23A9CB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38FBF27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CA50378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831DA9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5BB07" w14:textId="77777777" w:rsidR="00B431CB" w:rsidRPr="00DD3F5F" w:rsidRDefault="00B431CB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3194CF75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4B6C4A39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B431C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10785" w:rsidRPr="00DD3F5F" w14:paraId="6B3B119A" w14:textId="77777777" w:rsidTr="004465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77777777" w:rsidR="00B10785" w:rsidRPr="00DD3F5F" w:rsidRDefault="00B10785" w:rsidP="004465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bookmarkEnd w:id="3"/>
    </w:tbl>
    <w:p w14:paraId="2BA8189B" w14:textId="734751AE" w:rsidR="00CC14BC" w:rsidRPr="00DB02B9" w:rsidRDefault="00CC14BC" w:rsidP="00CE34B4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CE34B4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0B7D6C2A" w14:textId="431DE5D7" w:rsidR="001E0459" w:rsidRDefault="001E0459" w:rsidP="00C1757B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591E67">
        <w:rPr>
          <w:rFonts w:ascii="Verdana" w:hAnsi="Verdana"/>
          <w:sz w:val="20"/>
          <w:szCs w:val="20"/>
          <w:u w:val="single"/>
        </w:rPr>
        <w:t>ment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37F7E89" w14:textId="5EEEED9A" w:rsidR="001E0459" w:rsidRDefault="001E0459" w:rsidP="003502B8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3502B8">
        <w:rPr>
          <w:rFonts w:ascii="Verdana" w:hAnsi="Verdana"/>
          <w:sz w:val="20"/>
          <w:szCs w:val="20"/>
        </w:rPr>
        <w:t>on the previous page</w:t>
      </w:r>
      <w:r w:rsidR="00681475">
        <w:rPr>
          <w:rFonts w:ascii="Verdana" w:hAnsi="Verdana"/>
          <w:sz w:val="20"/>
          <w:szCs w:val="20"/>
        </w:rPr>
        <w:t xml:space="preserve">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below.</w:t>
      </w:r>
      <w:r w:rsidR="003502B8">
        <w:rPr>
          <w:rFonts w:ascii="Verdana" w:hAnsi="Verdana"/>
          <w:sz w:val="20"/>
          <w:szCs w:val="20"/>
        </w:rPr>
        <w:t xml:space="preserve"> When taking these readings, the first letter indicates the red lead and the second letter indicates the black lead, therefore to read E</w:t>
      </w:r>
      <w:r w:rsidR="003502B8" w:rsidRPr="003502B8">
        <w:rPr>
          <w:rFonts w:ascii="Verdana" w:hAnsi="Verdana"/>
          <w:sz w:val="20"/>
          <w:szCs w:val="20"/>
          <w:vertAlign w:val="subscript"/>
        </w:rPr>
        <w:t>AB</w:t>
      </w:r>
      <w:r w:rsidR="003502B8">
        <w:rPr>
          <w:rFonts w:ascii="Verdana" w:hAnsi="Verdana"/>
          <w:sz w:val="20"/>
          <w:szCs w:val="20"/>
        </w:rPr>
        <w:t xml:space="preserve"> place the red lead on “A” and the black lead on “B”.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1980"/>
      </w:tblGrid>
      <w:tr w:rsidR="003502B8" w:rsidRPr="003502B8" w14:paraId="53DFB15E" w14:textId="77777777" w:rsidTr="003502B8">
        <w:tc>
          <w:tcPr>
            <w:tcW w:w="990" w:type="dxa"/>
            <w:tcBorders>
              <w:top w:val="nil"/>
              <w:left w:val="nil"/>
            </w:tcBorders>
          </w:tcPr>
          <w:p w14:paraId="03F5D271" w14:textId="4BB7EE03" w:rsidR="003502B8" w:rsidRPr="003502B8" w:rsidRDefault="003502B8" w:rsidP="003502B8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0896EA22" w14:textId="77777777" w:rsidR="003502B8" w:rsidRPr="003502B8" w:rsidRDefault="003502B8" w:rsidP="003502B8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Calculated Value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0A0CCDB" w14:textId="77777777" w:rsidR="003502B8" w:rsidRPr="003502B8" w:rsidRDefault="003502B8" w:rsidP="003502B8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Measured Value</w:t>
            </w:r>
          </w:p>
        </w:tc>
      </w:tr>
      <w:tr w:rsidR="003502B8" w:rsidRPr="003502B8" w14:paraId="3648CC7D" w14:textId="77777777" w:rsidTr="003502B8">
        <w:tc>
          <w:tcPr>
            <w:tcW w:w="990" w:type="dxa"/>
          </w:tcPr>
          <w:p w14:paraId="47A44BC0" w14:textId="42800113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1980" w:type="dxa"/>
          </w:tcPr>
          <w:p w14:paraId="04FACE1C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C1B4FB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2FCB5303" w14:textId="77777777" w:rsidTr="003502B8">
        <w:tc>
          <w:tcPr>
            <w:tcW w:w="990" w:type="dxa"/>
          </w:tcPr>
          <w:p w14:paraId="21D99FF1" w14:textId="7EF3248F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1980" w:type="dxa"/>
          </w:tcPr>
          <w:p w14:paraId="34D9B3CC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1ED36B62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73596E91" w14:textId="77777777" w:rsidTr="003502B8">
        <w:tc>
          <w:tcPr>
            <w:tcW w:w="990" w:type="dxa"/>
          </w:tcPr>
          <w:p w14:paraId="263C6DB6" w14:textId="2ABD57A9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1980" w:type="dxa"/>
          </w:tcPr>
          <w:p w14:paraId="7749ADDD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609FF3D0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4D6593D5" w14:textId="77777777" w:rsidTr="003502B8">
        <w:tc>
          <w:tcPr>
            <w:tcW w:w="990" w:type="dxa"/>
          </w:tcPr>
          <w:p w14:paraId="48F3A21E" w14:textId="7090A4C0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1980" w:type="dxa"/>
          </w:tcPr>
          <w:p w14:paraId="459F330A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775CDD2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361C8D52" w14:textId="77777777" w:rsidTr="003502B8">
        <w:tc>
          <w:tcPr>
            <w:tcW w:w="990" w:type="dxa"/>
          </w:tcPr>
          <w:p w14:paraId="4CE5221A" w14:textId="25239095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980" w:type="dxa"/>
          </w:tcPr>
          <w:p w14:paraId="0D5A237A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0FC59A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01DF3C4" w14:textId="77777777" w:rsidTr="003502B8">
        <w:tc>
          <w:tcPr>
            <w:tcW w:w="990" w:type="dxa"/>
          </w:tcPr>
          <w:p w14:paraId="00665D9B" w14:textId="344D362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AF</w:t>
            </w:r>
          </w:p>
        </w:tc>
        <w:tc>
          <w:tcPr>
            <w:tcW w:w="1980" w:type="dxa"/>
          </w:tcPr>
          <w:p w14:paraId="7221BC7A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134884DE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5ADBA454" w14:textId="77777777" w:rsidTr="003502B8">
        <w:tc>
          <w:tcPr>
            <w:tcW w:w="990" w:type="dxa"/>
          </w:tcPr>
          <w:p w14:paraId="781D8C1A" w14:textId="2CA302E0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BF</w:t>
            </w:r>
          </w:p>
        </w:tc>
        <w:tc>
          <w:tcPr>
            <w:tcW w:w="1980" w:type="dxa"/>
          </w:tcPr>
          <w:p w14:paraId="2094C2D9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603CCFC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14A116D6" w14:textId="77777777" w:rsidTr="003502B8">
        <w:tc>
          <w:tcPr>
            <w:tcW w:w="990" w:type="dxa"/>
          </w:tcPr>
          <w:p w14:paraId="373C20FA" w14:textId="73AC1B2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CF</w:t>
            </w:r>
          </w:p>
        </w:tc>
        <w:tc>
          <w:tcPr>
            <w:tcW w:w="1980" w:type="dxa"/>
          </w:tcPr>
          <w:p w14:paraId="18C9F755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22298F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2918BD80" w14:textId="77777777" w:rsidTr="003502B8">
        <w:tc>
          <w:tcPr>
            <w:tcW w:w="990" w:type="dxa"/>
          </w:tcPr>
          <w:p w14:paraId="02F5D8F4" w14:textId="3206FAEE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DF</w:t>
            </w:r>
          </w:p>
        </w:tc>
        <w:tc>
          <w:tcPr>
            <w:tcW w:w="1980" w:type="dxa"/>
          </w:tcPr>
          <w:p w14:paraId="2C90A78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77202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7DFBA2FA" w14:textId="77777777" w:rsidTr="003502B8">
        <w:tc>
          <w:tcPr>
            <w:tcW w:w="990" w:type="dxa"/>
          </w:tcPr>
          <w:p w14:paraId="352AA8B9" w14:textId="47EC3C98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980" w:type="dxa"/>
          </w:tcPr>
          <w:p w14:paraId="40979726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128E73C2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FB03270" w14:textId="77777777" w:rsidTr="003502B8">
        <w:tc>
          <w:tcPr>
            <w:tcW w:w="990" w:type="dxa"/>
          </w:tcPr>
          <w:p w14:paraId="22097964" w14:textId="21B9BC6D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FA</w:t>
            </w:r>
          </w:p>
        </w:tc>
        <w:tc>
          <w:tcPr>
            <w:tcW w:w="1980" w:type="dxa"/>
          </w:tcPr>
          <w:p w14:paraId="6082B97B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1212A0D1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37E1AB25" w14:textId="77777777" w:rsidTr="003502B8">
        <w:tc>
          <w:tcPr>
            <w:tcW w:w="990" w:type="dxa"/>
          </w:tcPr>
          <w:p w14:paraId="558BDB96" w14:textId="43493441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1980" w:type="dxa"/>
          </w:tcPr>
          <w:p w14:paraId="7173EEB8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799F1E6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19611C3" w14:textId="77777777" w:rsidTr="003502B8">
        <w:tc>
          <w:tcPr>
            <w:tcW w:w="990" w:type="dxa"/>
          </w:tcPr>
          <w:p w14:paraId="676F72D2" w14:textId="572553C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BA</w:t>
            </w:r>
          </w:p>
        </w:tc>
        <w:tc>
          <w:tcPr>
            <w:tcW w:w="1980" w:type="dxa"/>
          </w:tcPr>
          <w:p w14:paraId="3994CDF6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1CAE30E2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1AA3DC3B" w14:textId="77777777" w:rsidTr="003502B8">
        <w:tc>
          <w:tcPr>
            <w:tcW w:w="990" w:type="dxa"/>
          </w:tcPr>
          <w:p w14:paraId="55344081" w14:textId="55934059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DB</w:t>
            </w:r>
          </w:p>
        </w:tc>
        <w:tc>
          <w:tcPr>
            <w:tcW w:w="1980" w:type="dxa"/>
          </w:tcPr>
          <w:p w14:paraId="509B6676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74B68F49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68D8D709" w14:textId="77777777" w:rsidTr="003502B8">
        <w:tc>
          <w:tcPr>
            <w:tcW w:w="990" w:type="dxa"/>
          </w:tcPr>
          <w:p w14:paraId="1B448EE4" w14:textId="007881CB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FB</w:t>
            </w:r>
          </w:p>
        </w:tc>
        <w:tc>
          <w:tcPr>
            <w:tcW w:w="1980" w:type="dxa"/>
          </w:tcPr>
          <w:p w14:paraId="302A70EF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3B4BD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4A67F35" w14:textId="418E5694" w:rsidR="003502B8" w:rsidRDefault="003502B8" w:rsidP="004465E6">
      <w:pPr>
        <w:spacing w:before="120" w:after="120"/>
        <w:ind w:left="360"/>
        <w:rPr>
          <w:rFonts w:ascii="Verdana" w:hAnsi="Verdana"/>
          <w:sz w:val="20"/>
          <w:szCs w:val="20"/>
        </w:rPr>
      </w:pPr>
      <w:bookmarkStart w:id="4" w:name="_Hlk515653561"/>
      <w:r>
        <w:rPr>
          <w:rFonts w:ascii="Verdana" w:hAnsi="Verdana"/>
          <w:sz w:val="20"/>
          <w:szCs w:val="20"/>
        </w:rPr>
        <w:t xml:space="preserve">When taking </w:t>
      </w:r>
      <w:r w:rsidR="00771D18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readings </w:t>
      </w:r>
      <w:r w:rsidR="00771D18">
        <w:rPr>
          <w:rFonts w:ascii="Verdana" w:hAnsi="Verdana"/>
          <w:sz w:val="20"/>
          <w:szCs w:val="20"/>
        </w:rPr>
        <w:t xml:space="preserve">below, references </w:t>
      </w:r>
      <w:r>
        <w:rPr>
          <w:rFonts w:ascii="Verdana" w:hAnsi="Verdana"/>
          <w:sz w:val="20"/>
          <w:szCs w:val="20"/>
        </w:rPr>
        <w:t xml:space="preserve">with only one </w:t>
      </w:r>
      <w:r w:rsidR="00771D18" w:rsidRPr="00771D18">
        <w:rPr>
          <w:rFonts w:ascii="Verdana" w:hAnsi="Verdana"/>
          <w:i/>
          <w:sz w:val="20"/>
          <w:szCs w:val="20"/>
        </w:rPr>
        <w:t>subscript</w:t>
      </w:r>
      <w:r>
        <w:rPr>
          <w:rFonts w:ascii="Verdana" w:hAnsi="Verdana"/>
          <w:sz w:val="20"/>
          <w:szCs w:val="20"/>
        </w:rPr>
        <w:t xml:space="preserve"> letter indicate</w:t>
      </w:r>
      <w:r w:rsidR="00771D18">
        <w:rPr>
          <w:rFonts w:ascii="Verdana" w:hAnsi="Verdana"/>
          <w:sz w:val="20"/>
          <w:szCs w:val="20"/>
        </w:rPr>
        <w:t xml:space="preserve"> a measurement from that point to </w:t>
      </w:r>
      <w:r w:rsidR="00771D18" w:rsidRPr="004465E6">
        <w:rPr>
          <w:rFonts w:ascii="Verdana" w:hAnsi="Verdana"/>
          <w:i/>
          <w:sz w:val="20"/>
          <w:szCs w:val="20"/>
        </w:rPr>
        <w:t>ground</w:t>
      </w:r>
      <w:r w:rsidR="00771D18">
        <w:rPr>
          <w:rFonts w:ascii="Verdana" w:hAnsi="Verdana"/>
          <w:sz w:val="20"/>
          <w:szCs w:val="20"/>
        </w:rPr>
        <w:t>. To take this reading</w:t>
      </w:r>
      <w:r w:rsidR="005C3E4A">
        <w:rPr>
          <w:rFonts w:ascii="Verdana" w:hAnsi="Verdana"/>
          <w:sz w:val="20"/>
          <w:szCs w:val="20"/>
        </w:rPr>
        <w:t>,</w:t>
      </w:r>
      <w:r w:rsidR="00771D18">
        <w:rPr>
          <w:rFonts w:ascii="Verdana" w:hAnsi="Verdana"/>
          <w:sz w:val="20"/>
          <w:szCs w:val="20"/>
        </w:rPr>
        <w:t xml:space="preserve"> place</w:t>
      </w:r>
      <w:r>
        <w:rPr>
          <w:rFonts w:ascii="Verdana" w:hAnsi="Verdana"/>
          <w:sz w:val="20"/>
          <w:szCs w:val="20"/>
        </w:rPr>
        <w:t xml:space="preserve"> the red lead </w:t>
      </w:r>
      <w:r w:rsidR="00771D18">
        <w:rPr>
          <w:rFonts w:ascii="Verdana" w:hAnsi="Verdana"/>
          <w:sz w:val="20"/>
          <w:szCs w:val="20"/>
        </w:rPr>
        <w:t xml:space="preserve">on the reference point indicated </w:t>
      </w:r>
      <w:r>
        <w:rPr>
          <w:rFonts w:ascii="Verdana" w:hAnsi="Verdana"/>
          <w:sz w:val="20"/>
          <w:szCs w:val="20"/>
        </w:rPr>
        <w:t>and the black lead</w:t>
      </w:r>
      <w:r w:rsidR="00771D18">
        <w:rPr>
          <w:rFonts w:ascii="Verdana" w:hAnsi="Verdana"/>
          <w:sz w:val="20"/>
          <w:szCs w:val="20"/>
        </w:rPr>
        <w:t xml:space="preserve"> is placed on </w:t>
      </w:r>
      <w:r w:rsidR="00771D18" w:rsidRPr="00771D18">
        <w:rPr>
          <w:rFonts w:ascii="Verdana" w:hAnsi="Verdana"/>
          <w:i/>
          <w:sz w:val="20"/>
          <w:szCs w:val="20"/>
        </w:rPr>
        <w:t>ground</w:t>
      </w:r>
      <w:r w:rsidR="00771D18">
        <w:rPr>
          <w:rFonts w:ascii="Verdana" w:hAnsi="Verdana"/>
          <w:sz w:val="20"/>
          <w:szCs w:val="20"/>
        </w:rPr>
        <w:t xml:space="preserve">. </w:t>
      </w:r>
      <w:r w:rsidR="005C3E4A">
        <w:rPr>
          <w:rFonts w:ascii="Verdana" w:hAnsi="Verdana"/>
          <w:sz w:val="20"/>
          <w:szCs w:val="20"/>
        </w:rPr>
        <w:t>So,</w:t>
      </w:r>
      <w:r w:rsidR="00771D18">
        <w:rPr>
          <w:rFonts w:ascii="Verdana" w:hAnsi="Verdana"/>
          <w:sz w:val="20"/>
          <w:szCs w:val="20"/>
        </w:rPr>
        <w:t xml:space="preserve"> t</w:t>
      </w:r>
      <w:r>
        <w:rPr>
          <w:rFonts w:ascii="Verdana" w:hAnsi="Verdana"/>
          <w:sz w:val="20"/>
          <w:szCs w:val="20"/>
        </w:rPr>
        <w:t>o read E</w:t>
      </w:r>
      <w:r w:rsidRPr="003502B8">
        <w:rPr>
          <w:rFonts w:ascii="Verdana" w:hAnsi="Verdana"/>
          <w:sz w:val="20"/>
          <w:szCs w:val="20"/>
          <w:vertAlign w:val="subscript"/>
        </w:rPr>
        <w:t>A</w:t>
      </w:r>
      <w:r w:rsidR="00771D1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place the red lead on “A” and the black lead on </w:t>
      </w:r>
      <w:r w:rsidR="00771D18" w:rsidRPr="00771D18">
        <w:rPr>
          <w:rFonts w:ascii="Verdana" w:hAnsi="Verdana"/>
          <w:i/>
          <w:sz w:val="20"/>
          <w:szCs w:val="20"/>
        </w:rPr>
        <w:t>ground</w:t>
      </w:r>
      <w:r>
        <w:rPr>
          <w:rFonts w:ascii="Verdana" w:hAnsi="Verdana"/>
          <w:sz w:val="20"/>
          <w:szCs w:val="20"/>
        </w:rPr>
        <w:t>.</w:t>
      </w:r>
    </w:p>
    <w:bookmarkEnd w:id="4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1980"/>
      </w:tblGrid>
      <w:tr w:rsidR="003502B8" w:rsidRPr="003502B8" w14:paraId="0FA93A3F" w14:textId="77777777" w:rsidTr="001E60C0">
        <w:tc>
          <w:tcPr>
            <w:tcW w:w="990" w:type="dxa"/>
            <w:tcBorders>
              <w:top w:val="nil"/>
              <w:left w:val="nil"/>
            </w:tcBorders>
          </w:tcPr>
          <w:p w14:paraId="4E8013AD" w14:textId="77777777" w:rsidR="003502B8" w:rsidRPr="003502B8" w:rsidRDefault="003502B8" w:rsidP="001E60C0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227FC37E" w14:textId="77777777" w:rsidR="003502B8" w:rsidRPr="003502B8" w:rsidRDefault="003502B8" w:rsidP="001E60C0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Calculated Value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A7B84FA" w14:textId="77777777" w:rsidR="003502B8" w:rsidRPr="003502B8" w:rsidRDefault="003502B8" w:rsidP="001E60C0">
            <w:pPr>
              <w:spacing w:after="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3502B8">
              <w:rPr>
                <w:rFonts w:ascii="Verdana" w:hAnsi="Verdana"/>
                <w:noProof/>
                <w:sz w:val="20"/>
                <w:szCs w:val="20"/>
              </w:rPr>
              <w:t>Measured Value</w:t>
            </w:r>
          </w:p>
        </w:tc>
      </w:tr>
      <w:tr w:rsidR="003502B8" w:rsidRPr="003502B8" w14:paraId="2C706B62" w14:textId="77777777" w:rsidTr="001E60C0">
        <w:tc>
          <w:tcPr>
            <w:tcW w:w="990" w:type="dxa"/>
          </w:tcPr>
          <w:p w14:paraId="6A2C4B0A" w14:textId="5D7BCEC2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980" w:type="dxa"/>
          </w:tcPr>
          <w:p w14:paraId="4047BBC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1AFB0EB8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34C3848E" w14:textId="77777777" w:rsidTr="001E60C0">
        <w:tc>
          <w:tcPr>
            <w:tcW w:w="990" w:type="dxa"/>
          </w:tcPr>
          <w:p w14:paraId="6FD44D77" w14:textId="4C08DBCE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980" w:type="dxa"/>
          </w:tcPr>
          <w:p w14:paraId="3EACB748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300121D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2549F39B" w14:textId="77777777" w:rsidTr="001E60C0">
        <w:tc>
          <w:tcPr>
            <w:tcW w:w="990" w:type="dxa"/>
          </w:tcPr>
          <w:p w14:paraId="4BC100E6" w14:textId="2973109C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980" w:type="dxa"/>
          </w:tcPr>
          <w:p w14:paraId="464C42B5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76A7FAB5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184B3D1E" w14:textId="77777777" w:rsidTr="001E60C0">
        <w:tc>
          <w:tcPr>
            <w:tcW w:w="990" w:type="dxa"/>
          </w:tcPr>
          <w:p w14:paraId="211352E8" w14:textId="6B4FF3AA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980" w:type="dxa"/>
          </w:tcPr>
          <w:p w14:paraId="7D6060B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6AABBC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7BD83B8D" w14:textId="77777777" w:rsidTr="001E60C0">
        <w:tc>
          <w:tcPr>
            <w:tcW w:w="990" w:type="dxa"/>
          </w:tcPr>
          <w:p w14:paraId="19745814" w14:textId="62E02343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980" w:type="dxa"/>
          </w:tcPr>
          <w:p w14:paraId="1F63C93D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522BF80F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502B8" w:rsidRPr="003502B8" w14:paraId="7042FDB4" w14:textId="77777777" w:rsidTr="001E60C0">
        <w:tc>
          <w:tcPr>
            <w:tcW w:w="990" w:type="dxa"/>
          </w:tcPr>
          <w:p w14:paraId="317183D7" w14:textId="18668950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3502B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1980" w:type="dxa"/>
          </w:tcPr>
          <w:p w14:paraId="6ADB8D12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3BFCDB3" w14:textId="77777777" w:rsidR="003502B8" w:rsidRPr="003502B8" w:rsidRDefault="003502B8" w:rsidP="004465E6">
            <w:pPr>
              <w:spacing w:before="60" w:after="60" w:line="240" w:lineRule="auto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2BF312F7" w:rsidR="001E0459" w:rsidRDefault="001E0459" w:rsidP="004465E6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591E67">
        <w:rPr>
          <w:rFonts w:ascii="Verdana" w:hAnsi="Verdana"/>
          <w:sz w:val="20"/>
          <w:szCs w:val="20"/>
          <w:u w:val="single"/>
        </w:rPr>
        <w:t>s</w:t>
      </w:r>
    </w:p>
    <w:p w14:paraId="7ECE35CF" w14:textId="43353409" w:rsidR="00402BB9" w:rsidRDefault="00771D18" w:rsidP="009B186F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reading are always from one “point” to another “point”. Does the order in which the leads are placed make a difference on a voltage reading</w:t>
      </w:r>
      <w:r w:rsidR="00402BB9" w:rsidRPr="001E0459">
        <w:rPr>
          <w:rFonts w:ascii="Verdana" w:hAnsi="Verdana"/>
          <w:sz w:val="20"/>
          <w:szCs w:val="20"/>
        </w:rPr>
        <w:t>?</w:t>
      </w:r>
      <w:r w:rsidR="00402BB9">
        <w:rPr>
          <w:rFonts w:ascii="Verdana" w:hAnsi="Verdana"/>
          <w:sz w:val="20"/>
          <w:szCs w:val="20"/>
        </w:rPr>
        <w:t xml:space="preserve"> Yes / No</w:t>
      </w:r>
    </w:p>
    <w:p w14:paraId="64DD0E82" w14:textId="77777777" w:rsidR="00771D18" w:rsidRDefault="00771D18" w:rsidP="004465E6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there a situation that you can imagine where negative voltage would be useful? Explain.</w:t>
      </w:r>
    </w:p>
    <w:p w14:paraId="357903A3" w14:textId="31EBCB56" w:rsidR="00402BB9" w:rsidRDefault="00402BB9" w:rsidP="00402BB9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771D18">
        <w:rPr>
          <w:rFonts w:ascii="Verdana" w:hAnsi="Verdana"/>
          <w:sz w:val="20"/>
          <w:szCs w:val="20"/>
        </w:rPr>
        <w:t>value would be establishing a certain “reference point” have on taking voltage readings</w:t>
      </w:r>
      <w:r>
        <w:rPr>
          <w:rFonts w:ascii="Verdana" w:hAnsi="Verdana"/>
          <w:sz w:val="20"/>
          <w:szCs w:val="20"/>
        </w:rPr>
        <w:t>?</w:t>
      </w:r>
    </w:p>
    <w:sectPr w:rsidR="00402BB9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566E3743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65E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5C3016BD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65E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10B7BC95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478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0FF77E1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478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7F65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5755D907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7F65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3E23E5EA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3EF59578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7F65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763B5DAD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03559B6C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17F6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FD4899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7F65">
      <w:rPr>
        <w:rFonts w:ascii="BankGothic Lt BT" w:hAnsi="BankGothic Lt BT"/>
        <w:caps/>
        <w:sz w:val="24"/>
        <w:szCs w:val="24"/>
      </w:rPr>
      <w:t>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4214E9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7F65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4783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42DED"/>
    <w:rsid w:val="004465E6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91E67"/>
    <w:rsid w:val="005B3A86"/>
    <w:rsid w:val="005C1B67"/>
    <w:rsid w:val="005C3E4A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46C69"/>
    <w:rsid w:val="009559C9"/>
    <w:rsid w:val="009913FD"/>
    <w:rsid w:val="00992E13"/>
    <w:rsid w:val="009A14CD"/>
    <w:rsid w:val="009A7BF2"/>
    <w:rsid w:val="009B042B"/>
    <w:rsid w:val="009B186F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31CB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45F3E"/>
    <w:rsid w:val="00E6646E"/>
    <w:rsid w:val="00E74B0F"/>
    <w:rsid w:val="00E97D8E"/>
    <w:rsid w:val="00EA0805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2018-05-31T21:03:00Z</cp:lastPrinted>
  <dcterms:created xsi:type="dcterms:W3CDTF">2018-05-31T21:03:00Z</dcterms:created>
  <dcterms:modified xsi:type="dcterms:W3CDTF">2018-06-02T12:59:00Z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Voltage Divider</vt:lpwstr>
  </property>
  <property fmtid="{D5CDD505-2E9C-101B-9397-08002B2CF9AE}" pid="4" name="DocNum">
    <vt:i4>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