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EDC5D4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65BB9">
        <w:rPr>
          <w:rFonts w:ascii="Verdana" w:hAnsi="Verdana"/>
          <w:b/>
          <w:sz w:val="24"/>
          <w:szCs w:val="24"/>
        </w:rPr>
        <w:t>Kirchhoff's Current Law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F992C5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3C4886D4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B65BB9">
        <w:rPr>
          <w:rFonts w:ascii="Verdana" w:hAnsi="Verdana"/>
          <w:sz w:val="20"/>
          <w:szCs w:val="20"/>
        </w:rPr>
        <w:t>calculate current values within a parallel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11F49DA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B65BB9">
        <w:rPr>
          <w:rFonts w:ascii="Verdana" w:hAnsi="Verdana"/>
          <w:sz w:val="20"/>
          <w:szCs w:val="20"/>
        </w:rPr>
        <w:t>prove Kirchhoff’s Current Law (KCL)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30574F3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1145806A" w14:textId="28005150" w:rsidR="003D5A8E" w:rsidRDefault="00870A4D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Kirchhoff’s Current Law (KCL) states that the sum of the currents entering a node (point) equals the sum of the currents leaving a node (point)</w:t>
      </w:r>
      <w:r w:rsidR="003D5A8E"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Kirchhoff’s Current Law can be stated in the following equation.</w:t>
      </w:r>
    </w:p>
    <w:p w14:paraId="2F3C3A63" w14:textId="6C423CA5" w:rsidR="00870A4D" w:rsidRPr="00DA1DDF" w:rsidRDefault="004F5DBA" w:rsidP="003D5A8E">
      <w:pPr>
        <w:spacing w:before="120" w:after="120"/>
        <w:ind w:left="360"/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b>
          </m:sSub>
        </m:oMath>
      </m:oMathPara>
    </w:p>
    <w:p w14:paraId="7F5B27DE" w14:textId="37996ABF" w:rsidR="00DA1DDF" w:rsidRDefault="00DA1DDF" w:rsidP="00DA1DD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Therefore, in the circuit below, the sum of the currents going into node “A” must equal the sum of the currents coming out of that same node. Below i</w:t>
      </w:r>
      <w:r w:rsidR="00C44E2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the formula</w:t>
      </w:r>
      <w:r w:rsidR="00C44E27">
        <w:rPr>
          <w:rFonts w:ascii="Verdana" w:hAnsi="Verdana"/>
          <w:sz w:val="20"/>
          <w:szCs w:val="20"/>
        </w:rPr>
        <w:t xml:space="preserve"> for node “A”</w:t>
      </w:r>
      <w:r>
        <w:rPr>
          <w:rFonts w:ascii="Verdana" w:hAnsi="Verdana"/>
          <w:sz w:val="20"/>
          <w:szCs w:val="20"/>
        </w:rPr>
        <w:t>.</w:t>
      </w:r>
    </w:p>
    <w:p w14:paraId="1BAA7A10" w14:textId="4757096F" w:rsidR="00C44E27" w:rsidRPr="00DA1DDF" w:rsidRDefault="004F5DBA" w:rsidP="00C44E27">
      <w:pPr>
        <w:spacing w:before="120" w:after="120"/>
        <w:ind w:left="360"/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</m:oMath>
      </m:oMathPara>
    </w:p>
    <w:p w14:paraId="164DE1B8" w14:textId="54BF25E8" w:rsidR="00DA1DDF" w:rsidRDefault="00DA1DDF" w:rsidP="00DA1DDF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2583B226" w:rsidR="009B389D" w:rsidRDefault="00D9217B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D9217B">
        <w:rPr>
          <w:noProof/>
        </w:rPr>
        <w:drawing>
          <wp:inline distT="0" distB="0" distL="0" distR="0" wp14:anchorId="0B310EC9" wp14:editId="000A4848">
            <wp:extent cx="3535045" cy="249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DA1DD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0E3C7349" w:rsidR="00436F29" w:rsidRPr="00CC14BC" w:rsidRDefault="004F5DBA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=470Ω,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=560Ω,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66D16EB" w14:textId="77A1ED1E" w:rsidR="00C56AB2" w:rsidRDefault="00C56AB2" w:rsidP="009B389D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1A129C60" w14:textId="520C8AFB" w:rsidR="00C56AB2" w:rsidRDefault="00C56AB2" w:rsidP="00E2510F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</w:t>
      </w:r>
      <w:r w:rsidR="003C35BE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on </w:t>
      </w:r>
      <w:r w:rsidR="00E2510F">
        <w:rPr>
          <w:rFonts w:ascii="Verdana" w:hAnsi="Verdana"/>
          <w:sz w:val="20"/>
          <w:szCs w:val="20"/>
        </w:rPr>
        <w:t xml:space="preserve">Ohm’s law and </w:t>
      </w:r>
      <w:r>
        <w:rPr>
          <w:rFonts w:ascii="Verdana" w:hAnsi="Verdana"/>
          <w:sz w:val="20"/>
          <w:szCs w:val="20"/>
        </w:rPr>
        <w:t>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35BE" w:rsidRPr="00DD3F5F" w14:paraId="3BD2D83E" w14:textId="77777777" w:rsidTr="003C35BE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C2384D9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C4E07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3A2A2D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70CCB3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69CC62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C35BE" w:rsidRPr="00DD3F5F" w14:paraId="6AE12BE8" w14:textId="77777777" w:rsidTr="003C35B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2BE9A1E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52B3157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10922C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7C48B55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248D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2C3053A5" w14:textId="77777777" w:rsidTr="003C35B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E58B1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D7D706B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4E84D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B59B7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9600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4E134397" w14:textId="77777777" w:rsidTr="003C35B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05AC05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5A515CE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425F72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546990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884A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730E56C1" w14:textId="77777777" w:rsidTr="003C35B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14E75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0FC25F6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49260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44EEAE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40A8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D8C4448" w14:textId="45427A9A" w:rsidR="003D5A8E" w:rsidRDefault="00E2510F" w:rsidP="00E2510F">
      <w:pPr>
        <w:pStyle w:val="ListParagraph"/>
        <w:numPr>
          <w:ilvl w:val="0"/>
          <w:numId w:val="19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</w:t>
      </w:r>
      <w:r w:rsidR="00C56AB2">
        <w:rPr>
          <w:rFonts w:ascii="Verdana" w:hAnsi="Verdana"/>
          <w:sz w:val="20"/>
          <w:szCs w:val="20"/>
        </w:rPr>
        <w:t xml:space="preserve"> the computations above, apply Kirchhoff’s current law to calculate the following.</w:t>
      </w:r>
    </w:p>
    <w:p w14:paraId="75F6FD07" w14:textId="265D0B95" w:rsidR="00C56AB2" w:rsidRPr="00C56AB2" w:rsidRDefault="00C56AB2" w:rsidP="0001396E">
      <w:pPr>
        <w:tabs>
          <w:tab w:val="left" w:pos="3600"/>
          <w:tab w:val="left" w:pos="6480"/>
        </w:tabs>
        <w:spacing w:before="360" w:after="120"/>
        <w:ind w:left="806"/>
        <w:rPr>
          <w:rFonts w:ascii="Verdana" w:hAnsi="Verdana"/>
          <w:sz w:val="20"/>
          <w:szCs w:val="20"/>
        </w:rPr>
      </w:pPr>
      <w:r w:rsidRPr="00C56AB2">
        <w:rPr>
          <w:rFonts w:ascii="Verdana" w:hAnsi="Verdana"/>
          <w:sz w:val="20"/>
          <w:szCs w:val="20"/>
        </w:rPr>
        <w:t>I</w:t>
      </w:r>
      <w:r w:rsidR="00D9217B" w:rsidRPr="00D9217B">
        <w:rPr>
          <w:rFonts w:ascii="Verdana" w:hAnsi="Verdana"/>
          <w:sz w:val="20"/>
          <w:szCs w:val="20"/>
          <w:vertAlign w:val="subscript"/>
        </w:rPr>
        <w:t>A</w:t>
      </w:r>
      <w:r w:rsidRPr="00C56AB2">
        <w:rPr>
          <w:rFonts w:ascii="Verdana" w:hAnsi="Verdana"/>
          <w:sz w:val="20"/>
          <w:szCs w:val="20"/>
        </w:rPr>
        <w:t xml:space="preserve"> = ___________</w:t>
      </w:r>
      <w:r w:rsidRPr="00C56AB2">
        <w:rPr>
          <w:rFonts w:ascii="Verdana" w:hAnsi="Verdana"/>
          <w:sz w:val="20"/>
          <w:szCs w:val="20"/>
        </w:rPr>
        <w:tab/>
        <w:t>I</w:t>
      </w:r>
      <w:r w:rsidR="00D9217B">
        <w:rPr>
          <w:rFonts w:ascii="Verdana" w:hAnsi="Verdana"/>
          <w:sz w:val="20"/>
          <w:szCs w:val="20"/>
          <w:vertAlign w:val="subscript"/>
        </w:rPr>
        <w:t>C</w:t>
      </w:r>
      <w:r w:rsidRPr="00C56AB2">
        <w:rPr>
          <w:rFonts w:ascii="Verdana" w:hAnsi="Verdana"/>
          <w:sz w:val="20"/>
          <w:szCs w:val="20"/>
        </w:rPr>
        <w:t xml:space="preserve"> = ___________</w:t>
      </w:r>
      <w:r>
        <w:rPr>
          <w:rFonts w:ascii="Verdana" w:hAnsi="Verdana"/>
          <w:sz w:val="20"/>
          <w:szCs w:val="20"/>
        </w:rPr>
        <w:tab/>
      </w:r>
      <w:r w:rsidRPr="00C56AB2">
        <w:rPr>
          <w:rFonts w:ascii="Verdana" w:hAnsi="Verdana"/>
          <w:sz w:val="20"/>
          <w:szCs w:val="20"/>
        </w:rPr>
        <w:t>I</w:t>
      </w:r>
      <w:r w:rsidR="00D9217B">
        <w:rPr>
          <w:rFonts w:ascii="Verdana" w:hAnsi="Verdana"/>
          <w:sz w:val="20"/>
          <w:szCs w:val="20"/>
          <w:vertAlign w:val="subscript"/>
        </w:rPr>
        <w:t>E</w:t>
      </w:r>
      <w:r w:rsidRPr="00C56AB2">
        <w:rPr>
          <w:rFonts w:ascii="Verdana" w:hAnsi="Verdana"/>
          <w:sz w:val="20"/>
          <w:szCs w:val="20"/>
        </w:rPr>
        <w:t xml:space="preserve"> = ___________</w:t>
      </w:r>
    </w:p>
    <w:p w14:paraId="7832F609" w14:textId="4C96176F" w:rsidR="001358B9" w:rsidRPr="001358B9" w:rsidRDefault="001358B9" w:rsidP="0001396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240E1353" w14:textId="03E5D03C" w:rsidR="008431B7" w:rsidRDefault="00425B0A" w:rsidP="00425B0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Construct the circuit on the previous page. Ensure to install jumpers at every current reading for ease of measurement.</w:t>
      </w:r>
    </w:p>
    <w:p w14:paraId="227230F1" w14:textId="02832E26" w:rsidR="00425B0A" w:rsidRDefault="00425B0A" w:rsidP="00425B0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your meter and leads to read direct current. Measure and record the following values.</w:t>
      </w:r>
    </w:p>
    <w:p w14:paraId="080B40AE" w14:textId="61A4F23C" w:rsidR="00425B0A" w:rsidRDefault="00425B0A" w:rsidP="00425B0A">
      <w:pPr>
        <w:tabs>
          <w:tab w:val="left" w:pos="3600"/>
          <w:tab w:val="left" w:pos="6480"/>
        </w:tabs>
        <w:spacing w:before="360" w:after="120"/>
        <w:ind w:left="806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Pr="00425B0A">
        <w:rPr>
          <w:rFonts w:ascii="Verdana" w:hAnsi="Verdana"/>
          <w:sz w:val="20"/>
          <w:szCs w:val="20"/>
          <w:vertAlign w:val="subscript"/>
        </w:rPr>
        <w:t>R1</w:t>
      </w:r>
      <w:r w:rsidRPr="00425B0A">
        <w:rPr>
          <w:rFonts w:ascii="Verdana" w:hAnsi="Verdana"/>
          <w:sz w:val="20"/>
          <w:szCs w:val="20"/>
        </w:rPr>
        <w:t xml:space="preserve"> = ___________</w:t>
      </w:r>
      <w:r w:rsidRPr="00425B0A">
        <w:rPr>
          <w:rFonts w:ascii="Verdana" w:hAnsi="Verdana"/>
          <w:sz w:val="20"/>
          <w:szCs w:val="20"/>
        </w:rPr>
        <w:tab/>
        <w:t>I</w:t>
      </w:r>
      <w:r w:rsidRPr="00425B0A">
        <w:rPr>
          <w:rFonts w:ascii="Verdana" w:hAnsi="Verdana"/>
          <w:sz w:val="20"/>
          <w:szCs w:val="20"/>
          <w:vertAlign w:val="subscript"/>
        </w:rPr>
        <w:t>R2</w:t>
      </w:r>
      <w:r w:rsidRPr="00425B0A">
        <w:rPr>
          <w:rFonts w:ascii="Verdana" w:hAnsi="Verdana"/>
          <w:sz w:val="20"/>
          <w:szCs w:val="20"/>
        </w:rPr>
        <w:t xml:space="preserve"> = ___________</w:t>
      </w:r>
      <w:r w:rsidRPr="00425B0A">
        <w:rPr>
          <w:rFonts w:ascii="Verdana" w:hAnsi="Verdana"/>
          <w:sz w:val="20"/>
          <w:szCs w:val="20"/>
        </w:rPr>
        <w:tab/>
        <w:t>I</w:t>
      </w:r>
      <w:r w:rsidRPr="00425B0A">
        <w:rPr>
          <w:rFonts w:ascii="Verdana" w:hAnsi="Verdana"/>
          <w:sz w:val="20"/>
          <w:szCs w:val="20"/>
          <w:vertAlign w:val="subscript"/>
        </w:rPr>
        <w:t>R3</w:t>
      </w:r>
      <w:r w:rsidRPr="00425B0A">
        <w:rPr>
          <w:rFonts w:ascii="Verdana" w:hAnsi="Verdana"/>
          <w:sz w:val="20"/>
          <w:szCs w:val="20"/>
        </w:rPr>
        <w:t xml:space="preserve"> = ___________</w:t>
      </w:r>
    </w:p>
    <w:p w14:paraId="270D029D" w14:textId="6839B0F1" w:rsidR="00425B0A" w:rsidRPr="00425B0A" w:rsidRDefault="00425B0A" w:rsidP="00425B0A">
      <w:pPr>
        <w:tabs>
          <w:tab w:val="left" w:pos="3600"/>
          <w:tab w:val="left" w:pos="6480"/>
        </w:tabs>
        <w:spacing w:before="360" w:after="120"/>
        <w:ind w:left="806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Pr="00425B0A">
        <w:rPr>
          <w:rFonts w:ascii="Verdana" w:hAnsi="Verdana"/>
          <w:sz w:val="20"/>
          <w:szCs w:val="20"/>
          <w:vertAlign w:val="subscript"/>
        </w:rPr>
        <w:t>A</w:t>
      </w:r>
      <w:r w:rsidRPr="00425B0A">
        <w:rPr>
          <w:rFonts w:ascii="Verdana" w:hAnsi="Verdana"/>
          <w:sz w:val="20"/>
          <w:szCs w:val="20"/>
        </w:rPr>
        <w:t xml:space="preserve"> = ___________</w:t>
      </w:r>
      <w:r w:rsidRPr="00425B0A">
        <w:rPr>
          <w:rFonts w:ascii="Verdana" w:hAnsi="Verdana"/>
          <w:sz w:val="20"/>
          <w:szCs w:val="20"/>
        </w:rPr>
        <w:tab/>
        <w:t>I</w:t>
      </w:r>
      <w:r w:rsidRPr="00425B0A">
        <w:rPr>
          <w:rFonts w:ascii="Verdana" w:hAnsi="Verdana"/>
          <w:sz w:val="20"/>
          <w:szCs w:val="20"/>
          <w:vertAlign w:val="subscript"/>
        </w:rPr>
        <w:t>C</w:t>
      </w:r>
      <w:r w:rsidRPr="00425B0A">
        <w:rPr>
          <w:rFonts w:ascii="Verdana" w:hAnsi="Verdana"/>
          <w:sz w:val="20"/>
          <w:szCs w:val="20"/>
        </w:rPr>
        <w:t xml:space="preserve"> = ___________</w:t>
      </w:r>
      <w:r w:rsidRPr="00425B0A">
        <w:rPr>
          <w:rFonts w:ascii="Verdana" w:hAnsi="Verdana"/>
          <w:sz w:val="20"/>
          <w:szCs w:val="20"/>
        </w:rPr>
        <w:tab/>
        <w:t>I</w:t>
      </w:r>
      <w:r w:rsidRPr="00425B0A">
        <w:rPr>
          <w:rFonts w:ascii="Verdana" w:hAnsi="Verdana"/>
          <w:sz w:val="20"/>
          <w:szCs w:val="20"/>
          <w:vertAlign w:val="subscript"/>
        </w:rPr>
        <w:t>E</w:t>
      </w:r>
      <w:r w:rsidRPr="00425B0A">
        <w:rPr>
          <w:rFonts w:ascii="Verdana" w:hAnsi="Verdana"/>
          <w:sz w:val="20"/>
          <w:szCs w:val="20"/>
        </w:rPr>
        <w:t xml:space="preserve"> = ___________</w:t>
      </w:r>
    </w:p>
    <w:p w14:paraId="0B2B60FF" w14:textId="5A570316" w:rsidR="008431B7" w:rsidRDefault="003C35BE" w:rsidP="00425B0A">
      <w:pPr>
        <w:pStyle w:val="ListParagraph"/>
        <w:numPr>
          <w:ilvl w:val="0"/>
          <w:numId w:val="19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</w:t>
      </w:r>
      <w:r w:rsidR="008431B7">
        <w:rPr>
          <w:rFonts w:ascii="Verdana" w:hAnsi="Verdana"/>
          <w:sz w:val="20"/>
          <w:szCs w:val="20"/>
        </w:rPr>
        <w:t xml:space="preserve"> the recorded value</w:t>
      </w:r>
      <w:r>
        <w:rPr>
          <w:rFonts w:ascii="Verdana" w:hAnsi="Verdana"/>
          <w:sz w:val="20"/>
          <w:szCs w:val="20"/>
        </w:rPr>
        <w:t>s above</w:t>
      </w:r>
      <w:r w:rsidR="008431B7">
        <w:rPr>
          <w:rFonts w:ascii="Verdana" w:hAnsi="Verdana"/>
          <w:sz w:val="20"/>
          <w:szCs w:val="20"/>
        </w:rPr>
        <w:t xml:space="preserve"> match th</w:t>
      </w:r>
      <w:r>
        <w:rPr>
          <w:rFonts w:ascii="Verdana" w:hAnsi="Verdana"/>
          <w:sz w:val="20"/>
          <w:szCs w:val="20"/>
        </w:rPr>
        <w:t>ose that were calculated previously</w:t>
      </w:r>
      <w:r w:rsidR="008431B7">
        <w:rPr>
          <w:rFonts w:ascii="Verdana" w:hAnsi="Verdana"/>
          <w:sz w:val="20"/>
          <w:szCs w:val="20"/>
        </w:rPr>
        <w:t>? Yes / No</w:t>
      </w:r>
    </w:p>
    <w:p w14:paraId="4847E7EF" w14:textId="371430CD" w:rsidR="008431B7" w:rsidRPr="008431B7" w:rsidRDefault="008431B7" w:rsidP="008431B7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8431B7">
        <w:rPr>
          <w:rFonts w:ascii="Verdana" w:hAnsi="Verdana"/>
          <w:b/>
          <w:sz w:val="20"/>
          <w:szCs w:val="20"/>
        </w:rPr>
        <w:t>NOTE</w:t>
      </w:r>
      <w:r>
        <w:rPr>
          <w:rFonts w:ascii="Verdana" w:hAnsi="Verdana"/>
          <w:sz w:val="20"/>
          <w:szCs w:val="20"/>
        </w:rPr>
        <w:t>:</w:t>
      </w:r>
      <w:r w:rsidRPr="008431B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If </w:t>
      </w:r>
      <w:r w:rsidRPr="008431B7">
        <w:rPr>
          <w:rFonts w:ascii="Verdana" w:hAnsi="Verdana"/>
          <w:sz w:val="20"/>
          <w:szCs w:val="20"/>
        </w:rPr>
        <w:t xml:space="preserve">you answered </w:t>
      </w:r>
      <w:r w:rsidR="001358B9">
        <w:rPr>
          <w:rFonts w:ascii="Verdana" w:hAnsi="Verdana"/>
          <w:sz w:val="20"/>
          <w:szCs w:val="20"/>
        </w:rPr>
        <w:t>“</w:t>
      </w:r>
      <w:r w:rsidRPr="008431B7">
        <w:rPr>
          <w:rFonts w:ascii="Verdana" w:hAnsi="Verdana"/>
          <w:sz w:val="20"/>
          <w:szCs w:val="20"/>
        </w:rPr>
        <w:t>No</w:t>
      </w:r>
      <w:r w:rsidR="001358B9">
        <w:rPr>
          <w:rFonts w:ascii="Verdana" w:hAnsi="Verdana"/>
          <w:sz w:val="20"/>
          <w:szCs w:val="20"/>
        </w:rPr>
        <w:t>”</w:t>
      </w:r>
      <w:r w:rsidRPr="008431B7">
        <w:rPr>
          <w:rFonts w:ascii="Verdana" w:hAnsi="Verdana"/>
          <w:sz w:val="20"/>
          <w:szCs w:val="20"/>
        </w:rPr>
        <w:t xml:space="preserve"> above, get instructor </w:t>
      </w:r>
      <w:r w:rsidR="001358B9">
        <w:rPr>
          <w:rFonts w:ascii="Verdana" w:hAnsi="Verdana"/>
          <w:sz w:val="20"/>
          <w:szCs w:val="20"/>
        </w:rPr>
        <w:t>assistance</w:t>
      </w:r>
      <w:r w:rsidRPr="008431B7">
        <w:rPr>
          <w:rFonts w:ascii="Verdana" w:hAnsi="Verdana"/>
          <w:sz w:val="20"/>
          <w:szCs w:val="20"/>
        </w:rPr>
        <w:t>.</w:t>
      </w:r>
    </w:p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7ECE35CF" w14:textId="6D1B671A" w:rsidR="00402BB9" w:rsidRDefault="003C35BE" w:rsidP="003C35BE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of the following current readings equals the current supplied by the power supply?</w:t>
      </w:r>
    </w:p>
    <w:p w14:paraId="4F4F41E3" w14:textId="0CAE2465" w:rsidR="003C35BE" w:rsidRPr="003C35BE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Pr="00425B0A">
        <w:rPr>
          <w:rFonts w:ascii="Verdana" w:hAnsi="Verdana"/>
          <w:sz w:val="20"/>
          <w:szCs w:val="20"/>
          <w:vertAlign w:val="subscript"/>
        </w:rPr>
        <w:t>A</w:t>
      </w:r>
    </w:p>
    <w:p w14:paraId="0FB6DF75" w14:textId="1205E5AB" w:rsidR="003C35BE" w:rsidRPr="003C35BE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="004F5DBA">
        <w:rPr>
          <w:rFonts w:ascii="Verdana" w:hAnsi="Verdana"/>
          <w:sz w:val="20"/>
          <w:szCs w:val="20"/>
          <w:vertAlign w:val="subscript"/>
        </w:rPr>
        <w:t>C</w:t>
      </w:r>
    </w:p>
    <w:p w14:paraId="5E7F9381" w14:textId="79112869" w:rsidR="003C35BE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="004F5DBA">
        <w:rPr>
          <w:rFonts w:ascii="Verdana" w:hAnsi="Verdana"/>
          <w:sz w:val="20"/>
          <w:szCs w:val="20"/>
          <w:vertAlign w:val="subscript"/>
        </w:rPr>
        <w:t>E</w:t>
      </w:r>
    </w:p>
    <w:p w14:paraId="64DD0E82" w14:textId="7CCB1D44" w:rsidR="00771D18" w:rsidRDefault="003C35BE" w:rsidP="0001396E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of the following current readings equals two-thirds of the current supplied by the power supply?</w:t>
      </w:r>
    </w:p>
    <w:p w14:paraId="7766BDDC" w14:textId="77777777" w:rsidR="003C35BE" w:rsidRPr="003C35BE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Pr="00425B0A">
        <w:rPr>
          <w:rFonts w:ascii="Verdana" w:hAnsi="Verdana"/>
          <w:sz w:val="20"/>
          <w:szCs w:val="20"/>
          <w:vertAlign w:val="subscript"/>
        </w:rPr>
        <w:t>A</w:t>
      </w:r>
    </w:p>
    <w:p w14:paraId="3B8E8E6E" w14:textId="3BDCC36A" w:rsidR="003C35BE" w:rsidRPr="003C35BE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="004F5DBA">
        <w:rPr>
          <w:rFonts w:ascii="Verdana" w:hAnsi="Verdana"/>
          <w:sz w:val="20"/>
          <w:szCs w:val="20"/>
          <w:vertAlign w:val="subscript"/>
        </w:rPr>
        <w:t>C</w:t>
      </w:r>
    </w:p>
    <w:p w14:paraId="66FAEA99" w14:textId="54A8A31E" w:rsidR="003C35BE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="004F5DBA">
        <w:rPr>
          <w:rFonts w:ascii="Verdana" w:hAnsi="Verdana"/>
          <w:sz w:val="20"/>
          <w:szCs w:val="20"/>
          <w:vertAlign w:val="subscript"/>
        </w:rPr>
        <w:t>E</w:t>
      </w:r>
    </w:p>
    <w:p w14:paraId="1BFD0713" w14:textId="190F63B1" w:rsidR="0001396E" w:rsidRDefault="0001396E" w:rsidP="0001396E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of the following current readings equals the current through one resistor?</w:t>
      </w:r>
    </w:p>
    <w:p w14:paraId="5505143B" w14:textId="77777777" w:rsidR="0001396E" w:rsidRPr="003C35BE" w:rsidRDefault="0001396E" w:rsidP="0001396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Pr="00425B0A">
        <w:rPr>
          <w:rFonts w:ascii="Verdana" w:hAnsi="Verdana"/>
          <w:sz w:val="20"/>
          <w:szCs w:val="20"/>
          <w:vertAlign w:val="subscript"/>
        </w:rPr>
        <w:t>A</w:t>
      </w:r>
    </w:p>
    <w:p w14:paraId="3EE5FB58" w14:textId="0FE974A8" w:rsidR="0001396E" w:rsidRPr="003C35BE" w:rsidRDefault="0001396E" w:rsidP="0001396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="004F5DBA">
        <w:rPr>
          <w:rFonts w:ascii="Verdana" w:hAnsi="Verdana"/>
          <w:sz w:val="20"/>
          <w:szCs w:val="20"/>
          <w:vertAlign w:val="subscript"/>
        </w:rPr>
        <w:t>C</w:t>
      </w:r>
    </w:p>
    <w:p w14:paraId="17E825A1" w14:textId="5C53D102" w:rsidR="0001396E" w:rsidRDefault="0001396E" w:rsidP="0001396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="004F5DBA">
        <w:rPr>
          <w:rFonts w:ascii="Verdana" w:hAnsi="Verdana"/>
          <w:sz w:val="20"/>
          <w:szCs w:val="20"/>
          <w:vertAlign w:val="subscript"/>
        </w:rPr>
        <w:t>E</w:t>
      </w:r>
      <w:bookmarkStart w:id="0" w:name="_GoBack"/>
      <w:bookmarkEnd w:id="0"/>
    </w:p>
    <w:p w14:paraId="357903A3" w14:textId="23E2DF23" w:rsidR="00402BB9" w:rsidRDefault="0001396E" w:rsidP="0001396E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resistor R</w:t>
      </w:r>
      <w:r w:rsidRPr="0001396E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was removed, what would happen to the current reading I</w:t>
      </w:r>
      <w:r w:rsidRPr="0001396E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</w:rPr>
        <w:t xml:space="preserve">? </w:t>
      </w:r>
    </w:p>
    <w:p w14:paraId="250EA475" w14:textId="01306EF3" w:rsidR="0001396E" w:rsidRDefault="0001396E" w:rsidP="0001396E">
      <w:pPr>
        <w:pStyle w:val="ListParagraph"/>
        <w:numPr>
          <w:ilvl w:val="0"/>
          <w:numId w:val="16"/>
        </w:numPr>
        <w:spacing w:before="48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Applying Kirchhoff’s current law, write the equation for node “B”.</w:t>
      </w:r>
    </w:p>
    <w:sectPr w:rsidR="0001396E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6195FE15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B0A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78D28DD4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35B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72C53910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F5DB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12174ED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F5DB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4E5E47D2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65BB9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201E8771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64EBD4F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65BB9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F8ABBE7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5B7A2C0A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65BB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1C4F1B4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65BB9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A32D775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101028"/>
    <w:rsid w:val="0012231D"/>
    <w:rsid w:val="00127902"/>
    <w:rsid w:val="001358B9"/>
    <w:rsid w:val="00141375"/>
    <w:rsid w:val="00141840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4F5DBA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5608"/>
    <w:rsid w:val="008431B7"/>
    <w:rsid w:val="008669EB"/>
    <w:rsid w:val="00866D5F"/>
    <w:rsid w:val="00870A4D"/>
    <w:rsid w:val="00873F1B"/>
    <w:rsid w:val="00875710"/>
    <w:rsid w:val="008860EA"/>
    <w:rsid w:val="008975D5"/>
    <w:rsid w:val="008A53ED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24A9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2018-06-01T16:53:00Z</cp:lastPrinted>
  <dcterms:created xsi:type="dcterms:W3CDTF">2018-06-01T16:52:00Z</dcterms:created>
  <dcterms:modified xsi:type="dcterms:W3CDTF">2018-06-21T15:32:00Z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Kirchhoff's Current Law</vt:lpwstr>
  </property>
  <property fmtid="{D5CDD505-2E9C-101B-9397-08002B2CF9AE}" pid="4" name="DocNum">
    <vt:i4>10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