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D39796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D5DF2">
        <w:rPr>
          <w:rFonts w:ascii="Verdana" w:hAnsi="Verdana"/>
          <w:b/>
          <w:sz w:val="24"/>
          <w:szCs w:val="24"/>
        </w:rPr>
        <w:t>More Combination Series-Parallel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14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40341B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5A2C2200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820CD5">
        <w:rPr>
          <w:rFonts w:ascii="Verdana" w:hAnsi="Verdana"/>
          <w:sz w:val="20"/>
          <w:szCs w:val="20"/>
        </w:rPr>
        <w:t xml:space="preserve">calculate combination </w:t>
      </w:r>
      <w:r w:rsidR="00D30537">
        <w:rPr>
          <w:rFonts w:ascii="Verdana" w:hAnsi="Verdana"/>
          <w:sz w:val="20"/>
          <w:szCs w:val="20"/>
        </w:rPr>
        <w:t>series-</w:t>
      </w:r>
      <w:r w:rsidR="00B65BB9">
        <w:rPr>
          <w:rFonts w:ascii="Verdana" w:hAnsi="Verdana"/>
          <w:sz w:val="20"/>
          <w:szCs w:val="20"/>
        </w:rPr>
        <w:t>parallel circuit</w:t>
      </w:r>
      <w:r w:rsidR="00874CCF">
        <w:rPr>
          <w:rFonts w:ascii="Verdana" w:hAnsi="Verdana"/>
          <w:sz w:val="20"/>
          <w:szCs w:val="20"/>
        </w:rPr>
        <w:t xml:space="preserve"> quantities using the characteristics of a </w:t>
      </w:r>
      <w:r w:rsidR="00D30537">
        <w:rPr>
          <w:rFonts w:ascii="Verdana" w:hAnsi="Verdana"/>
          <w:sz w:val="20"/>
          <w:szCs w:val="20"/>
        </w:rPr>
        <w:t xml:space="preserve">series and a </w:t>
      </w:r>
      <w:r w:rsidR="00874CCF">
        <w:rPr>
          <w:rFonts w:ascii="Verdana" w:hAnsi="Verdana"/>
          <w:sz w:val="20"/>
          <w:szCs w:val="20"/>
        </w:rPr>
        <w:t>parallel</w:t>
      </w:r>
      <w:r w:rsidR="00820CD5">
        <w:rPr>
          <w:rFonts w:ascii="Verdana" w:hAnsi="Verdana"/>
          <w:sz w:val="20"/>
          <w:szCs w:val="20"/>
        </w:rPr>
        <w:t xml:space="preserve"> </w:t>
      </w:r>
      <w:r w:rsidR="00874CCF">
        <w:rPr>
          <w:rFonts w:ascii="Verdana" w:hAnsi="Verdana"/>
          <w:sz w:val="20"/>
          <w:szCs w:val="20"/>
        </w:rPr>
        <w:t>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2D7F277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874CCF">
        <w:rPr>
          <w:rFonts w:ascii="Verdana" w:hAnsi="Verdana"/>
          <w:sz w:val="20"/>
          <w:szCs w:val="20"/>
        </w:rPr>
        <w:t>apply the conductance method of determining total resistance.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21C85B1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D5DF2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6E4CFCDE" w14:textId="119DF96E" w:rsidR="00820CD5" w:rsidRDefault="00820CD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combination circuit is a configuration </w:t>
      </w:r>
      <w:r w:rsidR="00364796">
        <w:rPr>
          <w:rFonts w:ascii="Verdana" w:hAnsi="Verdana"/>
          <w:sz w:val="20"/>
          <w:szCs w:val="20"/>
        </w:rPr>
        <w:t xml:space="preserve">that </w:t>
      </w:r>
      <w:r>
        <w:rPr>
          <w:rFonts w:ascii="Verdana" w:hAnsi="Verdana"/>
          <w:sz w:val="20"/>
          <w:szCs w:val="20"/>
        </w:rPr>
        <w:t>mix</w:t>
      </w:r>
      <w:r w:rsidR="00364796">
        <w:rPr>
          <w:rFonts w:ascii="Verdana" w:hAnsi="Verdana"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 xml:space="preserve"> components connected in series as well as components connected in parallel</w:t>
      </w:r>
      <w:r w:rsidR="00090B4A" w:rsidRPr="00E477A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combination circuit has two major</w:t>
      </w:r>
      <w:r w:rsidR="00364796">
        <w:rPr>
          <w:rFonts w:ascii="Verdana" w:hAnsi="Verdana"/>
          <w:sz w:val="20"/>
          <w:szCs w:val="20"/>
        </w:rPr>
        <w:t xml:space="preserve"> schemes</w:t>
      </w:r>
      <w:r>
        <w:rPr>
          <w:rFonts w:ascii="Verdana" w:hAnsi="Verdana"/>
          <w:sz w:val="20"/>
          <w:szCs w:val="20"/>
        </w:rPr>
        <w:t xml:space="preserve">, series-parallel and parallel-series. This lab will focus on the </w:t>
      </w:r>
      <w:r w:rsidR="00D30537">
        <w:rPr>
          <w:rFonts w:ascii="Verdana" w:hAnsi="Verdana"/>
          <w:sz w:val="20"/>
          <w:szCs w:val="20"/>
        </w:rPr>
        <w:t>former</w:t>
      </w:r>
      <w:r>
        <w:rPr>
          <w:rFonts w:ascii="Verdana" w:hAnsi="Verdana"/>
          <w:sz w:val="20"/>
          <w:szCs w:val="20"/>
        </w:rPr>
        <w:t>.</w:t>
      </w:r>
    </w:p>
    <w:p w14:paraId="7194022C" w14:textId="79DBA7EA" w:rsidR="00820CD5" w:rsidRDefault="00047D3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D30537">
        <w:rPr>
          <w:rFonts w:ascii="Verdana" w:hAnsi="Verdana"/>
          <w:sz w:val="20"/>
          <w:szCs w:val="20"/>
        </w:rPr>
        <w:t>series-</w:t>
      </w:r>
      <w:r>
        <w:rPr>
          <w:rFonts w:ascii="Verdana" w:hAnsi="Verdana"/>
          <w:sz w:val="20"/>
          <w:szCs w:val="20"/>
        </w:rPr>
        <w:t xml:space="preserve">parallel </w:t>
      </w:r>
      <w:r w:rsidRPr="00047D35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 xml:space="preserve">is a circuit </w:t>
      </w:r>
      <w:r w:rsidRPr="00047D35">
        <w:rPr>
          <w:rFonts w:ascii="Verdana" w:hAnsi="Verdana"/>
          <w:sz w:val="20"/>
          <w:szCs w:val="20"/>
        </w:rPr>
        <w:t xml:space="preserve">whose major circuit is a </w:t>
      </w:r>
      <w:r w:rsidR="00D30537">
        <w:rPr>
          <w:rFonts w:ascii="Verdana" w:hAnsi="Verdana"/>
          <w:sz w:val="20"/>
          <w:szCs w:val="20"/>
        </w:rPr>
        <w:t>series</w:t>
      </w:r>
      <w:r w:rsidRPr="00047D35">
        <w:rPr>
          <w:rFonts w:ascii="Verdana" w:hAnsi="Verdana"/>
          <w:sz w:val="20"/>
          <w:szCs w:val="20"/>
        </w:rPr>
        <w:t xml:space="preserve"> configuration, that has </w:t>
      </w:r>
      <w:r>
        <w:rPr>
          <w:rFonts w:ascii="Verdana" w:hAnsi="Verdana"/>
          <w:sz w:val="20"/>
          <w:szCs w:val="20"/>
        </w:rPr>
        <w:t xml:space="preserve">one or more </w:t>
      </w:r>
      <w:r w:rsidR="00D30537">
        <w:rPr>
          <w:rFonts w:ascii="Verdana" w:hAnsi="Verdana"/>
          <w:sz w:val="20"/>
          <w:szCs w:val="20"/>
        </w:rPr>
        <w:t>minor parallel</w:t>
      </w:r>
      <w:r w:rsidRPr="00047D35">
        <w:rPr>
          <w:rFonts w:ascii="Verdana" w:hAnsi="Verdana"/>
          <w:sz w:val="20"/>
          <w:szCs w:val="20"/>
        </w:rPr>
        <w:t xml:space="preserve"> circuits </w:t>
      </w:r>
      <w:r w:rsidR="00D30537">
        <w:rPr>
          <w:rFonts w:ascii="Verdana" w:hAnsi="Verdana"/>
          <w:sz w:val="20"/>
          <w:szCs w:val="20"/>
        </w:rPr>
        <w:t>in line with the major series circuit</w:t>
      </w:r>
      <w:r>
        <w:rPr>
          <w:rFonts w:ascii="Verdana" w:hAnsi="Verdana"/>
          <w:sz w:val="20"/>
          <w:szCs w:val="20"/>
        </w:rPr>
        <w:t xml:space="preserve">. To solve a </w:t>
      </w:r>
      <w:r w:rsidR="00D30537">
        <w:rPr>
          <w:rFonts w:ascii="Verdana" w:hAnsi="Verdana"/>
          <w:sz w:val="20"/>
          <w:szCs w:val="20"/>
        </w:rPr>
        <w:t>series-</w:t>
      </w:r>
      <w:r>
        <w:rPr>
          <w:rFonts w:ascii="Verdana" w:hAnsi="Verdana"/>
          <w:sz w:val="20"/>
          <w:szCs w:val="20"/>
        </w:rPr>
        <w:t xml:space="preserve">parallel circuit, </w:t>
      </w:r>
      <w:r w:rsidRPr="00047D35">
        <w:rPr>
          <w:rFonts w:ascii="Verdana" w:hAnsi="Verdana"/>
          <w:sz w:val="20"/>
          <w:szCs w:val="20"/>
        </w:rPr>
        <w:t>solve</w:t>
      </w:r>
      <w:r>
        <w:rPr>
          <w:rFonts w:ascii="Verdana" w:hAnsi="Verdana"/>
          <w:sz w:val="20"/>
          <w:szCs w:val="20"/>
        </w:rPr>
        <w:t xml:space="preserve"> each</w:t>
      </w:r>
      <w:r w:rsidRPr="00047D35">
        <w:rPr>
          <w:rFonts w:ascii="Verdana" w:hAnsi="Verdana"/>
          <w:sz w:val="20"/>
          <w:szCs w:val="20"/>
        </w:rPr>
        <w:t xml:space="preserve"> </w:t>
      </w:r>
      <w:r w:rsidR="00D30537">
        <w:rPr>
          <w:rFonts w:ascii="Verdana" w:hAnsi="Verdana"/>
          <w:sz w:val="20"/>
          <w:szCs w:val="20"/>
        </w:rPr>
        <w:t xml:space="preserve">parallel circuit first, then </w:t>
      </w:r>
      <w:r>
        <w:rPr>
          <w:rFonts w:ascii="Verdana" w:hAnsi="Verdana"/>
          <w:sz w:val="20"/>
          <w:szCs w:val="20"/>
        </w:rPr>
        <w:t xml:space="preserve">the major </w:t>
      </w:r>
      <w:r w:rsidR="00D30537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 xml:space="preserve">circuit. Once individual </w:t>
      </w:r>
      <w:r w:rsidR="00D3053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circuits are calculated, the totals for the major </w:t>
      </w:r>
      <w:r w:rsidR="00D30537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 xml:space="preserve">circuit can be computed using the individual </w:t>
      </w:r>
      <w:r w:rsidR="00D30537">
        <w:rPr>
          <w:rFonts w:ascii="Verdana" w:hAnsi="Verdana"/>
          <w:sz w:val="20"/>
          <w:szCs w:val="20"/>
        </w:rPr>
        <w:t>minor circuit</w:t>
      </w:r>
      <w:r>
        <w:rPr>
          <w:rFonts w:ascii="Verdana" w:hAnsi="Verdana"/>
          <w:sz w:val="20"/>
          <w:szCs w:val="20"/>
        </w:rPr>
        <w:t xml:space="preserve"> calculations.</w:t>
      </w:r>
    </w:p>
    <w:p w14:paraId="164DE1B8" w14:textId="54BF25E8" w:rsidR="00DA1DDF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61ED10B1" w:rsidR="009B389D" w:rsidRDefault="00D56469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D56469">
        <w:rPr>
          <w:noProof/>
        </w:rPr>
        <w:drawing>
          <wp:inline distT="0" distB="0" distL="0" distR="0" wp14:anchorId="15F5F6A9" wp14:editId="783697AE">
            <wp:extent cx="1911096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096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2DF9F79C" w:rsidR="00436F29" w:rsidRPr="00CC14BC" w:rsidRDefault="0037219D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=270Ω,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=2.7kΩ,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=680Ω,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=120Ω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B2561" w:rsidRPr="00DD3F5F" w14:paraId="5F6D894D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C0C37E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F70BA2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608C3" w14:textId="5B9DC1F6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D4961" w:rsidRPr="00DD3F5F" w14:paraId="1D98CFE5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62A970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AF060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B45FAD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0C750A9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E0A95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B2561" w:rsidRPr="00DD3F5F" w14:paraId="27DDB2D0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7BB375" w14:textId="321C1571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D496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05C9B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0D7CA0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72E98E" w14:textId="4E26D601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6C7D9" w14:textId="77777777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495755D5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>
        <w:rPr>
          <w:rFonts w:ascii="Verdana" w:hAnsi="Verdana"/>
          <w:sz w:val="20"/>
          <w:szCs w:val="20"/>
        </w:rPr>
        <w:t>Take measurements and c</w:t>
      </w:r>
      <w:r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539FD879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BE0C5D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3AAE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F0F876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7872C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800B5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D4961" w:rsidRPr="00DD3F5F" w14:paraId="037087C2" w14:textId="77777777" w:rsidTr="0013520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BA36E7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93DB3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D20A038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AF53EC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33476" w14:textId="77777777" w:rsidR="00FD4961" w:rsidRPr="00DD3F5F" w:rsidRDefault="00FD4961" w:rsidP="0013520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3C01813E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3F506DA" w14:textId="39710AA9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D496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4AA5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D7C0F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11C8A0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A6B4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3368A166" w14:textId="755A32F4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>on total circuit resistance?</w:t>
      </w:r>
    </w:p>
    <w:p w14:paraId="50048AD7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594F2A34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12F706AC" w14:textId="5A86060C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E</w:t>
      </w:r>
      <w:r w:rsidRPr="00364796">
        <w:rPr>
          <w:rFonts w:ascii="Verdana" w:hAnsi="Verdana"/>
          <w:sz w:val="20"/>
          <w:szCs w:val="20"/>
          <w:vertAlign w:val="subscript"/>
        </w:rPr>
        <w:t>S</w:t>
      </w:r>
      <w:r w:rsidRPr="003647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on </w:t>
      </w:r>
      <w:r w:rsidR="00FD4961">
        <w:rPr>
          <w:rFonts w:ascii="Verdana" w:hAnsi="Verdana"/>
          <w:sz w:val="20"/>
          <w:szCs w:val="20"/>
        </w:rPr>
        <w:t>E</w:t>
      </w:r>
      <w:r w:rsidR="00FD4961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>?</w:t>
      </w:r>
    </w:p>
    <w:p w14:paraId="29C7B825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6DF03E1A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48B6368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0FD60DA" w14:textId="0B4CA821" w:rsidR="00445F80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="00445F80">
        <w:rPr>
          <w:rFonts w:ascii="Verdana" w:hAnsi="Verdana"/>
          <w:sz w:val="20"/>
          <w:szCs w:val="20"/>
        </w:rPr>
        <w:t>R</w:t>
      </w:r>
      <w:r w:rsidR="00FD4961">
        <w:rPr>
          <w:rFonts w:ascii="Verdana" w:hAnsi="Verdana"/>
          <w:sz w:val="20"/>
          <w:szCs w:val="20"/>
          <w:vertAlign w:val="subscript"/>
        </w:rPr>
        <w:t>AB</w:t>
      </w:r>
      <w:r w:rsidR="00445F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was </w:t>
      </w:r>
      <w:r w:rsidR="00FD4961">
        <w:rPr>
          <w:rFonts w:ascii="Verdana" w:hAnsi="Verdana"/>
          <w:sz w:val="20"/>
          <w:szCs w:val="20"/>
        </w:rPr>
        <w:t>decreased</w:t>
      </w:r>
      <w:r>
        <w:rPr>
          <w:rFonts w:ascii="Verdana" w:hAnsi="Verdana"/>
          <w:sz w:val="20"/>
          <w:szCs w:val="20"/>
        </w:rPr>
        <w:t xml:space="preserve">, how would </w:t>
      </w:r>
      <w:r w:rsidR="00FD4961">
        <w:rPr>
          <w:rFonts w:ascii="Verdana" w:hAnsi="Verdana"/>
          <w:sz w:val="20"/>
          <w:szCs w:val="20"/>
        </w:rPr>
        <w:t>P</w:t>
      </w:r>
      <w:r w:rsidR="00FD4961" w:rsidRPr="00FD4961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</w:t>
      </w:r>
      <w:r w:rsidR="00FD4961">
        <w:rPr>
          <w:rFonts w:ascii="Verdana" w:hAnsi="Verdana"/>
          <w:sz w:val="20"/>
          <w:szCs w:val="20"/>
        </w:rPr>
        <w:t xml:space="preserve">be </w:t>
      </w:r>
      <w:r>
        <w:rPr>
          <w:rFonts w:ascii="Verdana" w:hAnsi="Verdana"/>
          <w:sz w:val="20"/>
          <w:szCs w:val="20"/>
        </w:rPr>
        <w:t>affected</w:t>
      </w:r>
      <w:r w:rsidR="00445F80">
        <w:rPr>
          <w:rFonts w:ascii="Verdana" w:hAnsi="Verdana"/>
          <w:sz w:val="20"/>
          <w:szCs w:val="20"/>
        </w:rPr>
        <w:t>?</w:t>
      </w:r>
    </w:p>
    <w:p w14:paraId="03795DD8" w14:textId="3CB4DA87" w:rsidR="00445F80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Up</w:t>
      </w:r>
    </w:p>
    <w:p w14:paraId="6211E85B" w14:textId="79B78A2E" w:rsidR="00445F80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Down</w:t>
      </w:r>
    </w:p>
    <w:p w14:paraId="640BD06F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0759EEAD" w14:textId="77777777" w:rsidR="0037219D" w:rsidRDefault="0037219D" w:rsidP="0037219D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on P</w:t>
      </w:r>
      <w:r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if R</w:t>
      </w:r>
      <w:r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was increased?</w:t>
      </w:r>
    </w:p>
    <w:p w14:paraId="1EEDBA7F" w14:textId="313B689F" w:rsidR="00445F80" w:rsidRPr="003C35BE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Up</w:t>
      </w:r>
    </w:p>
    <w:p w14:paraId="2118546F" w14:textId="723D0F22" w:rsidR="00445F80" w:rsidRPr="003C35BE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Down</w:t>
      </w:r>
    </w:p>
    <w:p w14:paraId="3D6BE5F0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sectPr w:rsidR="00445F80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452A5E55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5646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5E9DE4BD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7FEAA592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219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BD891E2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219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DF2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09BB40BE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5DF2">
      <w:rPr>
        <w:rFonts w:ascii="BankGothic Lt BT" w:hAnsi="BankGothic Lt BT"/>
        <w:caps/>
        <w:sz w:val="24"/>
        <w:szCs w:val="24"/>
      </w:rPr>
      <w:t>More 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3514C591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1417E545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5DF2">
      <w:rPr>
        <w:rFonts w:ascii="BankGothic Lt BT" w:hAnsi="BankGothic Lt BT"/>
        <w:caps/>
        <w:sz w:val="24"/>
        <w:szCs w:val="24"/>
      </w:rPr>
      <w:t>More 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7CFB8938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10C5D3B0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D5DF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17B3A62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5DF2">
      <w:rPr>
        <w:rFonts w:ascii="BankGothic Lt BT" w:hAnsi="BankGothic Lt BT"/>
        <w:caps/>
        <w:sz w:val="24"/>
        <w:szCs w:val="24"/>
      </w:rPr>
      <w:t>More 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1269D273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DF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96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219D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4961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772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2018-06-25T20:48:00Z</cp:lastPrinted>
  <dcterms:created xsi:type="dcterms:W3CDTF">2018-06-25T20:47:00Z</dcterms:created>
  <dcterms:modified xsi:type="dcterms:W3CDTF">2018-06-26T17:38:00Z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More Combination Series-Parallel</vt:lpwstr>
  </property>
  <property fmtid="{D5CDD505-2E9C-101B-9397-08002B2CF9AE}" pid="4" name="DocNum">
    <vt:i4>14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