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2A673F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C5AB9">
        <w:rPr>
          <w:rFonts w:ascii="Verdana" w:hAnsi="Verdana"/>
          <w:b/>
          <w:sz w:val="24"/>
          <w:szCs w:val="24"/>
        </w:rPr>
        <w:t>Two Switches and Two Luminaires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C5AB9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C5AB9">
        <w:rPr>
          <w:rFonts w:ascii="Verdana" w:hAnsi="Verdana"/>
          <w:sz w:val="20"/>
          <w:szCs w:val="20"/>
        </w:rPr>
        <w:t>14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3F5AC0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C5AB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C5AB9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C5AB9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83568C9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5C5AB9">
        <w:rPr>
          <w:rFonts w:ascii="Verdana" w:hAnsi="Verdana"/>
          <w:sz w:val="20"/>
          <w:szCs w:val="20"/>
        </w:rPr>
        <w:t>two</w:t>
      </w:r>
      <w:r w:rsidR="009A14CD">
        <w:rPr>
          <w:rFonts w:ascii="Verdana" w:hAnsi="Verdana"/>
          <w:sz w:val="20"/>
          <w:szCs w:val="20"/>
        </w:rPr>
        <w:t xml:space="preserve"> </w:t>
      </w:r>
      <w:r w:rsidR="005C5AB9">
        <w:rPr>
          <w:rFonts w:ascii="Verdana" w:hAnsi="Verdana"/>
          <w:sz w:val="20"/>
          <w:szCs w:val="20"/>
        </w:rPr>
        <w:t xml:space="preserve">single pole </w:t>
      </w:r>
      <w:r w:rsidR="009A14CD">
        <w:rPr>
          <w:rFonts w:ascii="Verdana" w:hAnsi="Verdana"/>
          <w:sz w:val="20"/>
          <w:szCs w:val="20"/>
        </w:rPr>
        <w:t>switch</w:t>
      </w:r>
      <w:r w:rsidR="005C5AB9">
        <w:rPr>
          <w:rFonts w:ascii="Verdana" w:hAnsi="Verdana"/>
          <w:sz w:val="20"/>
          <w:szCs w:val="20"/>
        </w:rPr>
        <w:t>es and two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5C5AB9">
        <w:rPr>
          <w:rFonts w:ascii="Verdana" w:hAnsi="Verdana"/>
          <w:sz w:val="20"/>
          <w:szCs w:val="20"/>
        </w:rPr>
        <w:t>s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5338E1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C5AB9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171583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171583" w:rsidRPr="001C2E27" w:rsidRDefault="00171583" w:rsidP="00171583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6BADD556" w:rsidR="00171583" w:rsidRPr="001C2E27" w:rsidRDefault="00171583" w:rsidP="00171583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171583" w:rsidRPr="001C2E27" w14:paraId="698EDFB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2CA4DA0" w14:textId="1FCB176A" w:rsidR="00171583" w:rsidRDefault="00171583" w:rsidP="00171583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14/3 with ground cable</w:t>
            </w:r>
          </w:p>
        </w:tc>
        <w:tc>
          <w:tcPr>
            <w:tcW w:w="4675" w:type="dxa"/>
            <w:vAlign w:val="center"/>
          </w:tcPr>
          <w:p w14:paraId="2610B224" w14:textId="06DE286D" w:rsidR="00171583" w:rsidRPr="001C2E27" w:rsidRDefault="00171583" w:rsidP="0017158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1C2E2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BA8143A" w:rsidR="001C2E27" w:rsidRPr="001C2E27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</w:t>
            </w:r>
            <w:r w:rsidR="003F2E8B">
              <w:rPr>
                <w:rFonts w:ascii="Verdana" w:hAnsi="Verdana"/>
                <w:b w:val="0"/>
              </w:rPr>
              <w:t xml:space="preserve"> </w:t>
            </w:r>
            <w:r>
              <w:rPr>
                <w:rFonts w:ascii="Verdana" w:hAnsi="Verdana"/>
                <w:b w:val="0"/>
              </w:rPr>
              <w:t>single pole single throw switch</w:t>
            </w:r>
          </w:p>
        </w:tc>
        <w:tc>
          <w:tcPr>
            <w:tcW w:w="4675" w:type="dxa"/>
            <w:vAlign w:val="center"/>
          </w:tcPr>
          <w:p w14:paraId="7A7EC1D3" w14:textId="32A4F91B" w:rsidR="001C2E27" w:rsidRPr="001C2E27" w:rsidRDefault="001C2E2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3516F6A6" w:rsidR="009A14CD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luminaire</w:t>
            </w:r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61207" w:rsidRPr="001C2E27" w14:paraId="1BA9DF1F" w14:textId="77777777" w:rsidTr="001C2E27">
        <w:trPr>
          <w:jc w:val="center"/>
        </w:trPr>
        <w:tc>
          <w:tcPr>
            <w:tcW w:w="4505" w:type="dxa"/>
            <w:vAlign w:val="center"/>
          </w:tcPr>
          <w:p w14:paraId="3261DB1A" w14:textId="495D8639" w:rsidR="00661207" w:rsidRDefault="00C51C34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Two</w:t>
            </w:r>
            <w:r w:rsidR="00661207">
              <w:rPr>
                <w:rFonts w:ascii="Verdana" w:hAnsi="Verdana"/>
                <w:b w:val="0"/>
              </w:rPr>
              <w:t xml:space="preserve"> 120V/15A duplex receptacle</w:t>
            </w:r>
            <w:r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6F1F37BA" w14:textId="77777777" w:rsidR="00661207" w:rsidRDefault="0066120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44CEEE25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5C5AB9">
        <w:rPr>
          <w:rFonts w:ascii="Verdana" w:hAnsi="Verdana"/>
          <w:sz w:val="20"/>
          <w:szCs w:val="20"/>
        </w:rPr>
        <w:t xml:space="preserve">two </w:t>
      </w:r>
      <w:r w:rsidR="009A14CD">
        <w:rPr>
          <w:rFonts w:ascii="Verdana" w:hAnsi="Verdana"/>
          <w:sz w:val="20"/>
          <w:szCs w:val="20"/>
        </w:rPr>
        <w:t>luminaire</w:t>
      </w:r>
      <w:r w:rsidR="005C5AB9">
        <w:rPr>
          <w:rFonts w:ascii="Verdana" w:hAnsi="Verdana"/>
          <w:sz w:val="20"/>
          <w:szCs w:val="20"/>
        </w:rPr>
        <w:t xml:space="preserve">s from two single </w:t>
      </w:r>
      <w:proofErr w:type="gramStart"/>
      <w:r w:rsidR="005C5AB9">
        <w:rPr>
          <w:rFonts w:ascii="Verdana" w:hAnsi="Verdana"/>
          <w:sz w:val="20"/>
          <w:szCs w:val="20"/>
        </w:rPr>
        <w:t>pole</w:t>
      </w:r>
      <w:proofErr w:type="gramEnd"/>
      <w:r w:rsidR="005C5AB9">
        <w:rPr>
          <w:rFonts w:ascii="Verdana" w:hAnsi="Verdana"/>
          <w:sz w:val="20"/>
          <w:szCs w:val="20"/>
        </w:rPr>
        <w:t>, single throw switches</w:t>
      </w:r>
      <w:r w:rsidRPr="00DB02B9">
        <w:rPr>
          <w:rFonts w:ascii="Verdana" w:hAnsi="Verdana"/>
          <w:sz w:val="20"/>
          <w:szCs w:val="20"/>
        </w:rPr>
        <w:t>.</w:t>
      </w:r>
      <w:r w:rsidR="00825608">
        <w:rPr>
          <w:rFonts w:ascii="Verdana" w:hAnsi="Verdana"/>
          <w:sz w:val="20"/>
          <w:szCs w:val="20"/>
        </w:rPr>
        <w:t xml:space="preserve"> Power for the circuit shall enter at the </w:t>
      </w:r>
      <w:r w:rsidR="005C5AB9">
        <w:rPr>
          <w:rFonts w:ascii="Verdana" w:hAnsi="Verdana"/>
          <w:sz w:val="20"/>
          <w:szCs w:val="20"/>
        </w:rPr>
        <w:t>switch</w:t>
      </w:r>
      <w:r w:rsidR="00825608">
        <w:rPr>
          <w:rFonts w:ascii="Verdana" w:hAnsi="Verdana"/>
          <w:sz w:val="20"/>
          <w:szCs w:val="20"/>
        </w:rPr>
        <w:t xml:space="preserve"> box. </w:t>
      </w:r>
      <w:r w:rsidR="005C5AB9">
        <w:rPr>
          <w:rFonts w:ascii="Verdana" w:hAnsi="Verdana"/>
          <w:sz w:val="20"/>
          <w:szCs w:val="20"/>
        </w:rPr>
        <w:t xml:space="preserve">Both switches shall be houses in the same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598D395F" w:rsidR="00127902" w:rsidRDefault="005C5AB9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5C5AB9">
        <w:rPr>
          <w:noProof/>
        </w:rPr>
        <w:drawing>
          <wp:inline distT="0" distB="0" distL="0" distR="0" wp14:anchorId="419981D6" wp14:editId="4DE15BD8">
            <wp:extent cx="3393440" cy="137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4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83549C" w14:paraId="24CFE3EC" w14:textId="77777777" w:rsidTr="0083549C">
        <w:tc>
          <w:tcPr>
            <w:tcW w:w="8005" w:type="dxa"/>
          </w:tcPr>
          <w:p w14:paraId="6D190CFD" w14:textId="77777777" w:rsidR="0083549C" w:rsidRDefault="0083549C" w:rsidP="0083549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75143F5E" w14:textId="77777777" w:rsidR="0083549C" w:rsidRDefault="0083549C" w:rsidP="0083549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3549C" w14:paraId="053E3A43" w14:textId="77777777" w:rsidTr="0083549C">
        <w:tc>
          <w:tcPr>
            <w:tcW w:w="8005" w:type="dxa"/>
          </w:tcPr>
          <w:p w14:paraId="5667A86E" w14:textId="77777777" w:rsidR="0083549C" w:rsidRDefault="0083549C" w:rsidP="0083549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61B559AD" w14:textId="77777777" w:rsidR="0083549C" w:rsidRDefault="0083549C" w:rsidP="0083549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3549C" w14:paraId="49B518C4" w14:textId="77777777" w:rsidTr="0083549C">
        <w:tc>
          <w:tcPr>
            <w:tcW w:w="8005" w:type="dxa"/>
          </w:tcPr>
          <w:p w14:paraId="3F4DCBD8" w14:textId="77777777" w:rsidR="0083549C" w:rsidRDefault="0083549C" w:rsidP="0083549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2691FD74" w14:textId="77777777" w:rsidR="0083549C" w:rsidRDefault="0083549C" w:rsidP="0083549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3549C" w14:paraId="70E4FB73" w14:textId="77777777" w:rsidTr="0083549C">
        <w:tc>
          <w:tcPr>
            <w:tcW w:w="8005" w:type="dxa"/>
          </w:tcPr>
          <w:p w14:paraId="4383F7F0" w14:textId="77777777" w:rsidR="0083549C" w:rsidRDefault="0083549C" w:rsidP="0083549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8CB78C5" w14:textId="77777777" w:rsidR="0083549C" w:rsidRDefault="0083549C" w:rsidP="0083549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3A24031" w14:textId="708CAEF7" w:rsidR="00DB02B9" w:rsidRDefault="00DB02B9" w:rsidP="005C5AB9">
      <w:pPr>
        <w:tabs>
          <w:tab w:val="right" w:pos="10080"/>
        </w:tabs>
        <w:spacing w:before="1560" w:after="120"/>
        <w:jc w:val="center"/>
      </w:pPr>
    </w:p>
    <w:p w14:paraId="37AAAEDD" w14:textId="6CCD91F6" w:rsidR="0083549C" w:rsidRDefault="0083549C" w:rsidP="005C5AB9">
      <w:pPr>
        <w:tabs>
          <w:tab w:val="right" w:pos="10080"/>
        </w:tabs>
        <w:spacing w:before="1560" w:after="120"/>
        <w:jc w:val="center"/>
      </w:pPr>
      <w:r w:rsidRPr="005C5AB9">
        <w:rPr>
          <w:noProof/>
        </w:rPr>
        <w:drawing>
          <wp:inline distT="0" distB="0" distL="0" distR="0" wp14:anchorId="25658148" wp14:editId="421D64D3">
            <wp:extent cx="4602480" cy="414210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49C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6FC3764D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6EB6F5D1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49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38D5B5C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58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582C23F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14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58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5AB9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14E73966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C5AB9">
      <w:rPr>
        <w:rFonts w:ascii="BankGothic Lt BT" w:hAnsi="BankGothic Lt BT"/>
        <w:caps/>
        <w:sz w:val="24"/>
        <w:szCs w:val="24"/>
      </w:rPr>
      <w:t>Two Switches and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3FBE9FCF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C5A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C5AB9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6742BE80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C5AB9">
      <w:rPr>
        <w:rFonts w:ascii="BankGothic Lt BT" w:hAnsi="BankGothic Lt BT"/>
        <w:caps/>
        <w:sz w:val="24"/>
        <w:szCs w:val="24"/>
      </w:rPr>
      <w:t>Two Switches and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14EA3001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C5A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C5AB9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616005C4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C5AB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755135D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C5AB9">
      <w:rPr>
        <w:rFonts w:ascii="BankGothic Lt BT" w:hAnsi="BankGothic Lt BT"/>
        <w:caps/>
        <w:sz w:val="24"/>
        <w:szCs w:val="24"/>
      </w:rPr>
      <w:t>Two Switches and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A39AB68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C5A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C5AB9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41840"/>
    <w:rsid w:val="00171583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5749A"/>
    <w:rsid w:val="0037367C"/>
    <w:rsid w:val="003F2E8B"/>
    <w:rsid w:val="003F6D63"/>
    <w:rsid w:val="00422289"/>
    <w:rsid w:val="00431790"/>
    <w:rsid w:val="004328DF"/>
    <w:rsid w:val="004332DB"/>
    <w:rsid w:val="00442DED"/>
    <w:rsid w:val="00467565"/>
    <w:rsid w:val="00472F8B"/>
    <w:rsid w:val="00490C6C"/>
    <w:rsid w:val="004927C6"/>
    <w:rsid w:val="004C66D6"/>
    <w:rsid w:val="004D3BAE"/>
    <w:rsid w:val="00561F05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3549C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6084"/>
    <w:rsid w:val="009E53B4"/>
    <w:rsid w:val="009E6B6C"/>
    <w:rsid w:val="009F2DFA"/>
    <w:rsid w:val="009F76D1"/>
    <w:rsid w:val="00A31342"/>
    <w:rsid w:val="00A51B95"/>
    <w:rsid w:val="00A66693"/>
    <w:rsid w:val="00AD01DD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51C34"/>
    <w:rsid w:val="00C602F1"/>
    <w:rsid w:val="00C834FC"/>
    <w:rsid w:val="00C86D41"/>
    <w:rsid w:val="00CB5A57"/>
    <w:rsid w:val="00CB5F0C"/>
    <w:rsid w:val="00CE3BF2"/>
    <w:rsid w:val="00CF7AA0"/>
    <w:rsid w:val="00D54ACB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2018-05-16T20:57:00Z</cp:lastPrinted>
  <dcterms:created xsi:type="dcterms:W3CDTF">2018-05-16T20:56:00Z</dcterms:created>
  <dcterms:modified xsi:type="dcterms:W3CDTF">2018-05-17T18:13:00Z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Two Switches and Two Luminaires</vt:lpwstr>
  </property>
  <property fmtid="{D5CDD505-2E9C-101B-9397-08002B2CF9AE}" pid="4" name="DocNum">
    <vt:i4>14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