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639440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F0687">
        <w:rPr>
          <w:rFonts w:ascii="Verdana" w:hAnsi="Verdana"/>
          <w:b/>
          <w:sz w:val="24"/>
          <w:szCs w:val="24"/>
        </w:rPr>
        <w:t>RC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33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BACD23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51473B3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AD0731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AD0731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AD0731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3622A6A5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5DC6E354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0FB2D68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8F0687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E5425CF" w:rsidR="00D61980" w:rsidRPr="00D61980" w:rsidRDefault="00871C2A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(R</w:t>
      </w:r>
      <w:r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</w:t>
      </w:r>
      <w:r w:rsidR="006A74D1">
        <w:rPr>
          <w:rFonts w:ascii="Verdana" w:hAnsi="Verdana"/>
          <w:sz w:val="20"/>
          <w:szCs w:val="20"/>
        </w:rPr>
        <w:t>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6A74D1">
        <w:rPr>
          <w:rFonts w:ascii="Verdana" w:hAnsi="Verdana"/>
          <w:sz w:val="20"/>
          <w:szCs w:val="20"/>
        </w:rPr>
        <w:t>voltage</w:t>
      </w:r>
      <w:r w:rsidR="00CA6A1B"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across</w:t>
      </w:r>
      <w:r w:rsidR="00CA6A1B"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all</w:t>
      </w:r>
      <w:r w:rsidR="00CA6A1B">
        <w:rPr>
          <w:rFonts w:ascii="Verdana" w:hAnsi="Verdana"/>
          <w:sz w:val="20"/>
          <w:szCs w:val="20"/>
        </w:rPr>
        <w:t xml:space="preserve"> the resistive and 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</w:t>
      </w:r>
      <w:r w:rsidR="006A74D1">
        <w:rPr>
          <w:rFonts w:ascii="Verdana" w:hAnsi="Verdana"/>
          <w:sz w:val="20"/>
          <w:szCs w:val="20"/>
        </w:rPr>
        <w:t>current</w:t>
      </w:r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856"/>
      </w:tblGrid>
      <w:tr w:rsidR="00301F5C" w14:paraId="061D431C" w14:textId="77777777" w:rsidTr="00540B9C">
        <w:tc>
          <w:tcPr>
            <w:tcW w:w="4854" w:type="dxa"/>
          </w:tcPr>
          <w:p w14:paraId="6B767666" w14:textId="49DDE8B2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6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540B9C">
        <w:tc>
          <w:tcPr>
            <w:tcW w:w="4854" w:type="dxa"/>
            <w:vAlign w:val="center"/>
          </w:tcPr>
          <w:p w14:paraId="2BA43DC6" w14:textId="2C29CC4F" w:rsidR="00301F5C" w:rsidRDefault="00A709D4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2πfL</m:t>
                    </m:r>
                  </m:den>
                </m:f>
              </m:oMath>
            </m:oMathPara>
          </w:p>
        </w:tc>
        <w:tc>
          <w:tcPr>
            <w:tcW w:w="4856" w:type="dxa"/>
            <w:vAlign w:val="center"/>
          </w:tcPr>
          <w:p w14:paraId="56E29C09" w14:textId="3E888844" w:rsidR="00301F5C" w:rsidRDefault="005E2B5A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E2B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EF2644D" wp14:editId="16E08008">
                  <wp:extent cx="1810512" cy="98755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B9C" w14:paraId="01162D86" w14:textId="77777777" w:rsidTr="00540B9C">
        <w:tc>
          <w:tcPr>
            <w:tcW w:w="4854" w:type="dxa"/>
            <w:vAlign w:val="center"/>
          </w:tcPr>
          <w:p w14:paraId="4E34ACE1" w14:textId="236004BA" w:rsidR="00540B9C" w:rsidRPr="009A6368" w:rsidRDefault="00540B9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56" w:type="dxa"/>
            <w:vAlign w:val="center"/>
          </w:tcPr>
          <w:p w14:paraId="55D9015D" w14:textId="0FF9EAE6" w:rsidR="00540B9C" w:rsidRPr="007B399A" w:rsidRDefault="00540B9C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9A6368" w14:paraId="133E88FB" w14:textId="77777777" w:rsidTr="00540B9C">
        <w:tc>
          <w:tcPr>
            <w:tcW w:w="4854" w:type="dxa"/>
            <w:vAlign w:val="center"/>
          </w:tcPr>
          <w:p w14:paraId="3E0235D9" w14:textId="017A8C02" w:rsidR="009A6368" w:rsidRPr="009A6368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>Total current is the vector sum</w:t>
            </w:r>
          </w:p>
        </w:tc>
        <w:tc>
          <w:tcPr>
            <w:tcW w:w="4856" w:type="dxa"/>
            <w:vAlign w:val="center"/>
          </w:tcPr>
          <w:p w14:paraId="75D8A4FE" w14:textId="3E8FDC53" w:rsidR="00CA6A1B" w:rsidRPr="007B399A" w:rsidRDefault="009A636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 xml:space="preserve">Same </w:t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 xml:space="preserve">voltage </w:t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>across each component</w:t>
            </w:r>
          </w:p>
        </w:tc>
      </w:tr>
      <w:tr w:rsidR="009A6368" w14:paraId="2975E74A" w14:textId="77777777" w:rsidTr="00540B9C">
        <w:tc>
          <w:tcPr>
            <w:tcW w:w="4854" w:type="dxa"/>
            <w:vAlign w:val="center"/>
          </w:tcPr>
          <w:p w14:paraId="350CC792" w14:textId="4690BF85" w:rsidR="009A6368" w:rsidRPr="00301F5C" w:rsidRDefault="006A74D1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A74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E34393" wp14:editId="3A1039EB">
                  <wp:extent cx="1792224" cy="10149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vAlign w:val="center"/>
          </w:tcPr>
          <w:p w14:paraId="4650EBE1" w14:textId="3FF8028A" w:rsidR="009A6368" w:rsidRPr="00301F5C" w:rsidRDefault="006A74D1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A74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607686C" wp14:editId="288649D7">
                  <wp:extent cx="1627632" cy="3474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540B9C">
        <w:tc>
          <w:tcPr>
            <w:tcW w:w="4854" w:type="dxa"/>
            <w:vAlign w:val="center"/>
          </w:tcPr>
          <w:p w14:paraId="48CADE76" w14:textId="044C7CF2" w:rsidR="00026C52" w:rsidRPr="007B399A" w:rsidRDefault="00A709D4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6" w:type="dxa"/>
            <w:vAlign w:val="center"/>
          </w:tcPr>
          <w:p w14:paraId="29C54317" w14:textId="169B9CE6" w:rsidR="00026C52" w:rsidRPr="009A6368" w:rsidRDefault="00026C52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116B3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2EB94628" w:rsidR="00DB7F85" w:rsidRDefault="006A74D1" w:rsidP="00116B3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6A74D1">
        <w:rPr>
          <w:noProof/>
        </w:rPr>
        <w:drawing>
          <wp:inline distT="0" distB="0" distL="0" distR="0" wp14:anchorId="6A5568E8" wp14:editId="3CCC2616">
            <wp:extent cx="2267712" cy="7589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B40D" w14:textId="77777777" w:rsidR="00AD0731" w:rsidRPr="00207F25" w:rsidRDefault="00AD0731" w:rsidP="00AD0731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DD3F5F" w14:paraId="2AE2756B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EBB3FB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877BD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A78BD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EACF75F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AD4CD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731" w:rsidRPr="00DD3F5F" w14:paraId="3D0F3240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BF6582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60BAF" w14:textId="59658949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1B2226" w14:textId="564CBF94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F9E305" w14:textId="3577F708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72124" w14:textId="4BC73CE5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62A0FE4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07A8BB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0BB7E" w14:textId="27509AC0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859509" w14:textId="30A9343B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B33FF4" w14:textId="161B4EC2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94AA1" w14:textId="595E6A27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33E8D26B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47799A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0EF4C" w14:textId="5A4D7A6F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B91518" w14:textId="0E02E911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D6B156F" w14:textId="1468A808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20364" w14:textId="66458769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4E4DB13A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DD2A78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2E60F" w14:textId="695EE77D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308439" w14:textId="0F14351F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724D5014" w14:textId="2FB6B395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5F326" w14:textId="20B3E075" w:rsidR="00AD0731" w:rsidRPr="00CA3B2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454E8664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94CF4C" w14:textId="77777777" w:rsidR="00AD073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14631" w14:textId="78E38737" w:rsidR="00AD0731" w:rsidRPr="00483096" w:rsidRDefault="00AD0731" w:rsidP="00AD0731">
            <w:pPr>
              <w:spacing w:before="60" w:after="60" w:line="264" w:lineRule="auto"/>
              <w:jc w:val="center"/>
              <w:rPr>
                <w:highlight w:val="yellow"/>
              </w:rPr>
            </w:pPr>
          </w:p>
        </w:tc>
      </w:tr>
    </w:tbl>
    <w:p w14:paraId="708673D5" w14:textId="77777777" w:rsidR="00AD0731" w:rsidRPr="00667EC8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16508EFB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16937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24E579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841C50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3EFC3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5F5519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731" w:rsidRPr="00DD3F5F" w14:paraId="3E219BB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89E011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5BE72" w14:textId="796503E7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480630" w14:textId="39F4A4DA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22330E" w14:textId="51620F60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D9532" w14:textId="15469F83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337AF09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5ED129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ACF0A" w14:textId="19631FFE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56E7F" w14:textId="1D106799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DD035D" w14:textId="2AD734C6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6B8C3" w14:textId="3353A46A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21545F2F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6CFCAB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5F2DB" w14:textId="088AF81A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E28104" w14:textId="483085D4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47C5EE8" w14:textId="43DB1E91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1A5D9" w14:textId="0ACF0AB9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67EDF003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D45063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CB64A" w14:textId="4A3FC814" w:rsidR="00AD0731" w:rsidRPr="001D75EA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08A03EF" w14:textId="6C92792E" w:rsidR="00AD0731" w:rsidRPr="00F522E8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09C5B381" w14:textId="3BA60ECC" w:rsidR="00AD0731" w:rsidRPr="00F522E8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420E0" w14:textId="565CA801" w:rsidR="00AD0731" w:rsidRPr="00F522E8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7D6D7E48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D9D9A" w14:textId="77777777" w:rsidR="00AD073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3DB36" w14:textId="0BEB968A" w:rsidR="00AD0731" w:rsidRPr="00483096" w:rsidRDefault="00AD0731" w:rsidP="00AD0731">
            <w:pPr>
              <w:spacing w:before="60" w:after="60" w:line="264" w:lineRule="auto"/>
              <w:jc w:val="center"/>
              <w:rPr>
                <w:highlight w:val="yellow"/>
              </w:rPr>
            </w:pPr>
          </w:p>
        </w:tc>
      </w:tr>
    </w:tbl>
    <w:p w14:paraId="6C927DEC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34505583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AF5CAF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78EFF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49A2548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894F321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4006C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731" w:rsidRPr="00DD3F5F" w14:paraId="2F8BA71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ED4102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3A8F8" w14:textId="3D1B2E46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D5F143" w14:textId="6B26731E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954F8A" w14:textId="1CDD26CE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91D74" w14:textId="67FAD57E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6594B73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95B676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57A92" w14:textId="048DC8CA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BC2B99" w14:textId="2B62B385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DE17062" w14:textId="46F11FED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15DB5" w14:textId="56CB0E51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1A1B719D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5268D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4AED7" w14:textId="6C0C03FD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1429C0" w14:textId="3C6AE626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89274B4" w14:textId="54939293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401F3" w14:textId="4E5CAE32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532FF5E7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E25F91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8F4BF" w14:textId="2659E9A8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5230A1" w14:textId="0C4DF919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27208A66" w14:textId="77E0F618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6A32EA" w14:textId="2401E5FE" w:rsidR="00AD0731" w:rsidRPr="00FD710E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0F24C819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1F96FEA" w14:textId="77777777" w:rsidR="00AD073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474B6A" w14:textId="6265A700" w:rsidR="00AD0731" w:rsidRPr="00FD710E" w:rsidRDefault="00AD0731" w:rsidP="00AD0731">
            <w:pPr>
              <w:spacing w:before="60" w:after="60" w:line="264" w:lineRule="auto"/>
              <w:jc w:val="center"/>
              <w:rPr>
                <w:highlight w:val="yellow"/>
              </w:rPr>
            </w:pPr>
          </w:p>
        </w:tc>
      </w:tr>
    </w:tbl>
    <w:p w14:paraId="111D2F77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61273B4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7B2AD8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B861A6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886E0F8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9713E66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737A4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731" w:rsidRPr="00DD3F5F" w14:paraId="0BF58D0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1AF1AF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691F3" w14:textId="0205A9C7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0A0D24" w14:textId="76DC71C6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8A6ED34" w14:textId="3E0C3F12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6B689" w14:textId="70C48416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0AD61FF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FDE58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71B487" w14:textId="34FBC384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2781BA" w14:textId="40631A7B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A87884" w14:textId="2201F6BB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41F6B" w14:textId="2E4ED9B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41FA14E3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39432BF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BAD30" w14:textId="6908746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E0088A" w14:textId="1908288D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5B48AF2" w14:textId="412A90F7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346A6" w14:textId="398868D5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25431C2A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00265A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1506" w14:textId="23DDDA7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24F6837" w14:textId="497EE32C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0B5DC214" w14:textId="414D31DE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B204E" w14:textId="046567D6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7FC8A08F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9C4A35" w14:textId="77777777" w:rsidR="00AD073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789A6" w14:textId="1111D128" w:rsidR="00AD0731" w:rsidRPr="00483096" w:rsidRDefault="00AD0731" w:rsidP="00AD0731">
            <w:pPr>
              <w:spacing w:before="60" w:after="60" w:line="264" w:lineRule="auto"/>
              <w:jc w:val="center"/>
              <w:rPr>
                <w:highlight w:val="yellow"/>
              </w:rPr>
            </w:pPr>
          </w:p>
        </w:tc>
      </w:tr>
    </w:tbl>
    <w:p w14:paraId="4EC48682" w14:textId="77777777" w:rsidR="00AD0731" w:rsidRDefault="00AD0731" w:rsidP="00AD073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4690D1B" w14:textId="77777777" w:rsidR="00AD0731" w:rsidRPr="006C5DB4" w:rsidRDefault="00AD0731" w:rsidP="00AD0731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2D28A385" w14:textId="7C6B73C4" w:rsidR="00AD0731" w:rsidRDefault="008F0687" w:rsidP="00AD073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6A74D1">
        <w:rPr>
          <w:noProof/>
        </w:rPr>
        <w:drawing>
          <wp:inline distT="0" distB="0" distL="0" distR="0" wp14:anchorId="718E3435" wp14:editId="7775C74B">
            <wp:extent cx="2267712" cy="7589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EF93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0F355307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3948E1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1C6205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CE94D35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43B99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343080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D0731" w:rsidRPr="00DD3F5F" w14:paraId="04A7ABD3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BEF3AF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746A2" w14:textId="7391B688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17D8852" w14:textId="292DF06D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E398F8" w14:textId="71BADFF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1A24" w14:textId="2EBBB27B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5C8634B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F7781D7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CD3D3" w14:textId="381478CA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6FA66" w14:textId="4604685E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911676" w14:textId="16D6B5AD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78CEE" w14:textId="626D5159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68E76C27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A046EB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D5CF8" w14:textId="046AC11E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746765" w14:textId="71BA6D47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FAF443D" w14:textId="44E71FC4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9BAFE" w14:textId="3224B2AB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2E12D62E" w14:textId="77777777" w:rsidTr="00A709D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2CF1C2" w14:textId="77777777" w:rsidR="00AD0731" w:rsidRPr="00DD3F5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34DF0" w14:textId="0E7F465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1194FB" w14:textId="771467BD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2E8D1BC7" w14:textId="35D99420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F7CC7" w14:textId="17FF3D26" w:rsidR="00AD0731" w:rsidRPr="002D620F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AD0731" w:rsidRPr="00DD3F5F" w14:paraId="62F50592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AF6E2A" w14:textId="77777777" w:rsidR="00AD0731" w:rsidRDefault="00AD0731" w:rsidP="00AD0731">
            <w:pPr>
              <w:spacing w:before="60" w:after="60" w:line="264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217BA" w14:textId="43B91732" w:rsidR="00AD0731" w:rsidRPr="002D620F" w:rsidRDefault="00AD0731" w:rsidP="00AD0731">
            <w:pPr>
              <w:spacing w:before="60" w:after="60" w:line="264" w:lineRule="auto"/>
              <w:jc w:val="center"/>
              <w:rPr>
                <w:highlight w:val="yellow"/>
              </w:rPr>
            </w:pPr>
          </w:p>
        </w:tc>
      </w:tr>
    </w:tbl>
    <w:p w14:paraId="6CE3AB6C" w14:textId="77777777" w:rsidR="00AD0731" w:rsidRPr="00F570D1" w:rsidRDefault="00AD0731" w:rsidP="00AD073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753431F6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angle?</w:t>
      </w:r>
    </w:p>
    <w:p w14:paraId="6E6DA193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EDC844D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6CCC8092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7C6D51F4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08EDF3A8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BA92ACE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3DBF236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7E7BF21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109C5A10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937E211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FE8803D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58C8ABD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1BB341B0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6EBCC49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F08F412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588316D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decreased, the capacitive reactance will?</w:t>
      </w:r>
    </w:p>
    <w:p w14:paraId="04DD091A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EB2F081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1C15856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1182CCD1" w14:textId="77777777" w:rsidR="004D1D79" w:rsidRDefault="004D1D79" w:rsidP="004D1D79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61F819AF" w14:textId="77777777" w:rsidR="004D1D79" w:rsidRPr="00F12487" w:rsidRDefault="004D1D79" w:rsidP="004D1D79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05FE2B6A" w14:textId="77777777" w:rsidR="004D1D79" w:rsidRPr="004D1D79" w:rsidRDefault="004D1D79" w:rsidP="004D1D79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D1D79">
        <w:rPr>
          <w:rFonts w:ascii="Verdana" w:hAnsi="Verdana"/>
          <w:sz w:val="20"/>
          <w:szCs w:val="20"/>
        </w:rPr>
        <w:t>Decrease</w:t>
      </w:r>
    </w:p>
    <w:p w14:paraId="02D43703" w14:textId="77777777" w:rsidR="004D1D79" w:rsidRPr="004923BF" w:rsidRDefault="004D1D79" w:rsidP="004D1D79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sectPr w:rsidR="004D1D79" w:rsidRPr="004923BF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47B2" w14:textId="77777777" w:rsidR="00394CAD" w:rsidRDefault="00394CAD" w:rsidP="005B3A86">
      <w:pPr>
        <w:spacing w:after="0" w:line="240" w:lineRule="auto"/>
      </w:pPr>
      <w:r>
        <w:separator/>
      </w:r>
    </w:p>
  </w:endnote>
  <w:endnote w:type="continuationSeparator" w:id="0">
    <w:p w14:paraId="6F2C0EE0" w14:textId="77777777" w:rsidR="00394CAD" w:rsidRDefault="00394CAD" w:rsidP="005B3A86">
      <w:pPr>
        <w:spacing w:after="0" w:line="240" w:lineRule="auto"/>
      </w:pPr>
      <w:r>
        <w:continuationSeparator/>
      </w:r>
    </w:p>
  </w:endnote>
  <w:endnote w:type="continuationNotice" w:id="1">
    <w:p w14:paraId="2732E27F" w14:textId="77777777" w:rsidR="00394CAD" w:rsidRDefault="00394C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76759D64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4C64DEA2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FBC4FF2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E05E712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2B72BAF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6F46E45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F0687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2C29" w14:textId="77777777" w:rsidR="00394CAD" w:rsidRDefault="00394CAD" w:rsidP="005B3A86">
      <w:pPr>
        <w:spacing w:after="0" w:line="240" w:lineRule="auto"/>
      </w:pPr>
      <w:r>
        <w:separator/>
      </w:r>
    </w:p>
  </w:footnote>
  <w:footnote w:type="continuationSeparator" w:id="0">
    <w:p w14:paraId="26B1430A" w14:textId="77777777" w:rsidR="00394CAD" w:rsidRDefault="00394CAD" w:rsidP="005B3A86">
      <w:pPr>
        <w:spacing w:after="0" w:line="240" w:lineRule="auto"/>
      </w:pPr>
      <w:r>
        <w:continuationSeparator/>
      </w:r>
    </w:p>
  </w:footnote>
  <w:footnote w:type="continuationNotice" w:id="1">
    <w:p w14:paraId="48DA558C" w14:textId="77777777" w:rsidR="00394CAD" w:rsidRDefault="00394C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2D189120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0687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FFAA42A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5B284857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0687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E0E7305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12F47E04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F068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BBDE85C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0687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834E61E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0FE82BF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F0687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1CE57C3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F0687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EF3D74A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F068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6C52"/>
    <w:rsid w:val="0004185D"/>
    <w:rsid w:val="00041E52"/>
    <w:rsid w:val="000423C4"/>
    <w:rsid w:val="000473BF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9553B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215FA"/>
    <w:rsid w:val="0035749A"/>
    <w:rsid w:val="00357A70"/>
    <w:rsid w:val="0037367C"/>
    <w:rsid w:val="003839E6"/>
    <w:rsid w:val="0039151C"/>
    <w:rsid w:val="00394CAD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5318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1D79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0B9C"/>
    <w:rsid w:val="0054489E"/>
    <w:rsid w:val="00554A33"/>
    <w:rsid w:val="00561F05"/>
    <w:rsid w:val="005A2856"/>
    <w:rsid w:val="005A787E"/>
    <w:rsid w:val="005B290A"/>
    <w:rsid w:val="005B3A86"/>
    <w:rsid w:val="005C46B9"/>
    <w:rsid w:val="005E2B5A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7EC8"/>
    <w:rsid w:val="006828AA"/>
    <w:rsid w:val="0068409B"/>
    <w:rsid w:val="00693201"/>
    <w:rsid w:val="006979FA"/>
    <w:rsid w:val="00697F15"/>
    <w:rsid w:val="006A74D1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1C2A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0687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7646A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01371"/>
    <w:rsid w:val="00A42A96"/>
    <w:rsid w:val="00A45DD7"/>
    <w:rsid w:val="00A51B95"/>
    <w:rsid w:val="00A531A0"/>
    <w:rsid w:val="00A60174"/>
    <w:rsid w:val="00A662F0"/>
    <w:rsid w:val="00A66693"/>
    <w:rsid w:val="00A669F6"/>
    <w:rsid w:val="00A709D4"/>
    <w:rsid w:val="00A91B05"/>
    <w:rsid w:val="00A9373B"/>
    <w:rsid w:val="00AA1AE0"/>
    <w:rsid w:val="00AB3D49"/>
    <w:rsid w:val="00AD0731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A30BA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73F3C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5554-125E-4F4E-B424-A5BAC46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2018-08-13T12:06:00Z</cp:lastPrinted>
  <dcterms:created xsi:type="dcterms:W3CDTF">2018-08-06T18:19:00Z</dcterms:created>
  <dcterms:modified xsi:type="dcterms:W3CDTF">2018-08-13T13:00:00Z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RC Parallel Circuit</vt:lpwstr>
  </property>
  <property fmtid="{D5CDD505-2E9C-101B-9397-08002B2CF9AE}" pid="4" name="DocNum">
    <vt:i4>33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