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1B960E50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60B1A">
        <w:rPr>
          <w:rFonts w:ascii="Verdana" w:hAnsi="Verdana"/>
          <w:b/>
          <w:sz w:val="24"/>
          <w:szCs w:val="24"/>
        </w:rPr>
        <w:t>Latching Outputs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E3F49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0B1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EB7490C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E3F49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E3F49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2E3F49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75466D5F" w14:textId="616DCA10" w:rsidR="00083AFD" w:rsidRPr="00CD48E3" w:rsidRDefault="00083AFD" w:rsidP="00083AFD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 xml:space="preserve">the </w:t>
      </w:r>
      <w:r w:rsidR="00C60B1A">
        <w:rPr>
          <w:rFonts w:ascii="Verdana" w:hAnsi="Verdana"/>
          <w:sz w:val="20"/>
          <w:szCs w:val="20"/>
        </w:rPr>
        <w:t>Output Latch</w:t>
      </w:r>
      <w:r>
        <w:rPr>
          <w:rFonts w:ascii="Verdana" w:hAnsi="Verdana"/>
          <w:sz w:val="20"/>
          <w:szCs w:val="20"/>
        </w:rPr>
        <w:t xml:space="preserve"> (</w:t>
      </w:r>
      <w:r w:rsidR="00C60B1A">
        <w:rPr>
          <w:rFonts w:ascii="Verdana" w:hAnsi="Verdana"/>
          <w:sz w:val="20"/>
          <w:szCs w:val="20"/>
        </w:rPr>
        <w:t>OTL</w:t>
      </w:r>
      <w:r>
        <w:rPr>
          <w:rFonts w:ascii="Verdana" w:hAnsi="Verdana"/>
          <w:sz w:val="20"/>
          <w:szCs w:val="20"/>
        </w:rPr>
        <w:t>) output instruction</w:t>
      </w:r>
      <w:r w:rsidRPr="00CD48E3">
        <w:rPr>
          <w:rFonts w:ascii="Verdana" w:hAnsi="Verdana"/>
          <w:sz w:val="20"/>
          <w:szCs w:val="20"/>
        </w:rPr>
        <w:t>.</w:t>
      </w:r>
    </w:p>
    <w:p w14:paraId="5CC59E0A" w14:textId="6B409C3A" w:rsidR="006C6F74" w:rsidRPr="00CD48E3" w:rsidRDefault="006C6F74" w:rsidP="006C6F7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 xml:space="preserve">the </w:t>
      </w:r>
      <w:r w:rsidR="00C60B1A">
        <w:rPr>
          <w:rFonts w:ascii="Verdana" w:hAnsi="Verdana"/>
          <w:sz w:val="20"/>
          <w:szCs w:val="20"/>
        </w:rPr>
        <w:t xml:space="preserve">Output Unlatch </w:t>
      </w:r>
      <w:r w:rsidR="002040CF">
        <w:rPr>
          <w:rFonts w:ascii="Verdana" w:hAnsi="Verdana"/>
          <w:sz w:val="20"/>
          <w:szCs w:val="20"/>
        </w:rPr>
        <w:t>(</w:t>
      </w:r>
      <w:r w:rsidR="00C60B1A">
        <w:rPr>
          <w:rFonts w:ascii="Verdana" w:hAnsi="Verdana"/>
          <w:sz w:val="20"/>
          <w:szCs w:val="20"/>
        </w:rPr>
        <w:t>OTU</w:t>
      </w:r>
      <w:r w:rsidR="002040CF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output instruction</w:t>
      </w:r>
      <w:r w:rsidRPr="00CD48E3">
        <w:rPr>
          <w:rFonts w:ascii="Verdana" w:hAnsi="Verdana"/>
          <w:sz w:val="20"/>
          <w:szCs w:val="20"/>
        </w:rPr>
        <w:t>.</w:t>
      </w:r>
    </w:p>
    <w:p w14:paraId="6B7BFDEE" w14:textId="5D06FD3B" w:rsidR="00E509E6" w:rsidRPr="00E509E6" w:rsidRDefault="00E509E6" w:rsidP="00E509E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5E4AB5AF" w14:textId="0D0A3DFF" w:rsidR="00C60B1A" w:rsidRPr="00C60B1A" w:rsidRDefault="00C60B1A" w:rsidP="00C60B1A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 w:rsidRPr="00C60B1A">
        <w:rPr>
          <w:rFonts w:ascii="Verdana" w:hAnsi="Verdana"/>
          <w:sz w:val="20"/>
          <w:szCs w:val="20"/>
          <w:u w:val="single"/>
        </w:rPr>
        <w:t>Output Latch (OTL)</w:t>
      </w:r>
      <w:r w:rsidR="00C02E24" w:rsidRPr="00C02E24">
        <w:rPr>
          <w:noProof/>
        </w:rPr>
        <w:t xml:space="preserve"> </w:t>
      </w:r>
    </w:p>
    <w:p w14:paraId="46D14C93" w14:textId="5CF90F5D" w:rsidR="00C60B1A" w:rsidRPr="00C60B1A" w:rsidRDefault="00C02E24" w:rsidP="00C60B1A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</w:rPr>
      </w:pPr>
      <w:r w:rsidRPr="00C02E24">
        <w:rPr>
          <w:noProof/>
        </w:rPr>
        <w:drawing>
          <wp:anchor distT="0" distB="0" distL="114300" distR="114300" simplePos="0" relativeHeight="251662336" behindDoc="0" locked="0" layoutInCell="1" allowOverlap="1" wp14:anchorId="2AFC042A" wp14:editId="3698BE0F">
            <wp:simplePos x="0" y="0"/>
            <wp:positionH relativeFrom="column">
              <wp:posOffset>5753385</wp:posOffset>
            </wp:positionH>
            <wp:positionV relativeFrom="paragraph">
              <wp:posOffset>82484</wp:posOffset>
            </wp:positionV>
            <wp:extent cx="603504" cy="941832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B1A" w:rsidRPr="00C60B1A">
        <w:rPr>
          <w:rFonts w:ascii="Verdana" w:hAnsi="Verdana"/>
          <w:sz w:val="20"/>
          <w:szCs w:val="20"/>
        </w:rPr>
        <w:t>This instruction functions much the same as the OTE with the exception that once a</w:t>
      </w:r>
      <w:r w:rsidR="00C60B1A">
        <w:rPr>
          <w:rFonts w:ascii="Verdana" w:hAnsi="Verdana"/>
          <w:sz w:val="20"/>
          <w:szCs w:val="20"/>
        </w:rPr>
        <w:t>n address</w:t>
      </w:r>
      <w:r w:rsidR="00C60B1A" w:rsidRPr="00C60B1A">
        <w:rPr>
          <w:rFonts w:ascii="Verdana" w:hAnsi="Verdana"/>
          <w:sz w:val="20"/>
          <w:szCs w:val="20"/>
        </w:rPr>
        <w:t xml:space="preserve"> bit is set </w:t>
      </w:r>
      <w:r w:rsidR="00C60B1A">
        <w:rPr>
          <w:rFonts w:ascii="Verdana" w:hAnsi="Verdana"/>
          <w:sz w:val="20"/>
          <w:szCs w:val="20"/>
        </w:rPr>
        <w:t>through</w:t>
      </w:r>
      <w:r w:rsidR="00C60B1A" w:rsidRPr="00C60B1A">
        <w:rPr>
          <w:rFonts w:ascii="Verdana" w:hAnsi="Verdana"/>
          <w:sz w:val="20"/>
          <w:szCs w:val="20"/>
        </w:rPr>
        <w:t xml:space="preserve"> an OTL, it is "latched" on. </w:t>
      </w:r>
      <w:r w:rsidR="00C60B1A">
        <w:rPr>
          <w:rFonts w:ascii="Verdana" w:hAnsi="Verdana"/>
          <w:sz w:val="20"/>
          <w:szCs w:val="20"/>
        </w:rPr>
        <w:t>The bit</w:t>
      </w:r>
      <w:r w:rsidR="00C60B1A" w:rsidRPr="00C60B1A">
        <w:rPr>
          <w:rFonts w:ascii="Verdana" w:hAnsi="Verdana"/>
          <w:sz w:val="20"/>
          <w:szCs w:val="20"/>
        </w:rPr>
        <w:t xml:space="preserve"> will remain "on" even if rung continuity is lost. The bit must be reset with an O</w:t>
      </w:r>
      <w:r w:rsidR="00C60B1A">
        <w:rPr>
          <w:rFonts w:ascii="Verdana" w:hAnsi="Verdana"/>
          <w:sz w:val="20"/>
          <w:szCs w:val="20"/>
        </w:rPr>
        <w:t>TU instruction.</w:t>
      </w:r>
    </w:p>
    <w:p w14:paraId="33B79778" w14:textId="4C2EF47F" w:rsidR="00C60B1A" w:rsidRPr="00C60B1A" w:rsidRDefault="00C60B1A" w:rsidP="00C60B1A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 w:rsidRPr="00C60B1A">
        <w:rPr>
          <w:rFonts w:ascii="Verdana" w:hAnsi="Verdana"/>
          <w:sz w:val="20"/>
          <w:szCs w:val="20"/>
          <w:u w:val="single"/>
        </w:rPr>
        <w:t xml:space="preserve">Output </w:t>
      </w:r>
      <w:r>
        <w:rPr>
          <w:rFonts w:ascii="Verdana" w:hAnsi="Verdana"/>
          <w:sz w:val="20"/>
          <w:szCs w:val="20"/>
          <w:u w:val="single"/>
        </w:rPr>
        <w:t>Unl</w:t>
      </w:r>
      <w:r w:rsidRPr="00C60B1A">
        <w:rPr>
          <w:rFonts w:ascii="Verdana" w:hAnsi="Verdana"/>
          <w:sz w:val="20"/>
          <w:szCs w:val="20"/>
          <w:u w:val="single"/>
        </w:rPr>
        <w:t>atch (OT</w:t>
      </w:r>
      <w:r>
        <w:rPr>
          <w:rFonts w:ascii="Verdana" w:hAnsi="Verdana"/>
          <w:sz w:val="20"/>
          <w:szCs w:val="20"/>
          <w:u w:val="single"/>
        </w:rPr>
        <w:t>U</w:t>
      </w:r>
      <w:r w:rsidRPr="00C60B1A">
        <w:rPr>
          <w:rFonts w:ascii="Verdana" w:hAnsi="Verdana"/>
          <w:sz w:val="20"/>
          <w:szCs w:val="20"/>
          <w:u w:val="single"/>
        </w:rPr>
        <w:t>)</w:t>
      </w:r>
    </w:p>
    <w:p w14:paraId="667370E0" w14:textId="1826D3DD" w:rsidR="00C60B1A" w:rsidRPr="00C60B1A" w:rsidRDefault="00C60B1A" w:rsidP="00C60B1A">
      <w:pPr>
        <w:pStyle w:val="ListParagraph"/>
        <w:spacing w:before="120" w:after="120"/>
        <w:ind w:left="360"/>
        <w:rPr>
          <w:rFonts w:ascii="Verdana" w:hAnsi="Verdana"/>
          <w:sz w:val="20"/>
          <w:szCs w:val="20"/>
        </w:rPr>
      </w:pPr>
      <w:r w:rsidRPr="00C60B1A">
        <w:rPr>
          <w:rFonts w:ascii="Verdana" w:hAnsi="Verdana"/>
          <w:sz w:val="20"/>
          <w:szCs w:val="20"/>
        </w:rPr>
        <w:t>Use this output instruction to unlatch a bit which was latched by an OTL instruction. The OTU address must be identical to the OTL address which originally set the bit</w:t>
      </w:r>
      <w:r w:rsidR="00C02E24">
        <w:rPr>
          <w:rFonts w:ascii="Verdana" w:hAnsi="Verdana"/>
          <w:sz w:val="20"/>
          <w:szCs w:val="20"/>
        </w:rPr>
        <w:t xml:space="preserve">. </w:t>
      </w:r>
      <w:r w:rsidRPr="00C60B1A">
        <w:rPr>
          <w:rFonts w:ascii="Verdana" w:hAnsi="Verdana"/>
          <w:sz w:val="20"/>
          <w:szCs w:val="20"/>
        </w:rPr>
        <w:t>Output addresses are specified to the bit level.</w:t>
      </w:r>
    </w:p>
    <w:p w14:paraId="59ECDDF2" w14:textId="56602B56" w:rsidR="005D4ABD" w:rsidRDefault="005D4ABD" w:rsidP="00C02E2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Graphics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2108D" w14:paraId="1D50BD4C" w14:textId="77777777" w:rsidTr="00C02E24">
        <w:trPr>
          <w:jc w:val="center"/>
        </w:trPr>
        <w:tc>
          <w:tcPr>
            <w:tcW w:w="5040" w:type="dxa"/>
          </w:tcPr>
          <w:p w14:paraId="17B28960" w14:textId="35AB8367" w:rsidR="00D2108D" w:rsidRPr="00D2108D" w:rsidRDefault="00C02E24" w:rsidP="00D2108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OTL</w:t>
            </w:r>
          </w:p>
        </w:tc>
        <w:tc>
          <w:tcPr>
            <w:tcW w:w="5040" w:type="dxa"/>
          </w:tcPr>
          <w:p w14:paraId="374CEDEF" w14:textId="0C2C3423" w:rsidR="00D2108D" w:rsidRPr="00D2108D" w:rsidRDefault="00C02E24" w:rsidP="00D2108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OTU</w:t>
            </w:r>
          </w:p>
        </w:tc>
      </w:tr>
      <w:tr w:rsidR="005D4ABD" w14:paraId="7963DC8B" w14:textId="77777777" w:rsidTr="00C02E24">
        <w:trPr>
          <w:jc w:val="center"/>
        </w:trPr>
        <w:tc>
          <w:tcPr>
            <w:tcW w:w="5040" w:type="dxa"/>
          </w:tcPr>
          <w:p w14:paraId="14D13C72" w14:textId="2936D54B" w:rsidR="005D4ABD" w:rsidRDefault="00C02E24" w:rsidP="005D4ABD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02E2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C66A8C" wp14:editId="37A178AF">
                  <wp:extent cx="3090672" cy="1325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672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A08A9B8" w14:textId="706B9402" w:rsidR="005D4ABD" w:rsidRDefault="00C02E24" w:rsidP="00D961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02E2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5936B38" wp14:editId="6A1A07C9">
                  <wp:extent cx="3090672" cy="13258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672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466B8" w14:textId="77777777" w:rsidR="00766560" w:rsidRDefault="00766560" w:rsidP="00325F4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374"/>
      </w:tblGrid>
      <w:tr w:rsidR="00766560" w:rsidRPr="0018769F" w14:paraId="67350F6C" w14:textId="77777777" w:rsidTr="000466DF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955D9C" w14:textId="77777777" w:rsidR="00766560" w:rsidRPr="0018769F" w:rsidRDefault="00766560" w:rsidP="000466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766560" w:rsidRPr="0018769F" w14:paraId="556A0577" w14:textId="77777777" w:rsidTr="000466DF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95D8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8A16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4955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766560" w:rsidRPr="0018769F" w14:paraId="6F821B53" w14:textId="77777777" w:rsidTr="000466DF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79EC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4ED2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 Counter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79FA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CNT_RST</w:t>
            </w:r>
          </w:p>
        </w:tc>
      </w:tr>
      <w:tr w:rsidR="00766560" w:rsidRPr="0018769F" w14:paraId="42A42306" w14:textId="77777777" w:rsidTr="000466DF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1F22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4F6A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 Up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7D48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CNT_UP</w:t>
            </w:r>
          </w:p>
        </w:tc>
      </w:tr>
      <w:tr w:rsidR="00766560" w:rsidRPr="0018769F" w14:paraId="2D94DA5E" w14:textId="77777777" w:rsidTr="000466DF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7E4A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9FF2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 Down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D032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CNT_DW</w:t>
            </w:r>
          </w:p>
        </w:tc>
      </w:tr>
      <w:tr w:rsidR="00766560" w:rsidRPr="0018769F" w14:paraId="46B72A8F" w14:textId="77777777" w:rsidTr="000466DF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8A1793" w14:textId="77777777" w:rsidR="00766560" w:rsidRPr="0018769F" w:rsidRDefault="00766560" w:rsidP="000466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766560" w:rsidRPr="0018769F" w14:paraId="6FA5C41A" w14:textId="77777777" w:rsidTr="000466DF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86B6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15C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E908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766560" w:rsidRPr="0018769F" w14:paraId="36B2CBED" w14:textId="77777777" w:rsidTr="000466DF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FE60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7621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 Up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Enabled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8DE2" w14:textId="77777777" w:rsidR="00766560" w:rsidRPr="0018769F" w:rsidRDefault="00766560" w:rsidP="000466D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CTU_EN</w:t>
            </w:r>
          </w:p>
        </w:tc>
      </w:tr>
    </w:tbl>
    <w:p w14:paraId="1277F82C" w14:textId="77777777" w:rsidR="00325F44" w:rsidRDefault="00325F44" w:rsidP="00325F4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F785DC5" w14:textId="77777777" w:rsidR="00325F44" w:rsidRDefault="00325F44" w:rsidP="00325F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 the follow logic.</w:t>
      </w:r>
    </w:p>
    <w:p w14:paraId="67B2015E" w14:textId="77777777" w:rsidR="00325F44" w:rsidRDefault="00325F44" w:rsidP="00325F44">
      <w:pPr>
        <w:pStyle w:val="ListParagraph"/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C02E24">
        <w:rPr>
          <w:noProof/>
        </w:rPr>
        <w:drawing>
          <wp:inline distT="0" distB="0" distL="0" distR="0" wp14:anchorId="32EB52D5" wp14:editId="52EF7E3B">
            <wp:extent cx="3950208" cy="15727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DB8" w14:textId="77777777" w:rsidR="00766560" w:rsidRPr="00C44968" w:rsidRDefault="00766560" w:rsidP="00766560">
      <w:pPr>
        <w:tabs>
          <w:tab w:val="left" w:pos="684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18CF2D6" w14:textId="77777777" w:rsidR="00766560" w:rsidRPr="00C834FC" w:rsidRDefault="00766560" w:rsidP="00766560">
      <w:pPr>
        <w:spacing w:after="0"/>
        <w:rPr>
          <w:rFonts w:ascii="Verdana" w:hAnsi="Verdana"/>
          <w:sz w:val="20"/>
          <w:szCs w:val="20"/>
        </w:rPr>
        <w:sectPr w:rsidR="00766560" w:rsidRPr="00C834FC" w:rsidSect="00E130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D6A8D70" w14:textId="5CCBCB0E" w:rsidR="00766560" w:rsidRDefault="00766560" w:rsidP="00766560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Press and release PB2. Notice that the green light illuminate</w:t>
      </w:r>
      <w:r w:rsidR="00325F4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staye</w:t>
      </w:r>
      <w:r w:rsidR="00325F44">
        <w:rPr>
          <w:rFonts w:ascii="Verdana" w:hAnsi="Verdana"/>
          <w:sz w:val="20"/>
          <w:szCs w:val="20"/>
        </w:rPr>
        <w:t>s</w:t>
      </w:r>
      <w:proofErr w:type="spellEnd"/>
      <w:r>
        <w:rPr>
          <w:rFonts w:ascii="Verdana" w:hAnsi="Verdana"/>
          <w:sz w:val="20"/>
          <w:szCs w:val="20"/>
        </w:rPr>
        <w:t xml:space="preserve"> on even though PB2 is no longer being pressed.</w:t>
      </w:r>
    </w:p>
    <w:p w14:paraId="78CC37CF" w14:textId="0AAA50A1" w:rsidR="00766560" w:rsidRDefault="00766560" w:rsidP="00766560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Press and release PB3. Notice that the green light </w:t>
      </w:r>
      <w:r w:rsidR="00325F44">
        <w:rPr>
          <w:rFonts w:ascii="Verdana" w:hAnsi="Verdana"/>
          <w:sz w:val="20"/>
          <w:szCs w:val="20"/>
        </w:rPr>
        <w:t>goes</w:t>
      </w:r>
      <w:r>
        <w:rPr>
          <w:rFonts w:ascii="Verdana" w:hAnsi="Verdana"/>
          <w:sz w:val="20"/>
          <w:szCs w:val="20"/>
        </w:rPr>
        <w:t xml:space="preserve"> out and stay</w:t>
      </w:r>
      <w:r w:rsidR="00325F4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off even after PB3 was released.</w:t>
      </w:r>
      <w:r w:rsidRPr="00766560">
        <w:rPr>
          <w:rFonts w:ascii="Verdana" w:hAnsi="Verdana"/>
          <w:sz w:val="20"/>
          <w:szCs w:val="20"/>
        </w:rPr>
        <w:t xml:space="preserve"> </w:t>
      </w:r>
    </w:p>
    <w:p w14:paraId="293A65AC" w14:textId="30EAFEE2" w:rsidR="00766560" w:rsidRDefault="00766560" w:rsidP="00766560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Latching and unlatching instructions can be used in leu of the sealing circuits we have used thus far.</w:t>
      </w:r>
    </w:p>
    <w:p w14:paraId="179033D0" w14:textId="51516AA3" w:rsidR="00731134" w:rsidRDefault="00325F44" w:rsidP="0018769F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bookmarkStart w:id="0" w:name="_Hlk509140972"/>
      <w:r>
        <w:rPr>
          <w:rFonts w:ascii="Verdana" w:hAnsi="Verdana"/>
          <w:sz w:val="20"/>
          <w:szCs w:val="20"/>
        </w:rPr>
        <w:t>Program the logic shown</w:t>
      </w:r>
      <w:r w:rsidR="004D376D">
        <w:rPr>
          <w:rFonts w:ascii="Verdana" w:hAnsi="Verdana"/>
          <w:sz w:val="20"/>
          <w:szCs w:val="20"/>
        </w:rPr>
        <w:t xml:space="preserve"> below</w:t>
      </w:r>
      <w:r w:rsidR="0030339D" w:rsidRPr="00DC4627">
        <w:rPr>
          <w:rFonts w:ascii="Verdana" w:hAnsi="Verdana"/>
          <w:sz w:val="20"/>
          <w:szCs w:val="20"/>
        </w:rPr>
        <w:t>.</w:t>
      </w:r>
      <w:bookmarkEnd w:id="0"/>
    </w:p>
    <w:p w14:paraId="0533373D" w14:textId="0DFFD338" w:rsidR="004D376D" w:rsidRDefault="00766560" w:rsidP="00766560">
      <w:pPr>
        <w:pStyle w:val="ListParagraph"/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A56C082" wp14:editId="48CA7759">
            <wp:extent cx="3941064" cy="199339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039" w14:textId="218AAD5C" w:rsidR="00483A5F" w:rsidRDefault="004A19FA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PB2</w:t>
      </w:r>
      <w:r w:rsidR="00325F44">
        <w:rPr>
          <w:rFonts w:ascii="Verdana" w:hAnsi="Verdana"/>
          <w:sz w:val="20"/>
          <w:szCs w:val="20"/>
        </w:rPr>
        <w:t xml:space="preserve"> to latch in the green light</w:t>
      </w:r>
      <w:r>
        <w:rPr>
          <w:rFonts w:ascii="Verdana" w:hAnsi="Verdana"/>
          <w:sz w:val="20"/>
          <w:szCs w:val="20"/>
        </w:rPr>
        <w:t>.</w:t>
      </w:r>
    </w:p>
    <w:p w14:paraId="71E4E9AF" w14:textId="0C8225FC" w:rsidR="004A19FA" w:rsidRDefault="00325F44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PB3 to unlatch the green light</w:t>
      </w:r>
      <w:r w:rsidR="004A19FA">
        <w:rPr>
          <w:rFonts w:ascii="Verdana" w:hAnsi="Verdana"/>
          <w:sz w:val="20"/>
          <w:szCs w:val="20"/>
        </w:rPr>
        <w:t>.</w:t>
      </w:r>
    </w:p>
    <w:p w14:paraId="7FD17A37" w14:textId="2F868FDA" w:rsidR="00325F44" w:rsidRDefault="00325F44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PB2 to latch in the green light.</w:t>
      </w:r>
    </w:p>
    <w:p w14:paraId="1FFD7EAC" w14:textId="58496BD2" w:rsidR="00325F44" w:rsidRDefault="00325F44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PB1 to unlatch the green light. There is no restriction on how many unlatch instructions that can be assigned to an address.</w:t>
      </w:r>
    </w:p>
    <w:p w14:paraId="44731794" w14:textId="77777777" w:rsidR="00325F44" w:rsidRDefault="00325F44" w:rsidP="00325F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 the logic shown below</w:t>
      </w:r>
      <w:r w:rsidRPr="00DC4627">
        <w:rPr>
          <w:rFonts w:ascii="Verdana" w:hAnsi="Verdana"/>
          <w:sz w:val="20"/>
          <w:szCs w:val="20"/>
        </w:rPr>
        <w:t>.</w:t>
      </w:r>
    </w:p>
    <w:p w14:paraId="0E5C6588" w14:textId="26026A11" w:rsidR="00325F44" w:rsidRDefault="00AC093D" w:rsidP="00325F44">
      <w:pPr>
        <w:pStyle w:val="ListParagraph"/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r w:rsidRPr="00AC093D">
        <w:rPr>
          <w:noProof/>
        </w:rPr>
        <w:drawing>
          <wp:inline distT="0" distB="0" distL="0" distR="0" wp14:anchorId="45ABD2E3" wp14:editId="003D66FD">
            <wp:extent cx="3950208" cy="2002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C0F1" w14:textId="77777777" w:rsidR="00325F44" w:rsidRDefault="00325F44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PB2 to latch in the green light.</w:t>
      </w:r>
    </w:p>
    <w:p w14:paraId="59390CF4" w14:textId="1DAE97BC" w:rsidR="00325F44" w:rsidRDefault="00325F44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PB1 to unlatch the green light.</w:t>
      </w:r>
    </w:p>
    <w:p w14:paraId="3689894F" w14:textId="4EA49548" w:rsidR="00325F44" w:rsidRDefault="00325F44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and release PB3 to latch in the green light.</w:t>
      </w:r>
      <w:r w:rsidRPr="00325F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There is no restriction on how many latch instructions that can be assigned to an address.</w:t>
      </w:r>
    </w:p>
    <w:p w14:paraId="1AFFCCCB" w14:textId="30A484BF" w:rsidR="00AC093D" w:rsidRDefault="00AC093D" w:rsidP="00325F44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Try building your own motor start/stop with ESTOP circuit using only OTL and OTU instructions</w:t>
      </w:r>
      <w:r w:rsidR="0004586D">
        <w:rPr>
          <w:rFonts w:ascii="Verdana" w:hAnsi="Verdana"/>
          <w:sz w:val="20"/>
          <w:szCs w:val="20"/>
        </w:rPr>
        <w:t xml:space="preserve"> for the output to the motor</w:t>
      </w:r>
      <w:bookmarkStart w:id="1" w:name="_GoBack"/>
      <w:bookmarkEnd w:id="1"/>
      <w:r>
        <w:rPr>
          <w:rFonts w:ascii="Verdana" w:hAnsi="Verdana"/>
          <w:sz w:val="20"/>
          <w:szCs w:val="20"/>
        </w:rPr>
        <w:t>.</w:t>
      </w:r>
    </w:p>
    <w:sectPr w:rsidR="00AC093D" w:rsidSect="00E013AA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A17A" w14:textId="77777777" w:rsidR="00BE79AA" w:rsidRDefault="00BE79AA" w:rsidP="005B3A86">
      <w:pPr>
        <w:spacing w:after="0" w:line="240" w:lineRule="auto"/>
      </w:pPr>
      <w:r>
        <w:separator/>
      </w:r>
    </w:p>
  </w:endnote>
  <w:endnote w:type="continuationSeparator" w:id="0">
    <w:p w14:paraId="2311A0BD" w14:textId="77777777" w:rsidR="00BE79AA" w:rsidRDefault="00BE79A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4144C" w14:textId="77777777" w:rsidR="00766560" w:rsidRPr="00C86D41" w:rsidRDefault="007665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4</w:t>
    </w:r>
    <w:r w:rsidRPr="00C834FC">
      <w:rPr>
        <w:rFonts w:ascii="BankGothic Lt BT" w:hAnsi="BankGothic Lt B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FE421" w14:textId="77777777" w:rsidR="00766560" w:rsidRPr="000154E9" w:rsidRDefault="007665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4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95CB" w14:textId="77777777" w:rsidR="00766560" w:rsidRPr="005D621A" w:rsidRDefault="00766560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4F01D24D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16FB0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2E3F49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E3F49">
      <w:rPr>
        <w:rFonts w:ascii="BankGothic Lt BT" w:hAnsi="BankGothic Lt BT"/>
        <w:caps/>
        <w:sz w:val="16"/>
        <w:szCs w:val="18"/>
      </w:rPr>
      <w:t>Handout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E3F49">
      <w:rPr>
        <w:rFonts w:ascii="BankGothic Lt BT" w:hAnsi="BankGothic Lt BT"/>
        <w:caps/>
        <w:sz w:val="16"/>
        <w:szCs w:val="18"/>
      </w:rPr>
      <w:t>4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C05F" w14:textId="77777777" w:rsidR="00BE79AA" w:rsidRDefault="00BE79AA" w:rsidP="005B3A86">
      <w:pPr>
        <w:spacing w:after="0" w:line="240" w:lineRule="auto"/>
      </w:pPr>
      <w:r>
        <w:separator/>
      </w:r>
    </w:p>
  </w:footnote>
  <w:footnote w:type="continuationSeparator" w:id="0">
    <w:p w14:paraId="2A88740E" w14:textId="77777777" w:rsidR="00BE79AA" w:rsidRDefault="00BE79A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C99F1" w14:textId="77777777" w:rsidR="00766560" w:rsidRPr="00261027" w:rsidRDefault="007665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Counters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70BA6DBE" w14:textId="77777777" w:rsidR="00766560" w:rsidRPr="000154E9" w:rsidRDefault="007665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8AA5F" w14:textId="77777777" w:rsidR="00766560" w:rsidRPr="00261027" w:rsidRDefault="007665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Counters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083CC4A6" w14:textId="77777777" w:rsidR="00766560" w:rsidRPr="000154E9" w:rsidRDefault="007665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66560" w14:paraId="16D85797" w14:textId="77777777" w:rsidTr="00E130F3">
      <w:tc>
        <w:tcPr>
          <w:tcW w:w="630" w:type="dxa"/>
        </w:tcPr>
        <w:p w14:paraId="15FDE06A" w14:textId="77777777" w:rsidR="00766560" w:rsidRDefault="007665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D3BB678" wp14:editId="56D40078">
                <wp:extent cx="411480" cy="310896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7970C03" w14:textId="77777777" w:rsidR="00766560" w:rsidRPr="005D621A" w:rsidRDefault="007665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8B4B033" w14:textId="77777777" w:rsidR="00766560" w:rsidRDefault="007665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22E47F" wp14:editId="3BA49B01">
                <wp:extent cx="411480" cy="310896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4A50524" w14:textId="77777777" w:rsidR="00766560" w:rsidRPr="00B025CF" w:rsidRDefault="0076656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E50E96D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E3F49">
      <w:rPr>
        <w:rFonts w:ascii="BankGothic Lt BT" w:hAnsi="BankGothic Lt BT"/>
        <w:caps/>
        <w:sz w:val="24"/>
        <w:szCs w:val="24"/>
      </w:rPr>
      <w:t>Counters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DB17A1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E3F4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E3F49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05F"/>
    <w:multiLevelType w:val="hybridMultilevel"/>
    <w:tmpl w:val="5FACD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87881"/>
    <w:multiLevelType w:val="hybridMultilevel"/>
    <w:tmpl w:val="EEF82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9039A"/>
    <w:multiLevelType w:val="hybridMultilevel"/>
    <w:tmpl w:val="D1567C9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02BBB"/>
    <w:multiLevelType w:val="hybridMultilevel"/>
    <w:tmpl w:val="D97E353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91B50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5293C"/>
    <w:multiLevelType w:val="hybridMultilevel"/>
    <w:tmpl w:val="540A8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B7F4B"/>
    <w:multiLevelType w:val="hybridMultilevel"/>
    <w:tmpl w:val="0EF63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4868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4586D"/>
    <w:rsid w:val="000522DA"/>
    <w:rsid w:val="000544E1"/>
    <w:rsid w:val="000709B6"/>
    <w:rsid w:val="00077E06"/>
    <w:rsid w:val="00083233"/>
    <w:rsid w:val="00083AFD"/>
    <w:rsid w:val="000A23B3"/>
    <w:rsid w:val="000B705B"/>
    <w:rsid w:val="000C1014"/>
    <w:rsid w:val="00101028"/>
    <w:rsid w:val="00141840"/>
    <w:rsid w:val="0018769F"/>
    <w:rsid w:val="001D0733"/>
    <w:rsid w:val="002025E4"/>
    <w:rsid w:val="002040CF"/>
    <w:rsid w:val="002120B0"/>
    <w:rsid w:val="00222A30"/>
    <w:rsid w:val="00224C5A"/>
    <w:rsid w:val="002267E7"/>
    <w:rsid w:val="00261027"/>
    <w:rsid w:val="00291DFD"/>
    <w:rsid w:val="002E22BE"/>
    <w:rsid w:val="002E3F49"/>
    <w:rsid w:val="003029E6"/>
    <w:rsid w:val="0030339D"/>
    <w:rsid w:val="00307505"/>
    <w:rsid w:val="00325F44"/>
    <w:rsid w:val="00333856"/>
    <w:rsid w:val="003558E1"/>
    <w:rsid w:val="0039301A"/>
    <w:rsid w:val="003B4947"/>
    <w:rsid w:val="003C570F"/>
    <w:rsid w:val="00422289"/>
    <w:rsid w:val="00431790"/>
    <w:rsid w:val="004332DB"/>
    <w:rsid w:val="00472F8B"/>
    <w:rsid w:val="00483A5F"/>
    <w:rsid w:val="004948F1"/>
    <w:rsid w:val="004A19FA"/>
    <w:rsid w:val="004A265F"/>
    <w:rsid w:val="004D376D"/>
    <w:rsid w:val="005218D2"/>
    <w:rsid w:val="005346A5"/>
    <w:rsid w:val="00536FE2"/>
    <w:rsid w:val="005610FE"/>
    <w:rsid w:val="00584CD6"/>
    <w:rsid w:val="005A1217"/>
    <w:rsid w:val="005B3A86"/>
    <w:rsid w:val="005C1570"/>
    <w:rsid w:val="005D4ABD"/>
    <w:rsid w:val="005D621A"/>
    <w:rsid w:val="005E10B8"/>
    <w:rsid w:val="00613E4E"/>
    <w:rsid w:val="006C017B"/>
    <w:rsid w:val="006C6F74"/>
    <w:rsid w:val="006F19A5"/>
    <w:rsid w:val="006F7F1A"/>
    <w:rsid w:val="007003B0"/>
    <w:rsid w:val="007140C7"/>
    <w:rsid w:val="00716FB0"/>
    <w:rsid w:val="00723673"/>
    <w:rsid w:val="00731134"/>
    <w:rsid w:val="00753DF1"/>
    <w:rsid w:val="00766560"/>
    <w:rsid w:val="007837F6"/>
    <w:rsid w:val="007B486F"/>
    <w:rsid w:val="00823E66"/>
    <w:rsid w:val="00866D5F"/>
    <w:rsid w:val="00883484"/>
    <w:rsid w:val="00884792"/>
    <w:rsid w:val="008907FC"/>
    <w:rsid w:val="008975D5"/>
    <w:rsid w:val="008B08D9"/>
    <w:rsid w:val="008C5F50"/>
    <w:rsid w:val="008E3D24"/>
    <w:rsid w:val="009219E3"/>
    <w:rsid w:val="00933117"/>
    <w:rsid w:val="009559C9"/>
    <w:rsid w:val="00982BD5"/>
    <w:rsid w:val="009B042B"/>
    <w:rsid w:val="009F2DFA"/>
    <w:rsid w:val="009F76D1"/>
    <w:rsid w:val="00AC093D"/>
    <w:rsid w:val="00B004C2"/>
    <w:rsid w:val="00B025CF"/>
    <w:rsid w:val="00B26F87"/>
    <w:rsid w:val="00B457A7"/>
    <w:rsid w:val="00B5279E"/>
    <w:rsid w:val="00B608BF"/>
    <w:rsid w:val="00B6378F"/>
    <w:rsid w:val="00B755C0"/>
    <w:rsid w:val="00B82D4F"/>
    <w:rsid w:val="00BE79AA"/>
    <w:rsid w:val="00C02E24"/>
    <w:rsid w:val="00C42F03"/>
    <w:rsid w:val="00C44968"/>
    <w:rsid w:val="00C47EFD"/>
    <w:rsid w:val="00C60B1A"/>
    <w:rsid w:val="00C834FC"/>
    <w:rsid w:val="00C86D41"/>
    <w:rsid w:val="00CB27AA"/>
    <w:rsid w:val="00CB5A57"/>
    <w:rsid w:val="00CB5F0C"/>
    <w:rsid w:val="00CD48E3"/>
    <w:rsid w:val="00CE3BF2"/>
    <w:rsid w:val="00CF7AA0"/>
    <w:rsid w:val="00D2108D"/>
    <w:rsid w:val="00D96104"/>
    <w:rsid w:val="00DA380B"/>
    <w:rsid w:val="00DC19D0"/>
    <w:rsid w:val="00DC4627"/>
    <w:rsid w:val="00DC51B1"/>
    <w:rsid w:val="00DE017D"/>
    <w:rsid w:val="00DF270C"/>
    <w:rsid w:val="00E013AA"/>
    <w:rsid w:val="00E130F3"/>
    <w:rsid w:val="00E459E9"/>
    <w:rsid w:val="00E509E6"/>
    <w:rsid w:val="00E7005B"/>
    <w:rsid w:val="00EA0805"/>
    <w:rsid w:val="00F46D9D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0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1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5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2018-11-16T01:04:00Z</cp:lastPrinted>
  <dcterms:created xsi:type="dcterms:W3CDTF">2018-11-16T02:41:00Z</dcterms:created>
  <dcterms:modified xsi:type="dcterms:W3CDTF">2018-11-16T17:18:00Z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Latching Outputs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